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8">
            <w:col w:w="1740" w:space="560"/>
            <w:col w:w="160" w:space="160"/>
            <w:col w:w="1660" w:space="720"/>
            <w:col w:w="160" w:space="160"/>
            <w:col w:w="1660" w:space="720"/>
            <w:col w:w="160" w:space="180"/>
            <w:col w:w="2200" w:space="720"/>
            <w:col w:w="460"/>
          </w:cols>
          <w:pgMar w:left="240" w:top="1030" w:right="239" w:bottom="1440" w:gutter="0" w:footer="0" w:header="0"/>
          <w:type w:val="continuous"/>
        </w:sectPr>
      </w:pP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240" w:space="720"/>
            <w:col w:w="460"/>
          </w:cols>
          <w:pgMar w:left="240" w:top="1030" w:right="239" w:bottom="1440" w:gutter="0" w:footer="0" w:header="0"/>
          <w:type w:val="continuous"/>
        </w:sectPr>
      </w:pPr>
    </w:p>
    <w:p>
      <w:pPr>
        <w:spacing w:after="0" w:line="75"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Shares Outstanding at August 4, 2017</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10,663,271</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6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2, 2017 and April 2, 2017</w:t>
              </w:r>
            </w:hyperlink>
          </w:p>
        </w:tc>
        <w:tc>
          <w:tcPr>
            <w:tcW w:w="2340" w:type="dxa"/>
            <w:vAlign w:val="bottom"/>
            <w:gridSpan w:val="5"/>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114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 Three Months Ended July 2, 2017 and July 3,</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8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Months Ended July 2,</w:t>
              </w:r>
            </w:hyperlink>
          </w:p>
        </w:tc>
        <w:tc>
          <w:tcPr>
            <w:tcW w:w="840" w:type="dxa"/>
            <w:vAlign w:val="bottom"/>
            <w:gridSpan w:val="3"/>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2017 and July 3, 2016</w:t>
              </w:r>
            </w:hyperlink>
          </w:p>
        </w:tc>
        <w:tc>
          <w:tcPr>
            <w:tcW w:w="60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 Three Months Ended July 2, 2017 and July</w:t>
              </w:r>
            </w:hyperlink>
          </w:p>
        </w:tc>
        <w:tc>
          <w:tcPr>
            <w:tcW w:w="9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3, 2016</w:t>
              </w:r>
            </w:hyperlink>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1"/>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Controls and Procedures</w:t>
              </w:r>
            </w:hyperlink>
          </w:p>
        </w:tc>
        <w:tc>
          <w:tcPr>
            <w:tcW w:w="2540" w:type="dxa"/>
            <w:vAlign w:val="bottom"/>
            <w:gridSpan w:val="5"/>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PART II.</w:t>
            </w:r>
          </w:p>
        </w:tc>
        <w:tc>
          <w:tcPr>
            <w:tcW w:w="7660" w:type="dxa"/>
            <w:vAlign w:val="bottom"/>
            <w:gridSpan w:val="18"/>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4"/>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5640" w:type="dxa"/>
            <w:vAlign w:val="bottom"/>
            <w:gridSpan w:val="11"/>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320" w:type="dxa"/>
            <w:vAlign w:val="bottom"/>
            <w:gridSpan w:val="1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760" w:type="dxa"/>
            <w:vAlign w:val="bottom"/>
            <w:gridSpan w:val="10"/>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Trade receivables — less allowance for doubtful accounts: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$472 as of July 2, 2017 and $468 as of April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property, plant, and equipment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Goodwill</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2,</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2,</w:t>
            </w:r>
          </w:p>
        </w:tc>
      </w:tr>
      <w:tr>
        <w:trPr>
          <w:trHeight w:val="210"/>
        </w:trPr>
        <w:tc>
          <w:tcPr>
            <w:tcW w:w="28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5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2,770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6,861</w:t>
            </w:r>
          </w:p>
        </w:tc>
      </w:tr>
      <w:tr>
        <w:trPr>
          <w:trHeight w:val="540"/>
        </w:trPr>
        <w:tc>
          <w:tcPr>
            <w:tcW w:w="2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61,855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57,298</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65,551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51,249</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4,238</w:t>
            </w:r>
          </w:p>
        </w:tc>
      </w:tr>
      <w:tr>
        <w:trPr>
          <w:trHeight w:val="33"/>
        </w:trPr>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134,396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120,919</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227,064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221,518</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104,095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99,978</w:t>
            </w:r>
          </w:p>
        </w:tc>
      </w:tr>
      <w:tr>
        <w:trPr>
          <w:trHeight w:val="33"/>
        </w:trPr>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122,969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121,540</w:t>
            </w:r>
          </w:p>
        </w:tc>
      </w:tr>
      <w:tr>
        <w:trPr>
          <w:trHeight w:val="540"/>
        </w:trPr>
        <w:tc>
          <w:tcPr>
            <w:tcW w:w="2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97,556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97,556</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75,454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76,883</w:t>
            </w:r>
          </w:p>
        </w:tc>
      </w:tr>
      <w:tr>
        <w:trPr>
          <w:trHeight w:val="270"/>
        </w:trPr>
        <w:tc>
          <w:tcPr>
            <w:tcW w:w="2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1,686</w:t>
            </w:r>
          </w:p>
        </w:tc>
      </w:tr>
    </w:tbl>
    <w:p>
      <w:pPr>
        <w:spacing w:after="0" w:line="13" w:lineRule="exact"/>
        <w:rPr>
          <w:sz w:val="20"/>
          <w:szCs w:val="20"/>
          <w:color w:val="auto"/>
        </w:rPr>
      </w:pPr>
    </w:p>
    <w:p>
      <w:pPr>
        <w:sectPr>
          <w:pgSz w:w="11900" w:h="16838" w:orient="portrait"/>
          <w:cols w:equalWidth="0" w:num="2">
            <w:col w:w="7860" w:space="720"/>
            <w:col w:w="28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820"/>
              <w:spacing w:after="0"/>
              <w:rPr>
                <w:sz w:val="20"/>
                <w:szCs w:val="20"/>
                <w:color w:val="auto"/>
              </w:rPr>
            </w:pPr>
            <w:r>
              <w:rPr>
                <w:rFonts w:ascii="Arial" w:cs="Arial" w:eastAsia="Arial" w:hAnsi="Arial"/>
                <w:sz w:val="16"/>
                <w:szCs w:val="16"/>
                <w:color w:val="auto"/>
              </w:rPr>
              <w:t>Total other assets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175,966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176,125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433,331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418,584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Accounts payable — trade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27,917</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29,756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payable</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payroll and employee benefits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9,979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Due to sellers of acquired business</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Container deposits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44,986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55,672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112,160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94,626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WITHDRAWAL LIABILITY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41,994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208,627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200,756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authorized: 30,000,000 shares of $0.05 par value; 10,600,471 and 10,582,596 shares issued and</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outstanding as of July 2, 2017 and April 2, 2017, respectively</w:t>
            </w: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52,216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51,104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165,897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217,828</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433,331</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418,584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20955</wp:posOffset>
            </wp:positionV>
            <wp:extent cx="1800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-130175</wp:posOffset>
            </wp:positionV>
            <wp:extent cx="1800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37465</wp:posOffset>
            </wp:positionV>
            <wp:extent cx="1800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4"/>
                <w:szCs w:val="14"/>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July 3,</w:t>
            </w:r>
          </w:p>
        </w:tc>
      </w:tr>
      <w:tr>
        <w:trPr>
          <w:trHeight w:val="192"/>
        </w:trPr>
        <w:tc>
          <w:tcPr>
            <w:tcW w:w="8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131,374</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(103,158)</w:t>
            </w:r>
          </w:p>
        </w:tc>
      </w:tr>
      <w:tr>
        <w:trPr>
          <w:trHeight w:val="27"/>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28,216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(15,126)</w:t>
            </w:r>
          </w:p>
        </w:tc>
      </w:tr>
      <w:tr>
        <w:trPr>
          <w:trHeight w:val="27"/>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13,090</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12,366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7"/>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10,582,989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10,513,139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10,615,692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10,555,282</w:t>
            </w: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8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0.72</w:t>
            </w: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w:t>
            </w:r>
          </w:p>
        </w:tc>
      </w:tr>
      <w:tr>
        <w:trPr>
          <w:trHeight w:val="324"/>
        </w:trPr>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378"/>
        </w:trPr>
        <w:tc>
          <w:tcPr>
            <w:tcW w:w="8520" w:type="dxa"/>
            <w:vAlign w:val="bottom"/>
          </w:tcPr>
          <w:p>
            <w:pPr>
              <w:ind w:left="308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8520" w:type="dxa"/>
            <w:vAlign w:val="bottom"/>
          </w:tcPr>
          <w:p>
            <w:pPr>
              <w:ind w:left="56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60"/>
          </w:cols>
          <w:pgMar w:left="240" w:top="58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3"/>
                <w:szCs w:val="13"/>
                <w:color w:val="auto"/>
              </w:rPr>
            </w:pPr>
          </w:p>
        </w:tc>
        <w:tc>
          <w:tcPr>
            <w:tcW w:w="104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7,604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interest rate swap</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7,604</w:t>
            </w:r>
          </w:p>
        </w:tc>
      </w:tr>
      <w:tr>
        <w:trPr>
          <w:trHeight w:val="27"/>
        </w:trPr>
        <w:tc>
          <w:tcPr>
            <w:tcW w:w="8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240" w:top="580" w:right="7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July 2,</w:t>
            </w:r>
          </w:p>
        </w:tc>
        <w:tc>
          <w:tcPr>
            <w:tcW w:w="30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July 3,</w:t>
            </w:r>
          </w:p>
        </w:tc>
      </w:tr>
      <w:tr>
        <w:trPr>
          <w:trHeight w:val="210"/>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33"/>
        </w:trPr>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5,831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7,604</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5,831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5,075</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535</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(gain) from property disposals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24"/>
        </w:trPr>
        <w:tc>
          <w:tcPr>
            <w:tcW w:w="7620" w:type="dxa"/>
            <w:vAlign w:val="bottom"/>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Trade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393</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(4,539)</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828</w:t>
            </w:r>
          </w:p>
        </w:tc>
      </w:tr>
      <w:tr>
        <w:trPr>
          <w:trHeight w:val="33"/>
        </w:trPr>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14,419</w:t>
            </w: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(6,264)</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(8,283)</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(4,226)</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w:t>
            </w:r>
          </w:p>
        </w:tc>
      </w:tr>
      <w:tr>
        <w:trPr>
          <w:trHeight w:val="243"/>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senior secured term loan</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revolver borrowings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(4,923)</w:t>
            </w:r>
          </w:p>
        </w:tc>
      </w:tr>
      <w:tr>
        <w:trPr>
          <w:trHeight w:val="33"/>
        </w:trPr>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20,014</w:t>
            </w:r>
          </w:p>
        </w:tc>
      </w:tr>
      <w:tr>
        <w:trPr>
          <w:trHeight w:val="33"/>
        </w:trPr>
        <w:tc>
          <w:tcPr>
            <w:tcW w:w="7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21,227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income taxes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2,402</w:t>
            </w:r>
          </w:p>
        </w:tc>
      </w:tr>
      <w:tr>
        <w:trPr>
          <w:trHeight w:val="33"/>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749</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580" w:right="7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2, 2017,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2, 2017, previously filed with the SEC. There has been no significant change in our accounting policies since the end of fiscal 2017.</w:t>
      </w:r>
    </w:p>
    <w:p>
      <w:pPr>
        <w:spacing w:after="0" w:line="127" w:lineRule="exact"/>
        <w:rPr>
          <w:sz w:val="20"/>
          <w:szCs w:val="20"/>
          <w:color w:val="auto"/>
        </w:rPr>
      </w:pPr>
    </w:p>
    <w:p>
      <w:pPr>
        <w:ind w:right="840"/>
        <w:spacing w:after="0" w:line="438" w:lineRule="auto"/>
        <w:rPr>
          <w:sz w:val="20"/>
          <w:szCs w:val="20"/>
          <w:color w:val="auto"/>
        </w:rPr>
      </w:pPr>
      <w:r>
        <w:rPr>
          <w:rFonts w:ascii="Arial" w:cs="Arial" w:eastAsia="Arial" w:hAnsi="Arial"/>
          <w:sz w:val="18"/>
          <w:szCs w:val="18"/>
          <w:color w:val="auto"/>
        </w:rPr>
        <w:t xml:space="preserve">The results of operations for the three months ended July 2, 2017 are not necessarily indicative of the results that may be expected for the full year. References to fiscal 2017 refer to the fiscal year ended April 2, 2017 and references to fiscal 2018 refer to the fiscal year ending April 1, 2018.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2016, the Financial Accounting Standards Board (“FASB”) issued ASU 2016-02, which provides new accounting guidance requiring lessees to recognize most leases as assets and liabilities on the balance sheet. This guidance will be effective for interim periods beginning after December 15, 2018 (our fiscal year ended March 30, 2020). We are currently evaluating the impact of this accounting pronouncement on our results of operations and financial position.</w:t>
      </w:r>
    </w:p>
    <w:p>
      <w:pPr>
        <w:spacing w:after="0" w:line="3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January 2016, the FASB issued ASU 2016-01, which provides guidance that addresses certain aspects of recognition, measurement, presentation, and disclosure of financial instruments. This guidance will be effective for annual reporting periods beginning after December 15, 2017 (our fiscal year ending March 31, 2019), and interim periods within those annual periods. Early adoption is not permitted. We are currently evaluating the impact that this guidance will have on our results of operations and financial position.</w:t>
      </w:r>
    </w:p>
    <w:p>
      <w:pPr>
        <w:spacing w:after="0" w:line="30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May 2014, the FASB issued ASU 2014-09, which provides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have performed a preliminary evaluation of the effect of adoption on our consolidated financial statements, and we do not currently expect a material impact on our results of operations, cash flows or financial position. We anticipate we will expand our consolidated financial statement disclosures to comply with the ASU. We have not yet decided on our transition method upon adoption.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Accounting Standards Update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We adopted this guidance in the first quarter of fiscal 2018. We will continue to estimate forfeitures as we determine compensation cost each period. The primary impact on our consolidated financial statements will be the recognition of excess tax benefits in the provision for income taxes rather than additional paid-in capital, which may result in increased volatility in the reported amounts of income tax expense and net income.</w:t>
      </w: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FIFO or average cost method from the lower of cost or market to the lower of cost and net realizable value. Treatment of inventory valued under the LIFO method is unchanged by this guidance. We adopted this guidance in the first quarter of fiscal 2018 and there was no impact to our financial position or results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3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86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786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b w:val="1"/>
                <w:bCs w:val="1"/>
                <w:color w:val="auto"/>
              </w:rPr>
              <w:t>July 2,</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3,</w:t>
            </w:r>
          </w:p>
        </w:tc>
      </w:tr>
      <w:tr>
        <w:trPr>
          <w:trHeight w:val="234"/>
        </w:trPr>
        <w:tc>
          <w:tcPr>
            <w:tcW w:w="786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10,582,989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10,513,139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32,703</w:t>
            </w:r>
          </w:p>
        </w:tc>
        <w:tc>
          <w:tcPr>
            <w:tcW w:w="1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42,143</w:t>
            </w:r>
          </w:p>
        </w:tc>
      </w:tr>
      <w:tr>
        <w:trPr>
          <w:trHeight w:val="27"/>
        </w:trPr>
        <w:tc>
          <w:tcPr>
            <w:tcW w:w="7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10,615,692</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10,555,282</w:t>
            </w:r>
          </w:p>
        </w:tc>
      </w:tr>
      <w:tr>
        <w:trPr>
          <w:trHeight w:val="20"/>
        </w:trPr>
        <w:tc>
          <w:tcPr>
            <w:tcW w:w="78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each of the three months ended July 2, 2017 and July 3, 2016, there were no shares excluded from the calculation of weighted-average common shares for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0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For the three months ended July 2, 2017, we recorded $0.1 million in other comprehensive loss related to unrealized losses (net of tax) on the cash flow hedge. Included in other long-term assets on our condensed consolidated balance sheet was $0.4 million as of July 2, 2017 and $0.5 million as of April 2,</w:t>
      </w:r>
    </w:p>
    <w:p>
      <w:pPr>
        <w:jc w:val="both"/>
        <w:spacing w:after="0" w:line="255" w:lineRule="auto"/>
        <w:rPr>
          <w:sz w:val="20"/>
          <w:szCs w:val="20"/>
          <w:color w:val="auto"/>
        </w:rPr>
      </w:pPr>
      <w:r>
        <w:rPr>
          <w:rFonts w:ascii="Arial" w:cs="Arial" w:eastAsia="Arial" w:hAnsi="Arial"/>
          <w:sz w:val="18"/>
          <w:szCs w:val="18"/>
          <w:color w:val="auto"/>
        </w:rPr>
        <w:t>2017 related to the cash flow hedge. No amounts were reflected in other comprehensive income related to cash flow hedges for the three months ended July 3, 2016. Unrealized gains and losses will be reflected in net income when the related cash flows or hedged transactions occur and offset the related performance of the hedged item.</w:t>
      </w:r>
    </w:p>
    <w:p>
      <w:pPr>
        <w:spacing w:after="0" w:line="19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as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 when available.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instances where inputs used to measure fair value fall into different levels of the fair value hierarchy, the fair value measurement has been determined based on the lowest level input that is significant to the fair value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3" w:right="239" w:bottom="1440" w:gutter="0" w:footer="0" w:header="0"/>
        </w:sectPr>
      </w:pPr>
    </w:p>
    <w:bookmarkStart w:id="8" w:name="page9"/>
    <w:bookmarkEnd w:id="8"/>
    <w:p>
      <w:pPr>
        <w:ind w:right="40"/>
        <w:spacing w:after="0" w:line="277" w:lineRule="auto"/>
        <w:rPr>
          <w:sz w:val="20"/>
          <w:szCs w:val="20"/>
          <w:color w:val="auto"/>
        </w:rPr>
      </w:pPr>
      <w:r>
        <w:rPr>
          <w:rFonts w:ascii="Arial" w:cs="Arial" w:eastAsia="Arial" w:hAnsi="Arial"/>
          <w:sz w:val="18"/>
          <w:szCs w:val="18"/>
          <w:color w:val="auto"/>
        </w:rPr>
        <w:t>measurement in its entirety. Our assessment of the significance of a particular item to the fair value measurement in its entirety requires judgment, including the consideration of inputs specific to the asset or liability.</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July 2, 2017 and April 2,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July 2, 2017</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4"/>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8"/>
              </w:rPr>
              <w:t>Level 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Level 3</w:t>
            </w:r>
          </w:p>
        </w:tc>
        <w:tc>
          <w:tcPr>
            <w:tcW w:w="440" w:type="dxa"/>
            <w:vAlign w:val="bottom"/>
          </w:tcPr>
          <w:p>
            <w:pPr>
              <w:spacing w:after="0"/>
              <w:rPr>
                <w:sz w:val="22"/>
                <w:szCs w:val="22"/>
                <w:color w:val="auto"/>
              </w:rPr>
            </w:pPr>
          </w:p>
        </w:tc>
      </w:tr>
      <w:tr>
        <w:trPr>
          <w:trHeight w:val="250"/>
        </w:trPr>
        <w:tc>
          <w:tcPr>
            <w:tcW w:w="5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r>
      <w:tr>
        <w:trPr>
          <w:trHeight w:val="243"/>
        </w:trPr>
        <w:tc>
          <w:tcPr>
            <w:tcW w:w="5920" w:type="dxa"/>
            <w:vAlign w:val="bottom"/>
            <w:gridSpan w:val="3"/>
          </w:tcPr>
          <w:p>
            <w:pPr>
              <w:ind w:left="40"/>
              <w:spacing w:after="0"/>
              <w:rPr>
                <w:sz w:val="20"/>
                <w:szCs w:val="20"/>
                <w:color w:val="auto"/>
              </w:rPr>
            </w:pPr>
            <w:r>
              <w:rPr>
                <w:rFonts w:ascii="Arial" w:cs="Arial" w:eastAsia="Arial" w:hAnsi="Arial"/>
                <w:sz w:val="18"/>
                <w:szCs w:val="18"/>
                <w:color w:val="auto"/>
              </w:rPr>
              <w:t>Deferred compensation plan assets</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642"/>
        </w:trPr>
        <w:tc>
          <w:tcPr>
            <w:tcW w:w="59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April 2, 2017</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4"/>
              </w:rPr>
              <w:t>Level 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8"/>
              </w:rPr>
              <w:t>Level 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Level 3</w:t>
            </w:r>
          </w:p>
        </w:tc>
        <w:tc>
          <w:tcPr>
            <w:tcW w:w="440" w:type="dxa"/>
            <w:vAlign w:val="bottom"/>
          </w:tcPr>
          <w:p>
            <w:pPr>
              <w:spacing w:after="0"/>
              <w:rPr>
                <w:sz w:val="24"/>
                <w:szCs w:val="24"/>
                <w:color w:val="auto"/>
              </w:rPr>
            </w:pPr>
          </w:p>
        </w:tc>
      </w:tr>
      <w:tr>
        <w:trPr>
          <w:trHeight w:val="250"/>
        </w:trPr>
        <w:tc>
          <w:tcPr>
            <w:tcW w:w="5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r>
      <w:tr>
        <w:trPr>
          <w:trHeight w:val="243"/>
        </w:trPr>
        <w:tc>
          <w:tcPr>
            <w:tcW w:w="5920" w:type="dxa"/>
            <w:vAlign w:val="bottom"/>
            <w:gridSpan w:val="3"/>
          </w:tcPr>
          <w:p>
            <w:pPr>
              <w:ind w:left="40"/>
              <w:spacing w:after="0"/>
              <w:rPr>
                <w:sz w:val="20"/>
                <w:szCs w:val="20"/>
                <w:color w:val="auto"/>
              </w:rPr>
            </w:pPr>
            <w:r>
              <w:rPr>
                <w:rFonts w:ascii="Arial" w:cs="Arial" w:eastAsia="Arial" w:hAnsi="Arial"/>
                <w:sz w:val="18"/>
                <w:szCs w:val="18"/>
                <w:color w:val="auto"/>
              </w:rPr>
              <w:t>Deferred compensation plan assets</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702"/>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Note 5 – Inventories</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7"/>
        </w:trPr>
        <w:tc>
          <w:tcPr>
            <w:tcW w:w="5920" w:type="dxa"/>
            <w:vAlign w:val="bottom"/>
            <w:gridSpan w:val="3"/>
          </w:tcPr>
          <w:p>
            <w:pPr>
              <w:spacing w:after="0"/>
              <w:rPr>
                <w:sz w:val="20"/>
                <w:szCs w:val="20"/>
                <w:color w:val="auto"/>
              </w:rPr>
            </w:pPr>
            <w:r>
              <w:rPr>
                <w:rFonts w:ascii="Arial" w:cs="Arial" w:eastAsia="Arial" w:hAnsi="Arial"/>
                <w:sz w:val="18"/>
                <w:szCs w:val="18"/>
                <w:color w:val="auto"/>
              </w:rPr>
              <w:t>Inventories at July 2, 2017 and April 2, 2017 consisted of the following:</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July 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320"/>
              <w:spacing w:after="0"/>
              <w:rPr>
                <w:sz w:val="20"/>
                <w:szCs w:val="20"/>
                <w:color w:val="auto"/>
              </w:rPr>
            </w:pPr>
            <w:r>
              <w:rPr>
                <w:rFonts w:ascii="Arial" w:cs="Arial" w:eastAsia="Arial" w:hAnsi="Arial"/>
                <w:sz w:val="18"/>
                <w:szCs w:val="18"/>
                <w:b w:val="1"/>
                <w:bCs w:val="1"/>
                <w:color w:val="auto"/>
              </w:rPr>
              <w:t>April 2,</w:t>
            </w:r>
          </w:p>
        </w:tc>
      </w:tr>
      <w:tr>
        <w:trPr>
          <w:trHeight w:val="221"/>
        </w:trPr>
        <w:tc>
          <w:tcPr>
            <w:tcW w:w="5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2017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5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67,524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52,735</w:t>
            </w:r>
          </w:p>
        </w:tc>
      </w:tr>
      <w:tr>
        <w:trPr>
          <w:trHeight w:val="243"/>
        </w:trPr>
        <w:tc>
          <w:tcPr>
            <w:tcW w:w="592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(1,973)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269"/>
        </w:trPr>
        <w:tc>
          <w:tcPr>
            <w:tcW w:w="5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9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65,551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51,249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FIFO value of inventories accounted for under the LIFO method was $45.3 million at July 2, 2017 and $37.0 million at April 2, 2017. The remainder of the inventory was valued and accounted for under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LIFO reserve increased $0.5 million during the three months ended July 2, 2017 and decreased nominally during the three months ended July 3,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of LIFO inventory for interim periods is based on our estimates of year-end inventory levels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58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carrying amount of goodwill was $97.6 million as of July 2, 2017 and April 2, 2017, of which $84.1 million was related to our Health and Nutrition segment. The annual goodwill impairment test we performed in fiscal 2017 indicated the excess fair value of this reporting unit was $7.4 million, or 4.8%.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July 2, 2017 and April 2,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July 2, 2017</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April 2, 2017</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ind w:left="2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69,388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70,529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ind w:left="2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74,227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75,656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5"/>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75,454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89,303</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76,883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Note 7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8"/>
          </w:tcPr>
          <w:p>
            <w:pPr>
              <w:spacing w:after="0"/>
              <w:rPr>
                <w:sz w:val="20"/>
                <w:szCs w:val="20"/>
                <w:color w:val="auto"/>
              </w:rPr>
            </w:pPr>
            <w:r>
              <w:rPr>
                <w:rFonts w:ascii="Arial" w:cs="Arial" w:eastAsia="Arial" w:hAnsi="Arial"/>
                <w:sz w:val="18"/>
                <w:szCs w:val="18"/>
                <w:color w:val="auto"/>
                <w:w w:val="96"/>
              </w:rPr>
              <w:t>Debt at July 2, 2017 and April 2, 2017 consisted of the following: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13"/>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Borders>
              <w:right w:val="single" w:sz="8" w:color="CCEEFF"/>
            </w:tcBorders>
          </w:tcPr>
          <w:p>
            <w:pPr>
              <w:spacing w:after="0"/>
              <w:rPr>
                <w:sz w:val="19"/>
                <w:szCs w:val="19"/>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 w:type="dxa"/>
            <w:vAlign w:val="bottom"/>
            <w:tcBorders>
              <w:right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Senior secured term loan</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91,250</w:t>
            </w:r>
          </w:p>
        </w:tc>
        <w:tc>
          <w:tcPr>
            <w:tcW w:w="80" w:type="dxa"/>
            <w:vAlign w:val="bottom"/>
          </w:tcPr>
          <w:p>
            <w:pPr>
              <w:spacing w:after="0"/>
              <w:rPr>
                <w:sz w:val="21"/>
                <w:szCs w:val="21"/>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secured revolving loan</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121,250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3"/>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120,774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102,615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6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112,160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94,626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We are subject to U.S. federal income tax as well as income tax of multiple state jurisdictions. The tax years prior to our fiscal year ended April 3, 2016 are closed to examination by the Internal Revenue Service. Our federal tax return filed for our fiscal year ended March 29, 2015 was examined by the Internal Revenue Service with no adjustments. For state and local income tax jurisdictions, the tax years prior to our fiscal year ended March 30, 2014 are closed to examination, with few exceptions. Our effective tax rate was approximately 38.5% for the three months ended July 2, 2017 and July 3, 2016.</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July 2, 2017 and April 2, 2017, our balance sheet included a $0.8 million long-term liability for uncertain tax positions which arose from tax positions taken by Stauber on its tax returns for periods prior to our acquisition, offset by a corresponding long-term receivable as the Stauber acquisition agreement provides us with indemnification by the prior owners for any tax liabilities relating to pre-acquisition tax returns. Accordingly, we have also recorded an offsetting, long-term receivable for $0.8 million, and, as such, any change in the unrecognized tax benefit will not impact our effective tax rate in future periods. We expect these uncertain income tax amounts to decrease as the applicable examination periods by the relevant taxing authorities expire. As of July 2, 2017 and April 2, 2017, the liability for uncertain tax positions and the corresponding receivable included $0.1 million of interest and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 arrangement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during the first quarters of each of fiscal 2018 and fiscal 2017. These performance-based arrangements provide for the grant of performance-based restricted stock units that represent a possible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580" w:right="3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8"/>
          <w:szCs w:val="18"/>
          <w:color w:val="auto"/>
        </w:rPr>
        <w:t>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57,855 shares in the aggregate for fiscal 2018.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July 2, 2017:</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35,075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54,708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recorded compensation expense related to performance share units and restricted stock of $0.2 million for three months ended July 2, 2017 and $0.4 million for the three months ended July 3, 2016.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each non-employee director receives an annual grant of restricted stock for their Board of Director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restricted stock awards are expensed over the requisite vesting period, which is one year from the date of issuance, based on the market value on the date of grant. As of July 2, 2017, there were 8,092 shares of restricted stock with a weighted averaged grant date fair value of $43.24 outstanding under this program. Compensation expense for each of the three months ended July 2, 2017 and July 3, 2016 related to restricted stock awards to the Board was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in place a share repurchase program approved by our Board of up to 300,000 shares of our outstanding common stock. Under the program, we are authorized to repurchase shares for cash on the open market or in privately negotiated transactions subject to applicable securities laws and regulations. Upon repurchase of the shares, we reduce our common stock for the par value of the shares with the excess applied against additional paid-in capital.</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shares were repurchased during the three months ended July 2, 2017 or during fiscal 2017. As of July 2, 2017, 112,546 shares remained available to be repurchased under the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2017 Annual Report on Form 10-K.</w:t>
      </w:r>
    </w:p>
    <w:p>
      <w:pPr>
        <w:spacing w:after="0" w:line="170"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1"/>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Treatment</w:t>
            </w: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July 2, 2017: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64,027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133,731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25,999</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15,766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10,233</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Three months ended July 3, 2016:</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131,374</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28,216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15,126</w:t>
            </w:r>
          </w:p>
        </w:tc>
      </w:tr>
      <w:tr>
        <w:trPr>
          <w:trHeight w:val="243"/>
        </w:trPr>
        <w:tc>
          <w:tcPr>
            <w:tcW w:w="40" w:type="dxa"/>
            <w:vAlign w:val="bottom"/>
          </w:tcPr>
          <w:p>
            <w:pPr>
              <w:spacing w:after="0"/>
              <w:rPr>
                <w:sz w:val="21"/>
                <w:szCs w:val="21"/>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13,090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three months ended July 2,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240" w:top="958" w:right="77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months ended July 2, 2017 as compared to the similar period ended July 3, 2016. This discussion should be read in conjunction with the condensed consolidated financial statements and notes to condensed consolidated financial statements included in this quarterly report on Form 10-Q and Item 8 of our Annual Report on Form 10-K for the fiscal year ended April 2, 2017 (“fiscal 2017”). References to “fiscal 2018” refer to the fiscal year ending April 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maintain relatively constant gross profit dollars per unit sold on each of our products as the cost of our raw materials increase or decrease. This is not always possible, especially when we face competitive pressures that limit our ability to increase pricing. We expect that we will continue to experience fluctuations in our raw material costs and resulting prices in the future. Accordingly, we believe that gross profit dollars is the best measure of our profitability from the sale of our products, as opposed to gross profit as a percentage of sales.</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use the last in, first out (“LIFO”) method for valuing a large portion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an increase in our LIFO reserve of $0.5 million for the three months ended July 2, 2017 which decreased our reported gross profit for that period. We recorded a nominal increase in our LIFO reserve for the three months ended July 3, 2016. Inventories in the Health and Nutrition segment are valued using the first-in, first-out (“FIFO”) method.</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38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00" w:type="dxa"/>
            <w:vAlign w:val="bottom"/>
            <w:gridSpan w:val="2"/>
          </w:tcPr>
          <w:p>
            <w:pPr>
              <w:ind w:left="320"/>
              <w:spacing w:after="0"/>
              <w:rPr>
                <w:sz w:val="20"/>
                <w:szCs w:val="20"/>
                <w:color w:val="auto"/>
              </w:rPr>
            </w:pPr>
            <w:r>
              <w:rPr>
                <w:rFonts w:ascii="Arial" w:cs="Arial" w:eastAsia="Arial" w:hAnsi="Arial"/>
                <w:sz w:val="18"/>
                <w:szCs w:val="18"/>
                <w:b w:val="1"/>
                <w:bCs w:val="1"/>
                <w:color w:val="auto"/>
              </w:rPr>
              <w:t>July 2, 2017</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July 3, 2016</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5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11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ind w:right="528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July 2, 2017 Compared to Three Months Ended July 3, 2016 </w:t>
      </w:r>
      <w:r>
        <w:rPr>
          <w:rFonts w:ascii="Arial" w:cs="Arial" w:eastAsia="Arial" w:hAnsi="Arial"/>
          <w:sz w:val="18"/>
          <w:szCs w:val="18"/>
          <w:i w:val="1"/>
          <w:iCs w:val="1"/>
          <w:color w:val="auto"/>
        </w:rPr>
        <w:t>Sales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increased $2.4 million, or 1.8%, to $133.7 million for the three months ended July 2, 2017, as compared to $131.4 million reported for the same period of the prior year.</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$64.0 million for the three months ended July 2, 2017, an increase of $0.2 million from $63.8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the prior year. Sales of bulk commodity products in the Industrial segment were approximately 18% of sales dollars for the three months ended July 2, 2017 and 17% for the same period in the prior year. The increase in sales dollars was driven primarily by higher per-unit costs on one of our major commodities, resulting in higher selling prices on certain products.</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$2.6 million, or 7.3%, to 38.2 million for the three months ended July 2, 2017,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$35.6 million for the same period of the prior year. Sales of bulk commodity products in the Water Treatment segment were approximately 13% of sales dollars in the both the three months ended July 2, 2017 and the same period a year ago. Sales dollars increased as a result of increased sales volumes, most notably in our specialized products that carry higher per-unit selling prices, as well as an increase in equipment project revenues.</w:t>
      </w:r>
    </w:p>
    <w:p>
      <w:pPr>
        <w:spacing w:after="0" w:line="10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were $31.5 million for the three months ended July 2, 2017, a decrease of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1.5%, from the same period a year ago. Sales were in line with our expectations but were slightly unfavorable to the prior year, due to strong quarterly sales performance for the comparable period of the prior year. Timing of orders in this segment can vary greatly depending on customer requirements, causing uneven sales patterns.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Gross profit was $26.0 million, or 19.4% of sales, for the three months ended July 2, 2017, a decrease of $2.2 million from $28.2 million, or 21.5% of sales, for the same period of the prior year. In addition to an increase in the LIFO reserve which negatively impacted gross profit by $0.5 million year over year, the decrease in gross profit was due to planned cost increases to drive future growth, including accelerated depreciation of $0.6 million, a $0.5 million reclassification from selling, general and administrative (“SG&amp;A”) expenses, raw material price increases and product mix changes.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decreased $1.4 million to $9.0 million, or 14.0% of sales, for the three months ended July 2, 2017,</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$10.4 million, or 16.3% of sales, for the same period of the prior year. The LIFO method of valuing inventory decreased gross profit by $0.4 million in the current year and had a nominal impact on gross profit for the same period of the prior year. Volumes were up slightly from a year ago, but the decrease in gross profit and gross profit as a percentage of sales was driven primarily by increased operating costs, a shift in product mix to more sales of products that have lower per-unit margins, and the unfavorable year-over-year impact of the LIFO reserve.</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$0.6 million to $11.2 million, or 29.3%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2017, from $10.6 million, or 29.8% of sales, for the comparable period of the prior year. The LIFO method of valuing inventory decreased gross profit by $0.1 million for the three months ended July 2, 2017 and had a nominal impact on gross profit during the same quarter of the prior year. Gross profit dollars increased due to increased sales volumes across many product lines, in particular certain of our specialized products that have higher per-unit margins, as well as an increase in margins on equipment projects.</w:t>
      </w:r>
    </w:p>
    <w:p>
      <w:pPr>
        <w:spacing w:after="0" w:line="13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Health and Nutrition Segment</w:t>
      </w:r>
      <w:r>
        <w:rPr>
          <w:rFonts w:ascii="Arial" w:cs="Arial" w:eastAsia="Arial" w:hAnsi="Arial"/>
          <w:sz w:val="17"/>
          <w:szCs w:val="17"/>
          <w:color w:val="auto"/>
        </w:rPr>
        <w:t>. Gross profit for our Health and Nutrition segment decreased $1.3 million to $5.8 million, or 18.5% of sales,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July 2, 2017, from $7.2 million, or 22.4% of sales, for the three months ended July 3, 2016. The decrease in gross profit, and gross profit as a percentage of sales, was due to planned cost increases to drive future growth, including accelerated depreciation expense of $0.6 million related to manufacturing equipment that is being retired to install newer, more efficient equipment, as well as the reclassification of $0.5 million of costs that were recorded as SG&amp;A expenses in the prior year to operating overhead in the current year to conform to Hawkins’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expenses were $15.8 million, or 11.8% of sales, for the three months ended July 2, 2017, an increase of $0.6 million from $15.1 million, or 11.5% of sales, for the same period of the prior year. Expenses increased as a result of the addition of sales and support personnel to drive future growth, offset partially by the reclassification of $0.5 million of expenses in our Health &amp; Nutrition segment from SG&amp;A to operating overhead to conform to Hawkins’ presentation.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income was $10.2 million for the three months ended July 2, 2017, as compared to $13.1 million for the same period of the prior year. Operating income in our Industrial segment decreased by $1.8 million driven by lower gross profits and increased SG&amp;A expenses in that segment. Operating income in our Water Treatment segment increased by $0.4 million due to higher gross profits partially offset by increased SG&amp;A expenses. Operating income in our Health and Nutrition Segment decreased by $1.4 million driven by lower gross profits compared to the comparable period in the prior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$0.8 million for the first quarter of fiscal 2017, compared to $0.7 million for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effective income tax rate was 38.5% for both the three months ended July 2, 2017 and the comparable period in the prior year. The effective tax rate is impacted by projected levels of annual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was $2.8 million at July 2, 2017, a decrease of $4.1 million as compared with the $6.9 million available as of April 2, 2017. Cash provided by financing activities during the three months ended July 2, 2017 was more than offset by cash used to fund operations, cash used for capital expenditures and cash dividends paid.</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Cash used in operating activities was $11.9 million for the three months ended July 2, 2017, compared to cash provided by operating activities of $14.4 million for the same period of the prior year. The decrease in cash provided by operating activities was primarily driven by cash utilized to purchase inventory during the quarter. The large increase in inventory in the first quarter of fiscal 2018 was primarily due to an increase in on-hand and in-transit inventory, along with an increase in the per unit cost, of one of our major commodities. The decision to increase inventory was driven in part by expectations of further cost increases throughout calendar 2018.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Cash used in investing activities was $6.5 million for the three months ended July 2, 2017, compared to $8.3 million for the three months ended July 3, 2016. Capital expenditures were $6.6 million for the three months ended July 2, 2017, compared to $6.3 million in the same period of the prior fiscal year. Included in capital expenditures for the first three months of fiscal 2018 was $2.4 million related to business expansion, inventory storage, and process improvements, including the purchase of three of our previously leased Florida locations, and $2.1 million related to facility improvements, replacement equipment, new and replacement containers, and Water Treatment trucks. In the previous year, we paid $2.2 million of additional purchase price for Stauber as closing cash, debt and working capital balances were finalized in early 2017.</w:t>
      </w:r>
    </w:p>
    <w:p>
      <w:pPr>
        <w:spacing w:after="0" w:line="12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Cash provided by financing activities was $14.4 million for the three months ended July 2, 2017, compared to cash used in financing activities of $4.9 million in the same period of the prior fiscal year. Included in financing activities were debt repayments of $1.9 million on our Term Loan Facility (as defined below) and proceeds of $20.0 million resulting from borrowings on our Revolving Loan Facility (as defined below) which were made in the three months ended July 2, 2017 to fund working capital requirements. In the first three months of the prior fiscal year, we made repayments of $1.3 million on our Term Loan Facility and had no activity on our Revolving Loan Facility.</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23, 2015, we entered into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Term Loan facility requires mandatory quarterly repayments, with the balance due at maturity. The Revolving Loan Facility includes a letter of credit subfacility in the amount of $5.0 million and a swingline subfacility in the amount of $8.0 million. The Credit Facility is scheduled to terminate on December 23, 2020. The Credit Facility is secured by substantially all of our personal property assets and those of our subsidiaries.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5" w:name="page16"/>
    <w:bookmarkEnd w:id="15"/>
    <w:p>
      <w:pPr>
        <w:ind w:right="12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40" w:firstLine="8"/>
        <w:spacing w:after="0" w:line="277"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July 2, 2017, the effective interest rate on our borrowings was 2.5%.</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20, 2016, we entered into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new swap agreement will begin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used $131.0 million of the proceeds from the Credit Facility to fund our acquisition of Stauber. Since the inception of the Credit Facility we have repaid $8.8 million on the Term Loan Facility as required under the Credit Agreement and have had net repayments of $1 million on the Revolving Loan Facility. As of July 2, 2017, we had $35.0 million of borrowing capacity remaining available under the Revolving Loan Facility, which may be used for working capital, capital expenditures, restricted payments and acquisitions permitted under the credit agreement, and other general corporate purposes.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issuance costs of $0.7 million were paid to the lenders and are being amortized as interest expense over the term of the credit facility. As of July 2, 2017, the unamortized balance of these costs was $0.5 million, and is reflected as a reduction of debt on our balance sheet.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July 2, 2017, we were in compliance with all required covenants.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2, 2017. The accounting policies used in preparing our condensed consolidated financial statements for the first quarter of fiscal 2017 are the same as those described in that 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16" w:name="page17"/>
    <w:bookmarkEnd w:id="16"/>
    <w:p>
      <w:pPr>
        <w:ind w:right="20"/>
        <w:spacing w:after="0" w:line="290" w:lineRule="auto"/>
        <w:rPr>
          <w:sz w:val="20"/>
          <w:szCs w:val="20"/>
          <w:color w:val="auto"/>
        </w:rPr>
      </w:pPr>
      <w:r>
        <w:rPr>
          <w:rFonts w:ascii="Arial" w:cs="Arial" w:eastAsia="Arial" w:hAnsi="Arial"/>
          <w:sz w:val="16"/>
          <w:szCs w:val="16"/>
          <w:color w:val="auto"/>
        </w:rPr>
        <w:t>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2, 2017.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$0.1 million. In the second quarter of fiscal 2017, we entered into an interest rate swap that will convert a portion of our variable-rate debt into a fixed-rate obligation. The new swap agreement will begin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2018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3, 2016.</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We did not repurchase any shares of our common stock during the first quarter of fiscal 2018. As of July 2, 2017, 112,546 shares remain available to be repurchased under the share repurchase program.</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580" w:right="35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234" w:lineRule="exact"/>
        <w:rPr>
          <w:sz w:val="20"/>
          <w:szCs w:val="20"/>
          <w:color w:val="auto"/>
        </w:rPr>
      </w:pPr>
    </w:p>
    <w:p>
      <w:pPr>
        <w:ind w:left="160"/>
        <w:spacing w:after="0"/>
        <w:tabs>
          <w:tab w:leader="none" w:pos="564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4375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(1)</w:t>
      </w:r>
    </w:p>
    <w:p>
      <w:pPr>
        <w:spacing w:after="0" w:line="7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(2)</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840" w:right="160" w:hanging="535"/>
        <w:spacing w:after="0" w:line="255" w:lineRule="auto"/>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Hawkins, Inc. for the period ended July 2, 2017 filed with the SEC on August 8, 2017 formatted in Extensible Business Reporting Language (XBRL); (i) the Condensed Consolidated Balance Sheets at July 2, 2017 and April 2, 2017, (ii) the Condensed Consolidated Statements of Income for the Three months ended July 2, 2017 and July 3, 2016, (iii) the Condensed Consolidated Statements of Comprehensive Income for the months ended July 2, 2017 and July 3, 2016, (iv) the Condensed Consolidated Statements of Cash Flows for the Three months ended July 2, 2017 and July 3, 2016, and (v) Notes to Condensed Consolidated Financial Statements.</w:t>
      </w:r>
    </w:p>
    <w:p>
      <w:pPr>
        <w:spacing w:after="0" w:line="193" w:lineRule="exact"/>
        <w:rPr>
          <w:rFonts w:ascii="Arial" w:cs="Arial" w:eastAsia="Arial" w:hAnsi="Arial"/>
          <w:sz w:val="18"/>
          <w:szCs w:val="18"/>
          <w:color w:val="auto"/>
        </w:rPr>
      </w:pPr>
    </w:p>
    <w:p>
      <w:pPr>
        <w:ind w:left="540" w:hanging="316"/>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584" w:right="339" w:bottom="1440" w:gutter="0" w:footer="0" w:header="0"/>
        </w:sectPr>
      </w:pPr>
    </w:p>
    <w:bookmarkStart w:id="19" w:name="page20"/>
    <w:bookmarkEnd w:id="19"/>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2017</w:t>
      </w:r>
    </w:p>
    <w:p>
      <w:pPr>
        <w:sectPr>
          <w:pgSz w:w="11900" w:h="16838" w:orient="portrait"/>
          <w:cols w:equalWidth="0" w:num="1">
            <w:col w:w="11260"/>
          </w:cols>
          <w:pgMar w:left="240" w:top="580" w:right="399" w:bottom="1440" w:gutter="0" w:footer="0" w:header="0"/>
        </w:sectPr>
      </w:pPr>
    </w:p>
    <w:bookmarkStart w:id="20" w:name="page21"/>
    <w:bookmarkEnd w:id="20"/>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63"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2">
        <w:r>
          <w:rPr>
            <w:rFonts w:ascii="Arial" w:cs="Arial" w:eastAsia="Arial" w:hAnsi="Arial"/>
            <w:sz w:val="16"/>
            <w:szCs w:val="16"/>
            <w:u w:val="single" w:color="auto"/>
            <w:color w:val="0000EE"/>
          </w:rPr>
          <w:t>Certification by Chief Executive Officer pursuant to Rule 13a-14(a) of the Exchange Act.</w:t>
        </w:r>
      </w:hyperlink>
    </w:p>
    <w:p>
      <w:pPr>
        <w:spacing w:after="0" w:line="63" w:lineRule="exact"/>
        <w:rPr>
          <w:sz w:val="20"/>
          <w:szCs w:val="20"/>
          <w:color w:val="auto"/>
        </w:rPr>
      </w:pPr>
    </w:p>
    <w:p>
      <w:pPr>
        <w:ind w:left="12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23">
        <w:r>
          <w:rPr>
            <w:rFonts w:ascii="Arial" w:cs="Arial" w:eastAsia="Arial" w:hAnsi="Arial"/>
            <w:sz w:val="16"/>
            <w:szCs w:val="16"/>
            <w:u w:val="single" w:color="auto"/>
            <w:color w:val="0000EE"/>
          </w:rPr>
          <w:t>Certification by Chief Financial Officer pursuant to Rule 13a-14(a) of the Exchange Act.</w:t>
        </w:r>
      </w:hyperlink>
    </w:p>
    <w:p>
      <w:pPr>
        <w:spacing w:after="0" w:line="63" w:lineRule="exact"/>
        <w:rPr>
          <w:sz w:val="20"/>
          <w:szCs w:val="20"/>
          <w:color w:val="auto"/>
        </w:rPr>
      </w:pPr>
    </w:p>
    <w:p>
      <w:pPr>
        <w:ind w:left="12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24">
        <w:r>
          <w:rPr>
            <w:rFonts w:ascii="Arial" w:cs="Arial" w:eastAsia="Arial" w:hAnsi="Arial"/>
            <w:sz w:val="16"/>
            <w:szCs w:val="16"/>
            <w:u w:val="single" w:color="auto"/>
            <w:color w:val="0000EE"/>
          </w:rPr>
          <w:t>Section 1350 Certification by Chief Executive Officer.</w:t>
        </w:r>
      </w:hyperlink>
    </w:p>
    <w:p>
      <w:pPr>
        <w:spacing w:after="0" w:line="63" w:lineRule="exact"/>
        <w:rPr>
          <w:sz w:val="20"/>
          <w:szCs w:val="20"/>
          <w:color w:val="auto"/>
        </w:rPr>
      </w:pPr>
    </w:p>
    <w:p>
      <w:pPr>
        <w:ind w:left="120"/>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25">
        <w:r>
          <w:rPr>
            <w:rFonts w:ascii="Arial" w:cs="Arial" w:eastAsia="Arial" w:hAnsi="Arial"/>
            <w:sz w:val="16"/>
            <w:szCs w:val="16"/>
            <w:u w:val="single" w:color="auto"/>
            <w:color w:val="0000EE"/>
          </w:rPr>
          <w:t>Section 1350 Certification by Chief Financial Officer.</w:t>
        </w:r>
      </w:hyperlink>
    </w:p>
    <w:p>
      <w:pPr>
        <w:spacing w:after="0" w:line="63" w:lineRule="exact"/>
        <w:rPr>
          <w:sz w:val="20"/>
          <w:szCs w:val="20"/>
          <w:color w:val="auto"/>
        </w:rPr>
      </w:pPr>
    </w:p>
    <w:p>
      <w:pPr>
        <w:jc w:val="both"/>
        <w:ind w:left="700" w:right="180" w:hanging="541"/>
        <w:spacing w:after="0" w:line="29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July 2, 2017 filed with the SEC on August 8, 2017 formatted in Extensible Business Reporting Language (XBRL);</w:t>
      </w:r>
    </w:p>
    <w:p>
      <w:pPr>
        <w:ind w:left="700"/>
        <w:spacing w:after="0" w:line="271" w:lineRule="auto"/>
        <w:rPr>
          <w:rFonts w:ascii="Arial" w:cs="Arial" w:eastAsia="Arial" w:hAnsi="Arial"/>
          <w:sz w:val="16"/>
          <w:szCs w:val="16"/>
          <w:color w:val="auto"/>
        </w:rPr>
      </w:pPr>
      <w:r>
        <w:rPr>
          <w:rFonts w:ascii="Arial" w:cs="Arial" w:eastAsia="Arial" w:hAnsi="Arial"/>
          <w:sz w:val="17"/>
          <w:szCs w:val="17"/>
          <w:color w:val="auto"/>
        </w:rPr>
        <w:t>(i) the Condensed Consolidated Balance Sheets at July 2, 2017 and April 2, 2017, (ii) the Condensed Consolidated Statements of Income for the Three months ended July 2, 2017 and July 3, 2016, (iii) the Condensed Consolidated Statements of Comprehensive Income for the months ended July 2, 2017 and July 3, 2016, (iv) the Condensed Consolidated Statements of Cash Flows for the Three months ended July 2, 2017 and July 3, 2016, and (v)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46"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620" w:space="440"/>
            <w:col w:w="1920"/>
          </w:cols>
          <w:pgMar w:left="400" w:top="580" w:right="5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2, 2017,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2, 2017,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2"/>
    </w:lvl>
  </w:abstractNum>
  <w:abstractNum w:abstractNumId="1">
    <w:nsid w:val="625558EC"/>
    <w:multiLevelType w:val="hybridMultilevel"/>
    <w:lvl w:ilvl="0">
      <w:lvlJc w:val="left"/>
      <w:lvlText w:val="%1"/>
      <w:numFmt w:val="decimal"/>
      <w:start w:val="1"/>
    </w:lvl>
    <w:lvl w:ilvl="1">
      <w:lvlJc w:val="left"/>
      <w:lvlText w:val="%2"/>
      <w:numFmt w:val="decimal"/>
      <w:start w:val="101"/>
    </w:lvl>
  </w:abstractNum>
  <w:abstractNum w:abstractNumId="2">
    <w:nsid w:val="238E1F29"/>
    <w:multiLevelType w:val="hybridMultilevel"/>
    <w:lvl w:ilvl="0">
      <w:lvlJc w:val="left"/>
      <w:lvlText w:val="(%1)"/>
      <w:numFmt w:val="decimal"/>
      <w:start w:val="1"/>
    </w:lvl>
    <w:lvl w:ilvl="1">
      <w:lvlJc w:val="left"/>
      <w:lvlText w:val="%2"/>
      <w:numFmt w:val="decimal"/>
      <w:start w:val="1"/>
    </w:lvl>
  </w:abstractNum>
  <w:abstractNum w:abstractNumId="3">
    <w:nsid w:val="46E87CCD"/>
    <w:multiLevelType w:val="hybridMultilevel"/>
    <w:lvl w:ilvl="0">
      <w:lvlJc w:val="left"/>
      <w:lvlText w:val="%1"/>
      <w:numFmt w:val="decimal"/>
      <w:start w:val="10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2019-12-29T04:39:35Z</dcterms:created>
  <dcterms:modified xsi:type="dcterms:W3CDTF">2019-12-29T04:39:35Z</dcterms:modified>
</cp:coreProperties>
</file>