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5"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(Amendment No. _____)*</w:t>
      </w:r>
    </w:p>
    <w:p>
      <w:pPr>
        <w:spacing w:after="0" w:line="16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(Name of Issuer)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(CUSIP Number)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10040" w:firstLine="8"/>
        <w:spacing w:after="0" w:line="218" w:lineRule="exact"/>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13d-1(c)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13d-1(d)</w:t>
      </w:r>
    </w:p>
    <w:p>
      <w:pPr>
        <w:spacing w:after="0" w:line="239" w:lineRule="exact"/>
        <w:rPr>
          <w:sz w:val="24"/>
          <w:szCs w:val="24"/>
          <w:color w:val="auto"/>
        </w:rPr>
      </w:pPr>
    </w:p>
    <w:p>
      <w:pPr>
        <w:ind w:right="40" w:firstLine="8"/>
        <w:spacing w:after="0" w:line="186"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I.R.S. IDENTIFICATION NOS. OF ABOVE PERSONS (ENTITIES ONLY)</w:t>
      </w:r>
    </w:p>
    <w:p>
      <w:pPr>
        <w:spacing w:after="0" w:line="2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Victory Capital Management Inc.</w:t>
      </w:r>
    </w:p>
    <w:p>
      <w:pPr>
        <w:ind w:left="460"/>
        <w:spacing w:after="0"/>
        <w:rPr>
          <w:rFonts w:ascii="Arial" w:cs="Arial" w:eastAsia="Arial" w:hAnsi="Arial"/>
          <w:sz w:val="16"/>
          <w:szCs w:val="16"/>
          <w:color w:val="auto"/>
        </w:rPr>
      </w:pPr>
      <w:r>
        <w:rPr>
          <w:rFonts w:ascii="Arial" w:cs="Arial" w:eastAsia="Arial" w:hAnsi="Arial"/>
          <w:sz w:val="18"/>
          <w:szCs w:val="18"/>
          <w:color w:val="auto"/>
        </w:rPr>
        <w:t>13-2700161</w:t>
      </w:r>
    </w:p>
    <w:p>
      <w:pPr>
        <w:spacing w:after="0" w:line="24" w:lineRule="exact"/>
        <w:rPr>
          <w:rFonts w:ascii="Arial" w:cs="Arial" w:eastAsia="Arial" w:hAnsi="Arial"/>
          <w:sz w:val="16"/>
          <w:szCs w:val="16"/>
          <w:color w:val="auto"/>
        </w:rPr>
      </w:pPr>
    </w:p>
    <w:p>
      <w:pPr>
        <w:ind w:left="460" w:right="6480" w:hanging="344"/>
        <w:spacing w:after="0" w:line="266"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800" w:hanging="333"/>
        <w:spacing w:after="0" w:line="189" w:lineRule="exact"/>
        <w:tabs>
          <w:tab w:leader="none" w:pos="80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51" w:lineRule="exact"/>
        <w:rPr>
          <w:rFonts w:ascii="Arial" w:cs="Arial" w:eastAsia="Arial" w:hAnsi="Arial"/>
          <w:sz w:val="16"/>
          <w:szCs w:val="16"/>
          <w:color w:val="auto"/>
        </w:rPr>
      </w:pPr>
    </w:p>
    <w:p>
      <w:pPr>
        <w:ind w:left="820" w:hanging="353"/>
        <w:spacing w:after="0" w:line="189" w:lineRule="exact"/>
        <w:tabs>
          <w:tab w:leader="none" w:pos="82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44"/>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0" w:lineRule="exact"/>
        <w:rPr>
          <w:rFonts w:ascii="Arial" w:cs="Arial" w:eastAsia="Arial" w:hAnsi="Arial"/>
          <w:sz w:val="16"/>
          <w:szCs w:val="16"/>
          <w:color w:val="auto"/>
        </w:rPr>
      </w:pPr>
    </w:p>
    <w:p>
      <w:pPr>
        <w:ind w:left="460" w:right="7640" w:hanging="344"/>
        <w:spacing w:after="0" w:line="557"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New York</w:t>
      </w:r>
    </w:p>
    <w:p>
      <w:pPr>
        <w:spacing w:after="0" w:line="239" w:lineRule="exact"/>
        <w:rPr>
          <w:rFonts w:ascii="Arial" w:cs="Arial" w:eastAsia="Arial" w:hAnsi="Arial"/>
          <w:sz w:val="16"/>
          <w:szCs w:val="16"/>
          <w:color w:val="auto"/>
        </w:rPr>
      </w:pPr>
    </w:p>
    <w:p>
      <w:pPr>
        <w:ind w:left="2080" w:hanging="343"/>
        <w:spacing w:after="0"/>
        <w:tabs>
          <w:tab w:leader="none" w:pos="208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1640" w:type="dxa"/>
            <w:vAlign w:val="bottom"/>
            <w:vMerge w:val="restart"/>
          </w:tcPr>
          <w:p>
            <w:pPr>
              <w:jc w:val="center"/>
              <w:ind w:right="219"/>
              <w:spacing w:after="0"/>
              <w:rPr>
                <w:sz w:val="20"/>
                <w:szCs w:val="20"/>
                <w:color w:val="auto"/>
              </w:rPr>
            </w:pPr>
            <w:r>
              <w:rPr>
                <w:rFonts w:ascii="Arial" w:cs="Arial" w:eastAsia="Arial" w:hAnsi="Arial"/>
                <w:sz w:val="16"/>
                <w:szCs w:val="16"/>
                <w:color w:val="auto"/>
                <w:w w:val="97"/>
              </w:rPr>
              <w:t>NUMBER OF</w:t>
            </w:r>
          </w:p>
        </w:tc>
        <w:tc>
          <w:tcPr>
            <w:tcW w:w="240" w:type="dxa"/>
            <w:vAlign w:val="bottom"/>
            <w:tcBorders>
              <w:bottom w:val="single" w:sz="8" w:color="auto"/>
            </w:tcBorders>
          </w:tcPr>
          <w:p>
            <w:pPr>
              <w:spacing w:after="0"/>
              <w:rPr>
                <w:sz w:val="16"/>
                <w:szCs w:val="16"/>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631,198</w:t>
            </w:r>
          </w:p>
        </w:tc>
        <w:tc>
          <w:tcPr>
            <w:tcW w:w="0" w:type="dxa"/>
            <w:vAlign w:val="bottom"/>
          </w:tcPr>
          <w:p>
            <w:pPr>
              <w:spacing w:after="0"/>
              <w:rPr>
                <w:sz w:val="1"/>
                <w:szCs w:val="1"/>
                <w:color w:val="auto"/>
              </w:rPr>
            </w:pPr>
          </w:p>
        </w:tc>
      </w:tr>
      <w:tr>
        <w:trPr>
          <w:trHeight w:val="186"/>
        </w:trPr>
        <w:tc>
          <w:tcPr>
            <w:tcW w:w="1640" w:type="dxa"/>
            <w:vAlign w:val="bottom"/>
            <w:vMerge w:val="continue"/>
          </w:tcPr>
          <w:p>
            <w:pPr>
              <w:spacing w:after="0"/>
              <w:rPr>
                <w:sz w:val="16"/>
                <w:szCs w:val="16"/>
                <w:color w:val="auto"/>
              </w:rPr>
            </w:pP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9"/>
              </w:rPr>
              <w:t>6.</w:t>
            </w:r>
          </w:p>
        </w:tc>
        <w:tc>
          <w:tcPr>
            <w:tcW w:w="94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SHARES</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40" w:type="dxa"/>
            <w:vAlign w:val="bottom"/>
          </w:tcPr>
          <w:p>
            <w:pPr>
              <w:jc w:val="center"/>
              <w:ind w:right="219"/>
              <w:spacing w:after="0"/>
              <w:rPr>
                <w:sz w:val="20"/>
                <w:szCs w:val="20"/>
                <w:color w:val="auto"/>
              </w:rPr>
            </w:pPr>
            <w:r>
              <w:rPr>
                <w:rFonts w:ascii="Arial" w:cs="Arial" w:eastAsia="Arial" w:hAnsi="Arial"/>
                <w:sz w:val="16"/>
                <w:szCs w:val="16"/>
                <w:color w:val="auto"/>
              </w:rPr>
              <w:t>BENEFICIALLY</w:t>
            </w:r>
          </w:p>
        </w:tc>
        <w:tc>
          <w:tcPr>
            <w:tcW w:w="24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9"/>
        </w:trPr>
        <w:tc>
          <w:tcPr>
            <w:tcW w:w="1640" w:type="dxa"/>
            <w:vAlign w:val="bottom"/>
          </w:tcPr>
          <w:p>
            <w:pPr>
              <w:jc w:val="center"/>
              <w:ind w:right="219"/>
              <w:spacing w:after="0" w:line="179" w:lineRule="exact"/>
              <w:rPr>
                <w:sz w:val="20"/>
                <w:szCs w:val="20"/>
                <w:color w:val="auto"/>
              </w:rPr>
            </w:pPr>
            <w:r>
              <w:rPr>
                <w:rFonts w:ascii="Arial" w:cs="Arial" w:eastAsia="Arial" w:hAnsi="Arial"/>
                <w:sz w:val="16"/>
                <w:szCs w:val="16"/>
                <w:color w:val="auto"/>
                <w:w w:val="98"/>
              </w:rPr>
              <w:t>OWNED BY EACH</w:t>
            </w:r>
          </w:p>
        </w:tc>
        <w:tc>
          <w:tcPr>
            <w:tcW w:w="240" w:type="dxa"/>
            <w:vAlign w:val="bottom"/>
          </w:tcPr>
          <w:p>
            <w:pPr>
              <w:jc w:val="right"/>
              <w:ind w:right="19"/>
              <w:spacing w:after="0" w:line="179" w:lineRule="exact"/>
              <w:rPr>
                <w:sz w:val="20"/>
                <w:szCs w:val="20"/>
                <w:color w:val="auto"/>
              </w:rPr>
            </w:pPr>
            <w:r>
              <w:rPr>
                <w:rFonts w:ascii="Arial" w:cs="Arial" w:eastAsia="Arial" w:hAnsi="Arial"/>
                <w:sz w:val="16"/>
                <w:szCs w:val="16"/>
                <w:color w:val="auto"/>
                <w:w w:val="89"/>
              </w:rPr>
              <w:t>7.</w:t>
            </w:r>
          </w:p>
        </w:tc>
        <w:tc>
          <w:tcPr>
            <w:tcW w:w="9460" w:type="dxa"/>
            <w:vAlign w:val="bottom"/>
          </w:tcPr>
          <w:p>
            <w:pPr>
              <w:ind w:left="120"/>
              <w:spacing w:after="0" w:line="179"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4"/>
              </w:rPr>
              <w:t>REPORTING</w:t>
            </w:r>
          </w:p>
        </w:tc>
        <w:tc>
          <w:tcPr>
            <w:tcW w:w="240" w:type="dxa"/>
            <w:vAlign w:val="bottom"/>
          </w:tcPr>
          <w:p>
            <w:pPr>
              <w:spacing w:after="0"/>
              <w:rPr>
                <w:sz w:val="17"/>
                <w:szCs w:val="17"/>
                <w:color w:val="auto"/>
              </w:rPr>
            </w:pPr>
          </w:p>
        </w:tc>
        <w:tc>
          <w:tcPr>
            <w:tcW w:w="9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40" w:type="dxa"/>
            <w:vAlign w:val="bottom"/>
          </w:tcPr>
          <w:p>
            <w:pPr>
              <w:jc w:val="center"/>
              <w:ind w:right="219"/>
              <w:spacing w:after="0"/>
              <w:rPr>
                <w:sz w:val="20"/>
                <w:szCs w:val="20"/>
                <w:color w:val="auto"/>
              </w:rPr>
            </w:pPr>
            <w:r>
              <w:rPr>
                <w:rFonts w:ascii="Arial" w:cs="Arial" w:eastAsia="Arial" w:hAnsi="Arial"/>
                <w:sz w:val="16"/>
                <w:szCs w:val="16"/>
                <w:color w:val="auto"/>
                <w:w w:val="97"/>
              </w:rPr>
              <w:t>PERSON WITH</w:t>
            </w:r>
          </w:p>
        </w:tc>
        <w:tc>
          <w:tcPr>
            <w:tcW w:w="240" w:type="dxa"/>
            <w:vAlign w:val="bottom"/>
          </w:tcPr>
          <w:p>
            <w:pPr>
              <w:spacing w:after="0"/>
              <w:rPr>
                <w:sz w:val="19"/>
                <w:szCs w:val="19"/>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auto"/>
              </w:rPr>
              <w:t>649,498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-3810</wp:posOffset>
            </wp:positionV>
            <wp:extent cx="6157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2080" w:right="7060" w:hanging="343"/>
        <w:spacing w:after="0" w:line="552"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57" w:lineRule="exact"/>
        <w:rPr>
          <w:rFonts w:ascii="Arial" w:cs="Arial" w:eastAsia="Arial" w:hAnsi="Arial"/>
          <w:sz w:val="16"/>
          <w:szCs w:val="16"/>
          <w:color w:val="auto"/>
        </w:rPr>
      </w:pPr>
    </w:p>
    <w:p>
      <w:pPr>
        <w:ind w:left="460" w:right="5060" w:hanging="344"/>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649,498</w:t>
      </w:r>
    </w:p>
    <w:p>
      <w:pPr>
        <w:ind w:left="460" w:right="4980" w:hanging="425"/>
        <w:spacing w:after="0" w:line="222" w:lineRule="exact"/>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1" w:lineRule="exact"/>
        <w:rPr>
          <w:rFonts w:ascii="Arial" w:cs="Arial" w:eastAsia="Arial" w:hAnsi="Arial"/>
          <w:sz w:val="16"/>
          <w:szCs w:val="16"/>
          <w:color w:val="auto"/>
        </w:rPr>
      </w:pPr>
    </w:p>
    <w:p>
      <w:pPr>
        <w:ind w:left="460" w:right="6400" w:hanging="419"/>
        <w:spacing w:after="0" w:line="4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6.12%</w:t>
      </w:r>
    </w:p>
    <w:p>
      <w:pPr>
        <w:ind w:left="460" w:hanging="425"/>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6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-1952625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-820420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 w:name="page3"/>
    <w:bookmarkEnd w:id="2"/>
    <w:p>
      <w:pPr>
        <w:spacing w:after="0"/>
        <w:tabs>
          <w:tab w:leader="none" w:pos="5680" w:val="left"/>
          <w:tab w:leader="none" w:pos="10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87" w:lineRule="exact"/>
        <w:rPr>
          <w:sz w:val="20"/>
          <w:szCs w:val="20"/>
          <w:color w:val="auto"/>
        </w:rPr>
      </w:pPr>
    </w:p>
    <w:p>
      <w:pPr>
        <w:ind w:left="700" w:right="9620" w:hanging="233"/>
        <w:spacing w:after="0" w:line="260" w:lineRule="auto"/>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222" w:lineRule="exact"/>
        <w:rPr>
          <w:rFonts w:ascii="Arial" w:cs="Arial" w:eastAsia="Arial" w:hAnsi="Arial"/>
          <w:sz w:val="16"/>
          <w:szCs w:val="16"/>
          <w:color w:val="auto"/>
        </w:rPr>
      </w:pPr>
    </w:p>
    <w:p>
      <w:pPr>
        <w:ind w:left="720" w:right="7360" w:hanging="253"/>
        <w:spacing w:after="0" w:line="246"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 3100 E. Hennepin Ave.</w:t>
      </w:r>
    </w:p>
    <w:p>
      <w:pPr>
        <w:ind w:left="720"/>
        <w:spacing w:after="0"/>
        <w:rPr>
          <w:rFonts w:ascii="Arial" w:cs="Arial" w:eastAsia="Arial" w:hAnsi="Arial"/>
          <w:sz w:val="16"/>
          <w:szCs w:val="16"/>
          <w:color w:val="auto"/>
        </w:rPr>
      </w:pPr>
      <w:r>
        <w:rPr>
          <w:rFonts w:ascii="Arial" w:cs="Arial" w:eastAsia="Arial" w:hAnsi="Arial"/>
          <w:sz w:val="16"/>
          <w:szCs w:val="16"/>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Name of Persons Filing</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Victory Capital Management Inc.</w:t>
      </w:r>
    </w:p>
    <w:p>
      <w:pPr>
        <w:spacing w:after="0" w:line="238" w:lineRule="exact"/>
        <w:rPr>
          <w:sz w:val="20"/>
          <w:szCs w:val="20"/>
          <w:color w:val="auto"/>
        </w:rPr>
      </w:pPr>
    </w:p>
    <w:p>
      <w:pPr>
        <w:ind w:left="720" w:right="6920" w:hanging="280"/>
        <w:spacing w:after="0" w:line="212"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4900 Tiedeman Rd.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Brooklyn, OH 44144</w:t>
      </w:r>
    </w:p>
    <w:p>
      <w:pPr>
        <w:spacing w:after="0" w:line="236" w:lineRule="exact"/>
        <w:rPr>
          <w:rFonts w:ascii="Arial" w:cs="Arial" w:eastAsia="Arial" w:hAnsi="Arial"/>
          <w:sz w:val="18"/>
          <w:szCs w:val="18"/>
          <w:color w:val="auto"/>
        </w:rPr>
      </w:pPr>
    </w:p>
    <w:p>
      <w:pPr>
        <w:ind w:left="720" w:hanging="280"/>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w:t>
      </w:r>
    </w:p>
    <w:p>
      <w:pPr>
        <w:spacing w:after="0" w:line="238" w:lineRule="exact"/>
        <w:rPr>
          <w:sz w:val="20"/>
          <w:szCs w:val="20"/>
          <w:color w:val="auto"/>
        </w:rPr>
      </w:pPr>
    </w:p>
    <w:p>
      <w:pPr>
        <w:ind w:left="800" w:right="8800" w:hanging="360"/>
        <w:spacing w:after="0" w:line="342" w:lineRule="auto"/>
        <w:tabs>
          <w:tab w:leader="none" w:pos="71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800" w:right="9560" w:hanging="360"/>
        <w:spacing w:after="0" w:line="342" w:lineRule="auto"/>
        <w:tabs>
          <w:tab w:leader="none" w:pos="71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8" w:lineRule="exact"/>
        <w:rPr>
          <w:sz w:val="20"/>
          <w:szCs w:val="20"/>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Broker or dealer registered under section 15 of the Act (15 U.S.C. 78o).</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Bank as defined in section 3(a)(6)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Insurance company as defined in section 3(a)(19) of the Act (15 U.S.C. 78c).</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07" w:lineRule="exact"/>
        <w:rPr>
          <w:rFonts w:ascii="Arial" w:cs="Arial" w:eastAsia="Arial" w:hAnsi="Arial"/>
          <w:sz w:val="16"/>
          <w:szCs w:val="16"/>
          <w:color w:val="auto"/>
        </w:rPr>
      </w:pPr>
    </w:p>
    <w:p>
      <w:pPr>
        <w:ind w:left="700" w:hanging="233"/>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8"/>
          <w:szCs w:val="18"/>
          <w:b w:val="1"/>
          <w:bCs w:val="1"/>
          <w:color w:val="auto"/>
        </w:rPr>
        <w:t xml:space="preserve">x   </w:t>
      </w:r>
      <w:r>
        <w:rPr>
          <w:rFonts w:ascii="Arial" w:cs="Arial" w:eastAsia="Arial" w:hAnsi="Arial"/>
          <w:sz w:val="16"/>
          <w:szCs w:val="16"/>
          <w:color w:val="auto"/>
        </w:rPr>
        <w:t>An investment adviser in accordance with §240.13d-1(b)(1)(ii)(E);</w:t>
      </w:r>
    </w:p>
    <w:p>
      <w:pPr>
        <w:spacing w:after="0" w:line="250"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An employee benefit plan or endowment fund in accordance with §240.13d-1(b)(1)(ii)(F);</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parent holding company or control person in accordance with §240.13d-1(b)(1)(ii)(G);</w:t>
      </w:r>
    </w:p>
    <w:p>
      <w:pPr>
        <w:spacing w:after="0" w:line="279" w:lineRule="exact"/>
        <w:rPr>
          <w:rFonts w:ascii="Arial" w:cs="Arial" w:eastAsia="Arial" w:hAnsi="Arial"/>
          <w:sz w:val="16"/>
          <w:szCs w:val="16"/>
          <w:color w:val="auto"/>
        </w:rPr>
      </w:pPr>
    </w:p>
    <w:p>
      <w:pPr>
        <w:ind w:left="700" w:hanging="233"/>
        <w:spacing w:after="0" w:line="207" w:lineRule="exact"/>
        <w:tabs>
          <w:tab w:leader="none" w:pos="700" w:val="left"/>
        </w:tabs>
        <w:numPr>
          <w:ilvl w:val="0"/>
          <w:numId w:val="9"/>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79" w:lineRule="exact"/>
        <w:rPr>
          <w:rFonts w:ascii="Arial" w:cs="Arial" w:eastAsia="Arial" w:hAnsi="Arial"/>
          <w:sz w:val="16"/>
          <w:szCs w:val="16"/>
          <w:color w:val="auto"/>
        </w:rPr>
      </w:pPr>
    </w:p>
    <w:p>
      <w:pPr>
        <w:ind w:left="700" w:hanging="233"/>
        <w:spacing w:after="0" w:line="196" w:lineRule="exact"/>
        <w:tabs>
          <w:tab w:leader="none" w:pos="700" w:val="left"/>
        </w:tabs>
        <w:numPr>
          <w:ilvl w:val="0"/>
          <w:numId w:val="9"/>
        </w:numPr>
        <w:rPr>
          <w:rFonts w:ascii="Arial" w:cs="Arial" w:eastAsia="Arial" w:hAnsi="Arial"/>
          <w:sz w:val="15"/>
          <w:szCs w:val="15"/>
          <w:color w:val="auto"/>
        </w:rPr>
      </w:pPr>
      <w:r>
        <w:rPr>
          <w:rFonts w:ascii="MS PGothic" w:cs="MS PGothic" w:eastAsia="MS PGothic" w:hAnsi="MS PGothic"/>
          <w:sz w:val="17"/>
          <w:szCs w:val="17"/>
          <w:color w:val="auto"/>
        </w:rPr>
        <w:t>☐</w:t>
      </w:r>
      <w:r>
        <w:rPr>
          <w:rFonts w:ascii="Arial" w:cs="Arial" w:eastAsia="Arial" w:hAnsi="Arial"/>
          <w:sz w:val="15"/>
          <w:szCs w:val="15"/>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420"/>
          </w:cols>
          <w:pgMar w:left="240" w:top="1341" w:right="239" w:bottom="1440" w:gutter="0" w:footer="0" w:header="0"/>
        </w:sectPr>
      </w:pPr>
    </w:p>
    <w:bookmarkStart w:id="3" w:name="page4"/>
    <w:bookmarkEnd w:id="3"/>
    <w:p>
      <w:pPr>
        <w:ind w:left="720"/>
        <w:spacing w:after="0" w:line="207" w:lineRule="exact"/>
        <w:rPr>
          <w:sz w:val="20"/>
          <w:szCs w:val="20"/>
          <w:color w:val="auto"/>
        </w:rPr>
      </w:pPr>
      <w:r>
        <w:rPr>
          <w:rFonts w:ascii="Arial" w:cs="Arial" w:eastAsia="Arial" w:hAnsi="Arial"/>
          <w:sz w:val="16"/>
          <w:szCs w:val="16"/>
          <w:color w:val="auto"/>
        </w:rPr>
        <w:t xml:space="preserve">(j) </w:t>
      </w:r>
      <w:r>
        <w:rPr>
          <w:rFonts w:ascii="MS PGothic" w:cs="MS PGothic" w:eastAsia="MS PGothic" w:hAnsi="MS PGothic"/>
          <w:sz w:val="18"/>
          <w:szCs w:val="18"/>
          <w:color w:val="auto"/>
        </w:rPr>
        <w:t>☐</w:t>
      </w:r>
      <w:r>
        <w:rPr>
          <w:rFonts w:ascii="Arial" w:cs="Arial" w:eastAsia="Arial" w:hAnsi="Arial"/>
          <w:sz w:val="16"/>
          <w:szCs w:val="16"/>
          <w:color w:val="auto"/>
        </w:rPr>
        <w:t xml:space="preserve"> Group, in accordance with §240.13d-1(b)(1)(ii)(J).</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1500" w:type="dxa"/>
            <w:vAlign w:val="bottom"/>
          </w:tcPr>
          <w:p>
            <w:pPr>
              <w:spacing w:after="0"/>
              <w:rPr>
                <w:sz w:val="20"/>
                <w:szCs w:val="20"/>
                <w:color w:val="auto"/>
              </w:rPr>
            </w:pPr>
            <w:r>
              <w:rPr>
                <w:rFonts w:ascii="Arial" w:cs="Arial" w:eastAsia="Arial" w:hAnsi="Arial"/>
                <w:sz w:val="16"/>
                <w:szCs w:val="16"/>
                <w:color w:val="auto"/>
              </w:rPr>
              <w:t>(a)</w:t>
            </w:r>
          </w:p>
        </w:tc>
        <w:tc>
          <w:tcPr>
            <w:tcW w:w="3300" w:type="dxa"/>
            <w:vAlign w:val="bottom"/>
          </w:tcPr>
          <w:p>
            <w:pPr>
              <w:ind w:left="1280"/>
              <w:spacing w:after="0"/>
              <w:rPr>
                <w:sz w:val="20"/>
                <w:szCs w:val="20"/>
                <w:color w:val="auto"/>
              </w:rPr>
            </w:pPr>
            <w:r>
              <w:rPr>
                <w:rFonts w:ascii="Arial" w:cs="Arial" w:eastAsia="Arial" w:hAnsi="Arial"/>
                <w:sz w:val="16"/>
                <w:szCs w:val="16"/>
                <w:color w:val="auto"/>
              </w:rPr>
              <w:t>Amount beneficially owned:</w:t>
            </w:r>
          </w:p>
        </w:tc>
        <w:tc>
          <w:tcPr>
            <w:tcW w:w="4840" w:type="dxa"/>
            <w:vAlign w:val="bottom"/>
          </w:tcPr>
          <w:p>
            <w:pPr>
              <w:ind w:left="40"/>
              <w:spacing w:after="0"/>
              <w:rPr>
                <w:sz w:val="20"/>
                <w:szCs w:val="20"/>
                <w:color w:val="auto"/>
              </w:rPr>
            </w:pPr>
            <w:r>
              <w:rPr>
                <w:rFonts w:ascii="Arial" w:cs="Arial" w:eastAsia="Arial" w:hAnsi="Arial"/>
                <w:sz w:val="16"/>
                <w:szCs w:val="16"/>
                <w:color w:val="auto"/>
              </w:rPr>
              <w:t>649,498</w:t>
            </w:r>
          </w:p>
        </w:tc>
      </w:tr>
      <w:tr>
        <w:trPr>
          <w:trHeight w:val="486"/>
        </w:trPr>
        <w:tc>
          <w:tcPr>
            <w:tcW w:w="1500" w:type="dxa"/>
            <w:vAlign w:val="bottom"/>
          </w:tcPr>
          <w:p>
            <w:pPr>
              <w:spacing w:after="0"/>
              <w:rPr>
                <w:sz w:val="20"/>
                <w:szCs w:val="20"/>
                <w:color w:val="auto"/>
              </w:rPr>
            </w:pPr>
            <w:r>
              <w:rPr>
                <w:rFonts w:ascii="Arial" w:cs="Arial" w:eastAsia="Arial" w:hAnsi="Arial"/>
                <w:sz w:val="16"/>
                <w:szCs w:val="16"/>
                <w:color w:val="auto"/>
              </w:rPr>
              <w:t>(b)</w:t>
            </w:r>
          </w:p>
        </w:tc>
        <w:tc>
          <w:tcPr>
            <w:tcW w:w="3300" w:type="dxa"/>
            <w:vAlign w:val="bottom"/>
          </w:tcPr>
          <w:p>
            <w:pPr>
              <w:ind w:left="1280"/>
              <w:spacing w:after="0"/>
              <w:rPr>
                <w:sz w:val="20"/>
                <w:szCs w:val="20"/>
                <w:color w:val="auto"/>
              </w:rPr>
            </w:pPr>
            <w:r>
              <w:rPr>
                <w:rFonts w:ascii="Arial" w:cs="Arial" w:eastAsia="Arial" w:hAnsi="Arial"/>
                <w:sz w:val="16"/>
                <w:szCs w:val="16"/>
                <w:color w:val="auto"/>
              </w:rPr>
              <w:t>Percent of class: 6.12%</w:t>
            </w:r>
          </w:p>
        </w:tc>
        <w:tc>
          <w:tcPr>
            <w:tcW w:w="4840" w:type="dxa"/>
            <w:vAlign w:val="bottom"/>
          </w:tcPr>
          <w:p>
            <w:pPr>
              <w:spacing w:after="0"/>
              <w:rPr>
                <w:sz w:val="24"/>
                <w:szCs w:val="24"/>
                <w:color w:val="auto"/>
              </w:rPr>
            </w:pPr>
          </w:p>
        </w:tc>
      </w:tr>
      <w:tr>
        <w:trPr>
          <w:trHeight w:val="486"/>
        </w:trPr>
        <w:tc>
          <w:tcPr>
            <w:tcW w:w="1500" w:type="dxa"/>
            <w:vAlign w:val="bottom"/>
          </w:tcPr>
          <w:p>
            <w:pPr>
              <w:spacing w:after="0"/>
              <w:rPr>
                <w:sz w:val="20"/>
                <w:szCs w:val="20"/>
                <w:color w:val="auto"/>
              </w:rPr>
            </w:pPr>
            <w:r>
              <w:rPr>
                <w:rFonts w:ascii="Arial" w:cs="Arial" w:eastAsia="Arial" w:hAnsi="Arial"/>
                <w:sz w:val="16"/>
                <w:szCs w:val="16"/>
                <w:color w:val="auto"/>
              </w:rPr>
              <w:t>(c)</w:t>
            </w:r>
          </w:p>
        </w:tc>
        <w:tc>
          <w:tcPr>
            <w:tcW w:w="8140" w:type="dxa"/>
            <w:vAlign w:val="bottom"/>
            <w:gridSpan w:val="2"/>
          </w:tcPr>
          <w:p>
            <w:pPr>
              <w:ind w:left="1280"/>
              <w:spacing w:after="0"/>
              <w:rPr>
                <w:sz w:val="20"/>
                <w:szCs w:val="20"/>
                <w:color w:val="auto"/>
              </w:rPr>
            </w:pPr>
            <w:r>
              <w:rPr>
                <w:rFonts w:ascii="Arial" w:cs="Arial" w:eastAsia="Arial" w:hAnsi="Arial"/>
                <w:sz w:val="16"/>
                <w:szCs w:val="16"/>
                <w:color w:val="auto"/>
              </w:rPr>
              <w:t>Number of shares as to which the person has:</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w:t>
            </w:r>
          </w:p>
        </w:tc>
        <w:tc>
          <w:tcPr>
            <w:tcW w:w="4840" w:type="dxa"/>
            <w:vAlign w:val="bottom"/>
          </w:tcPr>
          <w:p>
            <w:pPr>
              <w:ind w:left="460"/>
              <w:spacing w:after="0"/>
              <w:rPr>
                <w:sz w:val="20"/>
                <w:szCs w:val="20"/>
                <w:color w:val="auto"/>
              </w:rPr>
            </w:pPr>
            <w:r>
              <w:rPr>
                <w:rFonts w:ascii="Arial" w:cs="Arial" w:eastAsia="Arial" w:hAnsi="Arial"/>
                <w:sz w:val="16"/>
                <w:szCs w:val="16"/>
                <w:color w:val="auto"/>
              </w:rPr>
              <w:t>Sole power to vote or to direct the vote 631,198</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(ii)</w:t>
            </w:r>
          </w:p>
        </w:tc>
        <w:tc>
          <w:tcPr>
            <w:tcW w:w="4840" w:type="dxa"/>
            <w:vAlign w:val="bottom"/>
          </w:tcPr>
          <w:p>
            <w:pPr>
              <w:ind w:left="460"/>
              <w:spacing w:after="0"/>
              <w:rPr>
                <w:sz w:val="20"/>
                <w:szCs w:val="20"/>
                <w:color w:val="auto"/>
              </w:rPr>
            </w:pPr>
            <w:r>
              <w:rPr>
                <w:rFonts w:ascii="Arial" w:cs="Arial" w:eastAsia="Arial" w:hAnsi="Arial"/>
                <w:sz w:val="16"/>
                <w:szCs w:val="16"/>
                <w:color w:val="auto"/>
              </w:rPr>
              <w:t>Shared power to vote or to direct the vote: 0</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(iii)</w:t>
            </w:r>
          </w:p>
        </w:tc>
        <w:tc>
          <w:tcPr>
            <w:tcW w:w="4840" w:type="dxa"/>
            <w:vAlign w:val="bottom"/>
          </w:tcPr>
          <w:p>
            <w:pPr>
              <w:ind w:left="460"/>
              <w:spacing w:after="0"/>
              <w:rPr>
                <w:sz w:val="20"/>
                <w:szCs w:val="20"/>
                <w:color w:val="auto"/>
              </w:rPr>
            </w:pPr>
            <w:r>
              <w:rPr>
                <w:rFonts w:ascii="Arial" w:cs="Arial" w:eastAsia="Arial" w:hAnsi="Arial"/>
                <w:sz w:val="16"/>
                <w:szCs w:val="16"/>
                <w:color w:val="auto"/>
              </w:rPr>
              <w:t>Sole power to dispose or to direct the disposition of: 649,498</w:t>
            </w:r>
          </w:p>
        </w:tc>
      </w:tr>
      <w:tr>
        <w:trPr>
          <w:trHeight w:val="486"/>
        </w:trPr>
        <w:tc>
          <w:tcPr>
            <w:tcW w:w="1500" w:type="dxa"/>
            <w:vAlign w:val="bottom"/>
          </w:tcPr>
          <w:p>
            <w:pPr>
              <w:spacing w:after="0"/>
              <w:rPr>
                <w:sz w:val="24"/>
                <w:szCs w:val="24"/>
                <w:color w:val="auto"/>
              </w:rPr>
            </w:pPr>
          </w:p>
        </w:tc>
        <w:tc>
          <w:tcPr>
            <w:tcW w:w="3300" w:type="dxa"/>
            <w:vAlign w:val="bottom"/>
          </w:tcPr>
          <w:p>
            <w:pPr>
              <w:ind w:left="1280"/>
              <w:spacing w:after="0"/>
              <w:rPr>
                <w:sz w:val="20"/>
                <w:szCs w:val="20"/>
                <w:color w:val="auto"/>
              </w:rPr>
            </w:pPr>
            <w:r>
              <w:rPr>
                <w:rFonts w:ascii="Arial" w:cs="Arial" w:eastAsia="Arial" w:hAnsi="Arial"/>
                <w:sz w:val="16"/>
                <w:szCs w:val="16"/>
                <w:color w:val="auto"/>
              </w:rPr>
              <w:t>(iv)</w:t>
            </w:r>
          </w:p>
        </w:tc>
        <w:tc>
          <w:tcPr>
            <w:tcW w:w="4840" w:type="dxa"/>
            <w:vAlign w:val="bottom"/>
          </w:tcPr>
          <w:p>
            <w:pPr>
              <w:ind w:left="460"/>
              <w:spacing w:after="0"/>
              <w:rPr>
                <w:sz w:val="20"/>
                <w:szCs w:val="20"/>
                <w:color w:val="auto"/>
              </w:rPr>
            </w:pPr>
            <w:r>
              <w:rPr>
                <w:rFonts w:ascii="Arial" w:cs="Arial" w:eastAsia="Arial" w:hAnsi="Arial"/>
                <w:sz w:val="16"/>
                <w:szCs w:val="16"/>
                <w:color w:val="auto"/>
              </w:rPr>
              <w:t>Shared power to dispose or to direct the disposition of: 0</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187" w:lineRule="exact"/>
        <w:rPr>
          <w:sz w:val="20"/>
          <w:szCs w:val="20"/>
          <w:color w:val="auto"/>
        </w:rPr>
      </w:pPr>
    </w:p>
    <w:p>
      <w:pPr>
        <w:ind w:right="260" w:firstLine="324"/>
        <w:spacing w:after="0" w:line="211"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87" w:lineRule="exact"/>
        <w:rPr>
          <w:sz w:val="20"/>
          <w:szCs w:val="20"/>
          <w:color w:val="auto"/>
        </w:rPr>
      </w:pPr>
    </w:p>
    <w:p>
      <w:pPr>
        <w:ind w:left="420"/>
        <w:spacing w:after="0" w:line="250"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of Hawkins Inc. No client has the right to receive or the power to direct the receipt of dividends from, or the proceeds from the sale of, more than 5% of such class except the Victory Sycamore Small Company Opportunity Fund an investment company registered under the Investment Company Act of 1940, which has an interest of 5.01% of the class.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60"/>
          </w:cols>
          <w:pgMar w:left="240" w:top="687" w:right="399" w:bottom="1440" w:gutter="0" w:footer="0" w:header="0"/>
        </w:sectPr>
      </w:pPr>
    </w:p>
    <w:bookmarkStart w:id="4" w:name="page5"/>
    <w:bookmarkEnd w:id="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5680" w:val="left"/>
          <w:tab w:leader="none" w:pos="10240" w:val="left"/>
        </w:tabs>
        <w:rPr>
          <w:sz w:val="20"/>
          <w:szCs w:val="20"/>
          <w:color w:val="auto"/>
        </w:rPr>
      </w:pPr>
      <w:r>
        <w:rPr>
          <w:rFonts w:ascii="Arial" w:cs="Arial" w:eastAsia="Arial" w:hAnsi="Arial"/>
          <w:sz w:val="16"/>
          <w:szCs w:val="16"/>
          <w:color w:val="auto"/>
        </w:rPr>
        <w:t>CUSIP No. 4</w:t>
      </w:r>
      <w:r>
        <w:rPr>
          <w:rFonts w:ascii="Arial" w:cs="Arial" w:eastAsia="Arial" w:hAnsi="Arial"/>
          <w:sz w:val="18"/>
          <w:szCs w:val="18"/>
          <w:color w:val="auto"/>
        </w:rPr>
        <w:t>20261109</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4 Pages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187"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sz w:val="20"/>
          <w:szCs w:val="20"/>
          <w:color w:val="auto"/>
        </w:rPr>
      </w:pPr>
    </w:p>
    <w:p>
      <w:pPr>
        <w:ind w:left="380" w:right="140"/>
        <w:spacing w:after="0" w:line="25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8"/>
          <w:szCs w:val="18"/>
          <w:color w:val="auto"/>
        </w:rPr>
        <w:t>/ Colin S. 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Colin S. Kinney/Chief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2019-12-16T18:40:38Z</dcterms:created>
  <dcterms:modified xsi:type="dcterms:W3CDTF">2019-12-16T18:40:38Z</dcterms:modified>
</cp:coreProperties>
</file>