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0" w:lineRule="exact"/>
        <w:rPr>
          <w:sz w:val="24"/>
          <w:szCs w:val="24"/>
          <w:color w:val="auto"/>
        </w:rPr>
      </w:pPr>
    </w:p>
    <w:p>
      <w:pPr>
        <w:spacing w:after="0" w:line="206" w:lineRule="exact"/>
        <w:rPr>
          <w:sz w:val="24"/>
          <w:szCs w:val="24"/>
          <w:color w:val="auto"/>
        </w:rPr>
      </w:pPr>
    </w:p>
    <w:p>
      <w:pPr>
        <w:ind w:left="5100"/>
        <w:spacing w:after="0"/>
        <w:rPr>
          <w:sz w:val="20"/>
          <w:szCs w:val="20"/>
          <w:color w:val="auto"/>
        </w:rPr>
      </w:pPr>
      <w:r>
        <w:rPr>
          <w:rFonts w:ascii="Arial" w:cs="Arial" w:eastAsia="Arial" w:hAnsi="Arial"/>
          <w:sz w:val="25"/>
          <w:szCs w:val="25"/>
          <w:b w:val="1"/>
          <w:bCs w:val="1"/>
          <w:u w:val="single" w:color="auto"/>
          <w:color w:val="auto"/>
        </w:rPr>
        <w:t>HAWKINS,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7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80" w:hanging="545"/>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520" w:hanging="945"/>
        <w:spacing w:after="0" w:line="277"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80" w:right="240" w:hanging="545"/>
        <w:spacing w:after="0" w:line="29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431800</wp:posOffset>
            </wp:positionV>
            <wp:extent cx="186118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94361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Roseville, Minnesota 55113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August 4,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Annual Meeting of Shareholders of Hawkins, Inc. will be held at the Midland Hills Country Club, 2001 Fulham Street, Roseville, Minnesota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Thursday, August 4, 2016, at 3:00 p.m., Central Time, for the following purposes:</w:t>
      </w:r>
    </w:p>
    <w:p>
      <w:pPr>
        <w:spacing w:after="0" w:line="76" w:lineRule="exact"/>
        <w:rPr>
          <w:sz w:val="20"/>
          <w:szCs w:val="20"/>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90" w:lineRule="exact"/>
        <w:rPr>
          <w:rFonts w:ascii="Arial" w:cs="Arial" w:eastAsia="Arial" w:hAnsi="Arial"/>
          <w:sz w:val="18"/>
          <w:szCs w:val="18"/>
          <w:color w:val="auto"/>
        </w:rPr>
      </w:pPr>
    </w:p>
    <w:p>
      <w:pPr>
        <w:ind w:left="1060" w:hanging="17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advise in a non-binding vote to approve the compensation of our executive officers as disclosed in the attached proxy statement, or a “say-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on-pay” vote.</w:t>
      </w:r>
    </w:p>
    <w:p>
      <w:pPr>
        <w:spacing w:after="0" w:line="75" w:lineRule="exact"/>
        <w:rPr>
          <w:rFonts w:ascii="Arial" w:cs="Arial" w:eastAsia="Arial" w:hAnsi="Arial"/>
          <w:sz w:val="16"/>
          <w:szCs w:val="16"/>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Board of Directors has fixed the close of business on June 13, 2016 as the record date for determining the shareholders entitled to vote at the</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Annual Meeting. Accordingly, only shareholders of record at the close of business on that date will be entitled to vote. Our transfer books will not be closed.</w:t>
      </w:r>
    </w:p>
    <w:p>
      <w:pPr>
        <w:spacing w:after="0" w:line="200" w:lineRule="exact"/>
        <w:rPr>
          <w:sz w:val="20"/>
          <w:szCs w:val="20"/>
          <w:color w:val="auto"/>
        </w:rPr>
      </w:pPr>
    </w:p>
    <w:p>
      <w:pPr>
        <w:spacing w:after="0" w:line="27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48895</wp:posOffset>
            </wp:positionV>
            <wp:extent cx="18865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July 1, 2016</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ectPr>
          <w:pgSz w:w="11900" w:h="16838" w:orient="portrait"/>
          <w:cols w:equalWidth="0" w:num="1">
            <w:col w:w="11380"/>
          </w:cols>
          <w:pgMar w:left="240" w:top="1440"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Roseville, Minnesota 55113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 2016</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following proxy statement is furnished in connection with the solicitation of proxies by our Board of Directors to be voted at the Annual Meeting of Shareholders (the “Annual Meeting”) to be held on Thursday, August 4, 2016, at the Midland Hills Country Club, 2001 Fulham Street, Roseville, Minnesota, at 3:00 p.m., Central Time, and at any adjournments of such meeting. Distribution of this Proxy Statement and proxy to shareholders began on or about July 1, 2016.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w:t>
      </w:r>
    </w:p>
    <w:p>
      <w:pPr>
        <w:spacing w:after="0" w:line="9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REVOCATION AND VOTING OF PROXY</w:t>
      </w:r>
    </w:p>
    <w:p>
      <w:pPr>
        <w:spacing w:after="0" w:line="94" w:lineRule="exact"/>
        <w:rPr>
          <w:sz w:val="20"/>
          <w:szCs w:val="20"/>
          <w:color w:val="auto"/>
        </w:rPr>
      </w:pPr>
    </w:p>
    <w:p>
      <w:pPr>
        <w:ind w:right="420" w:firstLine="432"/>
        <w:spacing w:after="0" w:line="291" w:lineRule="auto"/>
        <w:rPr>
          <w:sz w:val="20"/>
          <w:szCs w:val="20"/>
          <w:color w:val="auto"/>
        </w:rPr>
      </w:pPr>
      <w:r>
        <w:rPr>
          <w:rFonts w:ascii="Arial" w:cs="Arial" w:eastAsia="Arial" w:hAnsi="Arial"/>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w:t>
      </w:r>
    </w:p>
    <w:p>
      <w:pPr>
        <w:ind w:right="6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written notice expressly revoking the proxy to our Secretary at our principal executive offices, (2) signing and forwarding to us at our principal executive offices a later dated proxy, or (3) attending the Annual Meeting and casting his or her votes personally.</w:t>
      </w:r>
    </w:p>
    <w:p>
      <w:pPr>
        <w:spacing w:after="0" w:line="49"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A majority of the outstanding shares of our common stock represented in person or by proxy is necessary to constitute a quorum for the transaction of business at the Annual Meeting. If a shareholder (including a broker) does not give authority to a proxy to vote, or withholds authority to vote on a certain proposal, then the shareholder’s shares will not be considered present or entitled to vote on that proposal.</w:t>
      </w:r>
    </w:p>
    <w:p>
      <w:pPr>
        <w:spacing w:after="0" w:line="2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you hold your shares in street name and do not provide voting instructions to your broker, your broker has authority under New York Stock Exchange rules to vote those shares for or against “routine” proposals. Brokers cannot vote on their customers’ behalf on “non-routine” proposals such as the approval of an equity compensation plan, the election of directors or an advisory vote on executive compensation.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47"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SHARES AND VOTING RIGHTS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At the close of business on June 13, 2016, the record date, there were 10,556,625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ectPr>
          <w:pgSz w:w="11900" w:h="16838" w:orient="portrait"/>
          <w:cols w:equalWidth="0" w:num="1">
            <w:col w:w="11420"/>
          </w:cols>
          <w:pgMar w:left="240" w:top="58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VOTE REQUIRED</w:t>
      </w:r>
    </w:p>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Proposal One - Election of Directors: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Proposal Two - Advisory Vote on Executive Compensation: We will consider our shareholders to have approved our executive compensation if the number of votes cast “for” this proposal exceed the number of votes cast “against” this proposal. Accordingly, an abstention or failure to vote on this proposal (including a broker non-vote) will have no effect on the outcome of this proposal.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OF DIRECTORS</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At the Annual Meeting, nine persons are to be elected to our Board of Directors, each to hold office for the ensuing year and until his/her successor is duly elected and qualified. Our By-Laws provide for a Board of Directors of not fewer than three nor more than eleven directors. Our Board of Directors currently consists of nine directors, as established by resolution of our Board of Directors. 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5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Board of Directors has nominated James A. Faulconbridge, Patrick H. Hawkins, Duane M. Jergenson, John S. McKeon, Mary J. Schumacher, Daryl I. Skaar, Daniel J. Stauber, James T. Thompson and Jeffrey L. Wright for election to the Board of Directors.</w:t>
      </w:r>
    </w:p>
    <w:p>
      <w:pPr>
        <w:spacing w:after="0" w:line="31" w:lineRule="exact"/>
        <w:rPr>
          <w:sz w:val="20"/>
          <w:szCs w:val="20"/>
          <w:color w:val="auto"/>
        </w:rPr>
      </w:pPr>
    </w:p>
    <w:p>
      <w:pPr>
        <w:ind w:right="260" w:firstLine="432"/>
        <w:spacing w:after="0" w:line="282"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including the principal occupation or employment of each director nominee, has been furnished to us by the respective director nominees. All positions are with our company unless otherwise noted.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Director</w:t>
            </w:r>
          </w:p>
        </w:tc>
        <w:tc>
          <w:tcPr>
            <w:tcW w:w="120" w:type="dxa"/>
            <w:vAlign w:val="bottom"/>
            <w:vMerge w:val="restart"/>
          </w:tcPr>
          <w:p>
            <w:pPr>
              <w:spacing w:after="0"/>
              <w:rPr>
                <w:sz w:val="14"/>
                <w:szCs w:val="14"/>
                <w:color w:val="auto"/>
              </w:rPr>
            </w:pPr>
          </w:p>
        </w:tc>
        <w:tc>
          <w:tcPr>
            <w:tcW w:w="7200" w:type="dxa"/>
            <w:vAlign w:val="bottom"/>
            <w:vMerge w:val="restart"/>
          </w:tcPr>
          <w:p>
            <w:pPr>
              <w:ind w:left="2440"/>
              <w:spacing w:after="0"/>
              <w:rPr>
                <w:sz w:val="20"/>
                <w:szCs w:val="20"/>
                <w:color w:val="auto"/>
              </w:rPr>
            </w:pPr>
            <w:r>
              <w:rPr>
                <w:rFonts w:ascii="Arial" w:cs="Arial" w:eastAsia="Arial" w:hAnsi="Arial"/>
                <w:sz w:val="14"/>
                <w:szCs w:val="14"/>
                <w:b w:val="1"/>
                <w:bCs w:val="1"/>
                <w:color w:val="auto"/>
              </w:rPr>
              <w:t>Principal Occupation or Employment</w:t>
            </w:r>
          </w:p>
        </w:tc>
        <w:tc>
          <w:tcPr>
            <w:tcW w:w="120" w:type="dxa"/>
            <w:vAlign w:val="bottom"/>
            <w:vMerge w:val="restart"/>
          </w:tcPr>
          <w:p>
            <w:pPr>
              <w:spacing w:after="0"/>
              <w:rPr>
                <w:sz w:val="14"/>
                <w:szCs w:val="14"/>
                <w:color w:val="auto"/>
              </w:rPr>
            </w:pPr>
          </w:p>
        </w:tc>
        <w:tc>
          <w:tcPr>
            <w:tcW w:w="5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Age</w:t>
            </w:r>
          </w:p>
        </w:tc>
        <w:tc>
          <w:tcPr>
            <w:tcW w:w="100" w:type="dxa"/>
            <w:vAlign w:val="bottom"/>
            <w:vMerge w:val="restart"/>
          </w:tcPr>
          <w:p>
            <w:pPr>
              <w:spacing w:after="0"/>
              <w:rPr>
                <w:sz w:val="14"/>
                <w:szCs w:val="14"/>
                <w:color w:val="auto"/>
              </w:rPr>
            </w:pPr>
          </w:p>
        </w:tc>
        <w:tc>
          <w:tcPr>
            <w:tcW w:w="1140" w:type="dxa"/>
            <w:vAlign w:val="bottom"/>
          </w:tcPr>
          <w:p>
            <w:pPr>
              <w:jc w:val="right"/>
              <w:ind w:right="213"/>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28"/>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Chairman of the Board since 2005; Retired; President and Chief Operating Officer of ConAgra</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Foods, Inc. Venture Development Group from 2003 to 2005; President and Chief Operating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Officer of ConAgra Foods Snack Group (formerly Golden Valley Microwave Foods, Inc.) from</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1993 to 2003; President of McKeon Associates, Inc. (corporate finance consulting) from 1991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1993; Vice President of Northstar Industries, Inc. from 1976 to 1990.</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73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since 2011; President since 2010; Business Director — Food and</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6"/>
              </w:rPr>
              <w:t>Pharmaceuticals from 2009-2010; Business Manager — Food and Co-Extrusion Products from</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3"/>
              </w:rPr>
              <w:t>2007-2009; Sales Representative — Food Ingredients from 2002-2009; various positions with the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rPr>
              <w:t>company from 1992 to 2002.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of Karges-Faulconbridge, Inc. (engineering and technical services) since 1996.</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4"/>
              </w:rPr>
              <w:t>Retired; Vice President of Operations of Taylor Corporation from 1985 to 1999; various positions</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rPr>
              <w:t>with Taylor Corporation from 1966 to 1985.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Twin Cities Habitat for Humanity — Chief Operating Officer since January 2011; Andersen</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Corporation — Senior Vice President and General Manager from 2008 to 2010, Senior Vice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President, Research, Technology, Quality and Engineering from 2003 to 2008; various positions at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Ecolab Inc. from 1992 to 2003; various positions at The Pillsbury Company from 1979 to 1992.</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3"/>
              </w:rPr>
              <w:t>Retired; Vice President and Chief Procurement Officer of Lucent Technologies from 1997 to 2000;</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7"/>
              </w:rPr>
              <w:t>various positions at 3M from 1965 to 1997, most recently as Vice President of Purchasing and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rPr>
              <w:t>Packaging Engineering.</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Chief Brand Officer for Stauber Performance Ingredients, Inc., a wholly owned subsidiary of</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February 2016</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Hawkins, Inc., since December 2015; Chief Executive Officer of Stauber from 1998 to 2015,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from 1994 to 1998 and various other positions from 1984 to 1994.</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James T. Thompson</w:t>
            </w: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7"/>
              </w:rPr>
              <w:t>Retired; Executive Vice President — Commercial of The Mosaic Company from 2004 to 2007;</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2"/>
              </w:rPr>
              <w:t>board member, Sims Metal Management since 2009; various positions at Cargill, Inc. from 1974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rPr>
              <w:t>2004, most recently as President of Cargill Steel from 1996 to 2004.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Jeffrey L. Wright</w:t>
            </w: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7"/>
              </w:rPr>
              <w:t>Retired; G&amp;K Services — Chief Financial Officer from 1999 to 2014, Executive Vice President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Arial" w:cs="Arial" w:eastAsia="Arial" w:hAnsi="Arial"/>
                <w:sz w:val="18"/>
                <w:szCs w:val="18"/>
                <w:color w:val="auto"/>
                <w:w w:val="92"/>
              </w:rPr>
              <w:t>and Director from 2009 to 2014, Senior Vice President from 2004 to 2009, Treasurer and Secretary</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jc w:val="both"/>
        <w:ind w:left="2340" w:right="1980"/>
        <w:spacing w:after="0" w:line="277" w:lineRule="auto"/>
        <w:rPr>
          <w:sz w:val="20"/>
          <w:szCs w:val="20"/>
          <w:color w:val="auto"/>
        </w:rPr>
      </w:pPr>
      <w:r>
        <w:rPr>
          <w:rFonts w:ascii="Arial" w:cs="Arial" w:eastAsia="Arial" w:hAnsi="Arial"/>
          <w:sz w:val="17"/>
          <w:szCs w:val="17"/>
          <w:color w:val="auto"/>
        </w:rPr>
        <w:t>from 1999 to 2003; BMC Industries, Inc. — Treasurer from 1998 to 1999, Controller from 1996 to 1998; various positions at Employee Benefit Plans, Inc. from 1993 to 1996, most recently as Vice President and Treasurer; employed by Arthur Andersen &amp; Co. from 1984 to 1993.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23" w:right="239" w:bottom="1440" w:gutter="0" w:footer="0" w:header="0"/>
        </w:sectPr>
      </w:pPr>
    </w:p>
    <w:bookmarkStart w:id="5" w:name="page6"/>
    <w:bookmarkEnd w:id="5"/>
    <w:p>
      <w:pPr>
        <w:ind w:left="420"/>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On December 23, 2015, we entered into an employment agreement with Mr. Stauber pursuant to which he is to serve as a member of our Board of Directors through December 23, 2018, subject to the approval of the Board of Directors and the standard policies and procedures for such Board service or removal from the Board. Other than the foregoing, there are no arrangements or understandings between any director nominee and any other person pursuant to which a director nominee was selected as a director or a director nominee.</w:t>
      </w:r>
    </w:p>
    <w:p>
      <w:pPr>
        <w:spacing w:after="0" w:line="5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269" w:lineRule="exact"/>
        <w:rPr>
          <w:sz w:val="20"/>
          <w:szCs w:val="20"/>
          <w:color w:val="auto"/>
        </w:rPr>
      </w:pPr>
    </w:p>
    <w:p>
      <w:pPr>
        <w:ind w:left="740" w:right="16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McKeon </w:t>
      </w:r>
      <w:r>
        <w:rPr>
          <w:rFonts w:ascii="Arial" w:cs="Arial" w:eastAsia="Arial" w:hAnsi="Arial"/>
          <w:sz w:val="18"/>
          <w:szCs w:val="18"/>
          <w:color w:val="auto"/>
        </w:rPr>
        <w:t>has been our Chairman of the Board since 2005 and has extensive experience in management, manufacturing and corporate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served as President and Chief Operating Officer of ConAgra Foods, Inc. Venture Development Group. His knowledge of our company and its business is also valuable in formulating and executing our business plans and growth strategies.</w:t>
      </w:r>
    </w:p>
    <w:p>
      <w:pPr>
        <w:spacing w:after="0" w:line="181" w:lineRule="exact"/>
        <w:rPr>
          <w:rFonts w:ascii="Arial" w:cs="Arial" w:eastAsia="Arial" w:hAnsi="Arial"/>
          <w:sz w:val="18"/>
          <w:szCs w:val="18"/>
          <w:color w:val="auto"/>
        </w:rPr>
      </w:pPr>
    </w:p>
    <w:p>
      <w:pPr>
        <w:ind w:left="740" w:right="64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Hawkins </w:t>
      </w:r>
      <w:r>
        <w:rPr>
          <w:rFonts w:ascii="Arial" w:cs="Arial" w:eastAsia="Arial" w:hAnsi="Arial"/>
          <w:sz w:val="18"/>
          <w:szCs w:val="18"/>
          <w:color w:val="auto"/>
        </w:rPr>
        <w:t>has been our Chief Executive Officer since 2011. Mr. Hawkins has been with the company since 1992, giving him an intimate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our company and its business and a deep passion for our continued success.</w:t>
      </w:r>
    </w:p>
    <w:p>
      <w:pPr>
        <w:spacing w:after="0" w:line="170" w:lineRule="exact"/>
        <w:rPr>
          <w:rFonts w:ascii="Arial" w:cs="Arial" w:eastAsia="Arial" w:hAnsi="Arial"/>
          <w:sz w:val="18"/>
          <w:szCs w:val="18"/>
          <w:color w:val="auto"/>
        </w:rPr>
      </w:pPr>
    </w:p>
    <w:p>
      <w:pPr>
        <w:ind w:left="740" w:right="660" w:hanging="327"/>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Faulconbridge </w:t>
      </w:r>
      <w:r>
        <w:rPr>
          <w:rFonts w:ascii="Arial" w:cs="Arial" w:eastAsia="Arial" w:hAnsi="Arial"/>
          <w:sz w:val="18"/>
          <w:szCs w:val="18"/>
          <w:color w:val="auto"/>
        </w:rPr>
        <w:t>is a principal of Karges-Faulconbridge, Inc., an engineering and technical services firm that services a broad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including the ethanol industry. His background provides the company with technical expertise and insight into ethanol and other industries we serve.</w:t>
      </w:r>
    </w:p>
    <w:p>
      <w:pPr>
        <w:spacing w:after="0" w:line="181" w:lineRule="exact"/>
        <w:rPr>
          <w:rFonts w:ascii="Arial" w:cs="Arial" w:eastAsia="Arial" w:hAnsi="Arial"/>
          <w:sz w:val="18"/>
          <w:szCs w:val="18"/>
          <w:color w:val="auto"/>
        </w:rPr>
      </w:pPr>
    </w:p>
    <w:p>
      <w:pPr>
        <w:ind w:left="740" w:right="80" w:hanging="327"/>
        <w:spacing w:after="0" w:line="3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Mr. Jergenson </w:t>
      </w:r>
      <w:r>
        <w:rPr>
          <w:rFonts w:ascii="Arial" w:cs="Arial" w:eastAsia="Arial" w:hAnsi="Arial"/>
          <w:sz w:val="16"/>
          <w:szCs w:val="16"/>
          <w:color w:val="auto"/>
        </w:rPr>
        <w:t>has been on our Board since 1996. His operations management experience with Taylor Corporation, one of the largest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 the United States, provides valuable perspective and insight as our company seeks and implements growth opportunities.</w:t>
      </w:r>
    </w:p>
    <w:p>
      <w:pPr>
        <w:spacing w:after="0" w:line="123" w:lineRule="exact"/>
        <w:rPr>
          <w:rFonts w:ascii="Arial" w:cs="Arial" w:eastAsia="Arial" w:hAnsi="Arial"/>
          <w:sz w:val="16"/>
          <w:szCs w:val="16"/>
          <w:color w:val="auto"/>
        </w:rPr>
      </w:pPr>
    </w:p>
    <w:p>
      <w:pPr>
        <w:ind w:left="740" w:right="8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Ms. Schumacher </w:t>
      </w:r>
      <w:r>
        <w:rPr>
          <w:rFonts w:ascii="Arial" w:cs="Arial" w:eastAsia="Arial" w:hAnsi="Arial"/>
          <w:sz w:val="18"/>
          <w:szCs w:val="18"/>
          <w:color w:val="auto"/>
        </w:rPr>
        <w:t>has extensive knowledge of the chemical industry and valuable experience in research and development, quality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with major corporations such as Andersen Corporation, a manufacturer of windows and doors, Ecolab Corporation, a leading supplier of cleaning and sanitizing products and services and Pillsbury Company, a food manufacturer. In addition, Ms. Schumacher holds a bachelor’s degree in chemical engineering from the University of Minnesota.</w:t>
      </w:r>
    </w:p>
    <w:p>
      <w:pPr>
        <w:spacing w:after="0" w:line="186" w:lineRule="exact"/>
        <w:rPr>
          <w:rFonts w:ascii="Arial" w:cs="Arial" w:eastAsia="Arial" w:hAnsi="Arial"/>
          <w:sz w:val="18"/>
          <w:szCs w:val="18"/>
          <w:color w:val="auto"/>
        </w:rPr>
      </w:pPr>
    </w:p>
    <w:p>
      <w:pPr>
        <w:ind w:left="740" w:right="200" w:hanging="327"/>
        <w:spacing w:after="0" w:line="31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Mr. Stauber </w:t>
      </w:r>
      <w:r>
        <w:rPr>
          <w:rFonts w:ascii="Arial" w:cs="Arial" w:eastAsia="Arial" w:hAnsi="Arial"/>
          <w:sz w:val="16"/>
          <w:szCs w:val="16"/>
          <w:color w:val="auto"/>
        </w:rPr>
        <w:t>has extensive knowledge of the health and nutrition industry, having spent 31 years helping to build Stauber Performance Ingredients</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company we acquired in fiscal 2016, and having served as Chief Executive Officer of Stauber from 1998 to 2015. His knowledge of this business is valuable in formulating and executing our business plans and growth strategies for this new segment of our business.</w:t>
      </w:r>
    </w:p>
    <w:p>
      <w:pPr>
        <w:spacing w:after="0" w:line="146" w:lineRule="exact"/>
        <w:rPr>
          <w:rFonts w:ascii="Arial" w:cs="Arial" w:eastAsia="Arial" w:hAnsi="Arial"/>
          <w:sz w:val="16"/>
          <w:szCs w:val="16"/>
          <w:color w:val="auto"/>
        </w:rPr>
      </w:pPr>
    </w:p>
    <w:p>
      <w:pPr>
        <w:ind w:left="740" w:right="220" w:hanging="327"/>
        <w:spacing w:after="0" w:line="264" w:lineRule="auto"/>
        <w:tabs>
          <w:tab w:leader="none" w:pos="7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Mr. Skaar </w:t>
      </w:r>
      <w:r>
        <w:rPr>
          <w:rFonts w:ascii="Arial" w:cs="Arial" w:eastAsia="Arial" w:hAnsi="Arial"/>
          <w:sz w:val="18"/>
          <w:szCs w:val="18"/>
          <w:color w:val="auto"/>
        </w:rPr>
        <w:t>has extensive experience in purchasing and procurement for large public companies, having served as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Officer at Lucent Technologies and Vice President of Purchasing and Packing Engineering at 3M. This experience is valuable given the large number of products we must buy to operate our business.</w:t>
      </w:r>
    </w:p>
    <w:p>
      <w:pPr>
        <w:spacing w:after="0" w:line="181" w:lineRule="exact"/>
        <w:rPr>
          <w:rFonts w:ascii="Arial" w:cs="Arial" w:eastAsia="Arial" w:hAnsi="Arial"/>
          <w:sz w:val="18"/>
          <w:szCs w:val="18"/>
          <w:i w:val="1"/>
          <w:iCs w:val="1"/>
          <w:color w:val="auto"/>
        </w:rPr>
      </w:pPr>
    </w:p>
    <w:p>
      <w:pPr>
        <w:ind w:left="740" w:hanging="327"/>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Mr. Thompson </w:t>
      </w:r>
      <w:r>
        <w:rPr>
          <w:rFonts w:ascii="Arial" w:cs="Arial" w:eastAsia="Arial" w:hAnsi="Arial"/>
          <w:sz w:val="18"/>
          <w:szCs w:val="18"/>
          <w:color w:val="auto"/>
        </w:rPr>
        <w:t>has experience with major manufacturing and commodity companies, having served 30 years at Cargill, Inc., including eight years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Cargill Steel, and three years as Executive Vice President—Commercial for The Mosaic Company, one of the world’s leading producers and marketers of concentrated phosphate and potash. This knowledge and experience is valuable to us in our commodity chemicals business.</w:t>
      </w:r>
    </w:p>
    <w:p>
      <w:pPr>
        <w:spacing w:after="0" w:line="186" w:lineRule="exact"/>
        <w:rPr>
          <w:rFonts w:ascii="Arial" w:cs="Arial" w:eastAsia="Arial" w:hAnsi="Arial"/>
          <w:sz w:val="18"/>
          <w:szCs w:val="18"/>
          <w:color w:val="auto"/>
        </w:rPr>
      </w:pPr>
    </w:p>
    <w:p>
      <w:pPr>
        <w:ind w:left="740" w:right="80" w:hanging="327"/>
        <w:spacing w:after="0" w:line="286"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Mr. Wright </w:t>
      </w:r>
      <w:r>
        <w:rPr>
          <w:rFonts w:ascii="Arial" w:cs="Arial" w:eastAsia="Arial" w:hAnsi="Arial"/>
          <w:sz w:val="17"/>
          <w:szCs w:val="17"/>
          <w:color w:val="auto"/>
        </w:rPr>
        <w:t>has extensive public company finance and audit experience, having served as Chief Financial Officer of G&amp;K Services, Inc. and having</w:t>
      </w:r>
      <w:r>
        <w:rPr>
          <w:rFonts w:ascii="Arial" w:cs="Arial" w:eastAsia="Arial" w:hAnsi="Arial"/>
          <w:sz w:val="17"/>
          <w:szCs w:val="17"/>
          <w:i w:val="1"/>
          <w:iCs w:val="1"/>
          <w:color w:val="auto"/>
        </w:rPr>
        <w:t xml:space="preserve"> </w:t>
      </w:r>
      <w:r>
        <w:rPr>
          <w:rFonts w:ascii="Arial" w:cs="Arial" w:eastAsia="Arial" w:hAnsi="Arial"/>
          <w:sz w:val="17"/>
          <w:szCs w:val="17"/>
          <w:color w:val="auto"/>
        </w:rPr>
        <w:t>been employed by Arthur Andersen &amp; Co. He also has public company board experience, previously serving as a director of G&amp;K Services, Inc. His background provides us with valuable financial and accounting experience as well as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right="500" w:firstLine="432"/>
        <w:spacing w:after="0" w:line="264" w:lineRule="auto"/>
        <w:rPr>
          <w:sz w:val="20"/>
          <w:szCs w:val="20"/>
          <w:color w:val="auto"/>
        </w:rPr>
      </w:pPr>
      <w:r>
        <w:rPr>
          <w:rFonts w:ascii="Arial" w:cs="Arial" w:eastAsia="Arial" w:hAnsi="Arial"/>
          <w:sz w:val="18"/>
          <w:szCs w:val="18"/>
          <w:color w:val="auto"/>
        </w:rPr>
        <w:t>Our Board of Directors has determined that, of the director nominees, each of Messrs. Faulconbridge, Jergenson, McKeon, Skaar, Thompson and Wright, and Ms. Schumacher, are “Independent Directors” as that term is defined under the applicable listing standards of the NASDAQ Stock Market. Accordingly, a majority of our directors are independent.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4"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Our Board of Directors held six meetings during the fiscal year ended April 3, 2016, hereinafter referred to as “fiscal 2016.” All then active directors attended at least 75% of the meetings of our Board of Directors and the committees on which they served. All then active directors attended our Annual Meeting of Shareholders in 2015. Our Board of Directors encourages, but does not require, director attendance at annual meetings of shareholders.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9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Audit Committee, which consists of Jeffrey L. Wright (Chair), James A. Faulconbridge, Mary J. Schumacher and Daryl I. Skaar,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2016.</w:t>
      </w:r>
    </w:p>
    <w:p>
      <w:pPr>
        <w:spacing w:after="0" w:line="19"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Wright, Faulconbridge and Skaar, and Ms. Schumacher, are “audit committee financial experts,” as the term is defined by regulations promulgated by the Securities and Exchange Commission (SEC).</w:t>
      </w:r>
    </w:p>
    <w:p>
      <w:pPr>
        <w:spacing w:after="0" w:line="3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Compensation Committee, which currently consists of James T. Thompson (Chair), Duane M. Jergenson, Mary J. Schumacher, Daryl I. Skaar, and Jeffrey L. Wright, is responsible for establishing compensation policies for our company and for reviewing and setting compensation for our executive officers. The Compensation Committee held four meetings during fiscal 2016.</w:t>
      </w:r>
    </w:p>
    <w:p>
      <w:pPr>
        <w:spacing w:after="0" w:line="46"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1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Compensation Committee retained independent compensation consultant McLagan to provide the Compensation Committee with independent advice regarding industry practices for fiscal 2016. No member of the Board of Directors or any executive officer has any affiliation with McLagan. McLagan provides no other services to the company, and reports directly to the chair of the Compensation Committee. The Compensation Committee has assessed the independence of McLagan in accordance with SEC rules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provided market information and analysis regarding the competitiveness of levels and components of total compensation for the company’s named executive officers for fiscal 2016. In determining the competitiveness of such compensation, the Compensation Committee reviewed survey data. The company does not benchmark its compensation. The Compensation Committee reviews and considers the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2" w:right="259" w:bottom="1440" w:gutter="0" w:footer="0" w:header="0"/>
        </w:sectPr>
      </w:pPr>
    </w:p>
    <w:bookmarkStart w:id="7" w:name="page8"/>
    <w:bookmarkEnd w:id="7"/>
    <w:p>
      <w:pPr>
        <w:ind w:right="280"/>
        <w:spacing w:after="0" w:line="277" w:lineRule="auto"/>
        <w:rPr>
          <w:sz w:val="20"/>
          <w:szCs w:val="20"/>
          <w:color w:val="auto"/>
        </w:rPr>
      </w:pPr>
      <w:r>
        <w:rPr>
          <w:rFonts w:ascii="Arial" w:cs="Arial" w:eastAsia="Arial" w:hAnsi="Arial"/>
          <w:sz w:val="18"/>
          <w:szCs w:val="18"/>
          <w:color w:val="auto"/>
        </w:rPr>
        <w:t>information provided by McLagan to understand current compensation practices, levels and structures and to inform its compensation decisions, but not to establish specific compensation parameters based on such data.</w:t>
      </w:r>
    </w:p>
    <w:p>
      <w:pPr>
        <w:spacing w:after="0" w:line="35"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The Compensation Committee also regularly consults with our Chief Executive Officer, who makes recommendations to the Compensation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2016. The Governance and Nominating Committee evaluated potential candidates for director nomination on the basis indicated below and recommended to the Board of Directors that the director nominees included in this Proxy Statement be submitted to the shareholders for election at the upcoming Annual Meeting of Shareholders.</w:t>
      </w:r>
    </w:p>
    <w:p>
      <w:pPr>
        <w:spacing w:after="0" w:line="4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94"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4"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of the Board of Directors is primarily responsible for monitoring management’s responsibility in the area of financial risk oversight, and financial risk management is a factor the Board and the Governance and Nominating Committee consider when determining which directors serve on the Audit Committee. Accordingly, management has reported to the Board of Directors and Audit Committee on various risk management matters during fiscal 2016.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Shareholders can contact the full Board of Directors,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80"/>
          </w:cols>
          <w:pgMar w:left="240" w:top="742"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Audit Committee has (i) reviewed and discussed our audited financial statements for fiscal 2016 with both our management and KPMG LLP (“KPMG”); (ii) discussed with KPMG the matters required to be discussed by the applicable Public Company Accounting Oversight Board standards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5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fiscal 2016 for filing with the SEC.</w:t>
      </w:r>
    </w:p>
    <w:p>
      <w:pPr>
        <w:spacing w:after="0" w:line="35" w:lineRule="exact"/>
        <w:rPr>
          <w:sz w:val="20"/>
          <w:szCs w:val="20"/>
          <w:color w:val="auto"/>
        </w:rPr>
      </w:pPr>
    </w:p>
    <w:p>
      <w:pPr>
        <w:ind w:left="2240"/>
        <w:spacing w:after="0"/>
        <w:tabs>
          <w:tab w:leader="none" w:pos="4420" w:val="left"/>
          <w:tab w:leader="none" w:pos="660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6"/>
          <w:szCs w:val="16"/>
          <w:i w:val="1"/>
          <w:iCs w:val="1"/>
          <w:color w:val="auto"/>
        </w:rPr>
        <w:t>Mary J. Schumacher Daryl I. Skaar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shows the aggregate fees charged to us by our independent registered public accounting firm, KPMG LLP, for services rendered during fiscal 2016 and fiscal 2015. The Audit Committee pre-approved all of the services described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 of Fees</w:t>
            </w:r>
          </w:p>
        </w:tc>
        <w:tc>
          <w:tcPr>
            <w:tcW w:w="34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Fiscal 2016</w:t>
            </w:r>
          </w:p>
        </w:tc>
        <w:tc>
          <w:tcPr>
            <w:tcW w:w="380" w:type="dxa"/>
            <w:vAlign w:val="bottom"/>
          </w:tcPr>
          <w:p>
            <w:pPr>
              <w:spacing w:after="0"/>
              <w:rPr>
                <w:sz w:val="14"/>
                <w:szCs w:val="14"/>
                <w:color w:val="auto"/>
              </w:rPr>
            </w:pPr>
          </w:p>
        </w:tc>
        <w:tc>
          <w:tcPr>
            <w:tcW w:w="1560" w:type="dxa"/>
            <w:vAlign w:val="bottom"/>
          </w:tcPr>
          <w:p>
            <w:pPr>
              <w:jc w:val="right"/>
              <w:ind w:right="537"/>
              <w:spacing w:after="0"/>
              <w:rPr>
                <w:sz w:val="20"/>
                <w:szCs w:val="20"/>
                <w:color w:val="auto"/>
              </w:rPr>
            </w:pPr>
            <w:r>
              <w:rPr>
                <w:rFonts w:ascii="Arial" w:cs="Arial" w:eastAsia="Arial" w:hAnsi="Arial"/>
                <w:sz w:val="14"/>
                <w:szCs w:val="14"/>
                <w:b w:val="1"/>
                <w:bCs w:val="1"/>
                <w:color w:val="auto"/>
              </w:rPr>
              <w:t>Fiscal 2015</w:t>
            </w:r>
          </w:p>
        </w:tc>
        <w:tc>
          <w:tcPr>
            <w:tcW w:w="0" w:type="dxa"/>
            <w:vAlign w:val="bottom"/>
          </w:tcPr>
          <w:p>
            <w:pPr>
              <w:spacing w:after="0"/>
              <w:rPr>
                <w:sz w:val="1"/>
                <w:szCs w:val="1"/>
                <w:color w:val="auto"/>
              </w:rPr>
            </w:pPr>
          </w:p>
        </w:tc>
      </w:tr>
      <w:tr>
        <w:trPr>
          <w:trHeight w:val="158"/>
        </w:trPr>
        <w:tc>
          <w:tcPr>
            <w:tcW w:w="75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3"/>
                <w:szCs w:val="13"/>
                <w:color w:val="auto"/>
              </w:rPr>
            </w:pPr>
          </w:p>
        </w:tc>
        <w:tc>
          <w:tcPr>
            <w:tcW w:w="1560" w:type="dxa"/>
            <w:vAlign w:val="bottom"/>
          </w:tcPr>
          <w:p>
            <w:pPr>
              <w:jc w:val="right"/>
              <w:ind w:right="637"/>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563,900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279,000</w:t>
            </w:r>
          </w:p>
        </w:tc>
        <w:tc>
          <w:tcPr>
            <w:tcW w:w="0" w:type="dxa"/>
            <w:vAlign w:val="bottom"/>
          </w:tcPr>
          <w:p>
            <w:pPr>
              <w:spacing w:after="0"/>
              <w:rPr>
                <w:sz w:val="1"/>
                <w:szCs w:val="1"/>
                <w:color w:val="auto"/>
              </w:rPr>
            </w:pPr>
          </w:p>
        </w:tc>
      </w:tr>
      <w:tr>
        <w:trPr>
          <w:trHeight w:val="243"/>
        </w:trPr>
        <w:tc>
          <w:tcPr>
            <w:tcW w:w="7560" w:type="dxa"/>
            <w:vAlign w:val="bottom"/>
            <w:gridSpan w:val="3"/>
          </w:tcPr>
          <w:p>
            <w:pPr>
              <w:ind w:left="40"/>
              <w:spacing w:after="0"/>
              <w:rPr>
                <w:sz w:val="20"/>
                <w:szCs w:val="20"/>
                <w:color w:val="auto"/>
              </w:rPr>
            </w:pPr>
            <w:r>
              <w:rPr>
                <w:rFonts w:ascii="Arial" w:cs="Arial" w:eastAsia="Arial" w:hAnsi="Arial"/>
                <w:sz w:val="18"/>
                <w:szCs w:val="18"/>
                <w:color w:val="auto"/>
              </w:rPr>
              <w:t>Audit-related fees (a)</w:t>
            </w: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71,022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634,922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279,000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160" w:hanging="412"/>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amounts related to financial due diligence services related to the acquisition of Stauber Performance Ingredients as well as amounts related to SEC filings in connection with the transaction.</w:t>
      </w:r>
    </w:p>
    <w:p>
      <w:pPr>
        <w:spacing w:after="0" w:line="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2016:</w:t>
      </w:r>
    </w:p>
    <w:p>
      <w:pPr>
        <w:spacing w:after="0" w:line="35"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Kathleen P. Pepski, Vice President, Chief Financial Officer and Treasurer;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John R. Sevenich, Vice President - Industrial Group;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Thomas J. Keller, Vice President - Water Treatment Group.</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3" w:right="239" w:bottom="1440" w:gutter="0" w:footer="0" w:header="0"/>
        </w:sectPr>
      </w:pPr>
    </w:p>
    <w:bookmarkStart w:id="10" w:name="page11"/>
    <w:bookmarkEnd w:id="10"/>
    <w:p>
      <w:pPr>
        <w:ind w:right="100"/>
        <w:spacing w:after="0" w:line="259" w:lineRule="auto"/>
        <w:rPr>
          <w:sz w:val="20"/>
          <w:szCs w:val="20"/>
          <w:color w:val="auto"/>
        </w:rPr>
      </w:pPr>
      <w:r>
        <w:rPr>
          <w:rFonts w:ascii="Arial" w:cs="Arial" w:eastAsia="Arial" w:hAnsi="Arial"/>
          <w:sz w:val="18"/>
          <w:szCs w:val="18"/>
          <w:color w:val="auto"/>
        </w:rPr>
        <w:t>interests of our shareholders. During fiscal 2016, our compensation committee made no significant changes to its executive compensation policies or to the structure of our executive compensation program, having taken into account, among other things, the fact that the holders of over 95% of the shares voted at our 2015 annual meeting of shareholders approved, on an advisory basis, the compensation of our named executive officers as disclosed in the proxy statement for that annual meeting.</w:t>
      </w:r>
    </w:p>
    <w:p>
      <w:pPr>
        <w:spacing w:after="0" w:line="52"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named executive officers received payouts of 97% of the targeted payout level for the corporate performance measure under our annual non-equity incentive compensation arrangement and earned 97% of the targeted number of restricted shares issuable in settlement of the performance-based restricted stock units granted for fiscal 2016 as described below. The corporate performance measure for fiscal 2016 for purposes of both the non-equity and equity-based incentive arrangements was income before income taxes, adjusted to exclude the impact of acquisitions completed during the fiscal year.</w:t>
      </w:r>
    </w:p>
    <w:p>
      <w:pPr>
        <w:spacing w:after="0" w:line="1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Gross profit for our Industrial segment was $38.0 million for fiscal 2016, as compared to $33.6 million for fiscal 2015. Gross profit for our Water Treatment segment was $35.5 million for fiscal 2016, as compared to $32.2 million for fiscal 2015. The Compensation Committee utilized an operational measure of business unit profitability, which includes gross profit as a component of that profitability measure, as the performance measure for the business unit performance portion of the non-equity incentive compensation arrangement. The actual performance against that operating measure was above target for the Industrial segment and below target for the Water Treatment segment. As a result, our Vice President - Industrial Group received an above-target payout, and our Vice President - Water Treatment Group received a below-target payout, under the business unit performance measures of our annual non-equity incentive compensation arrangement.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Determining Executive Compensation for Fiscal 2016</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198" w:lineRule="exact"/>
        <w:rPr>
          <w:sz w:val="20"/>
          <w:szCs w:val="20"/>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McLagan provided no other services to the company in fiscal 2016.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May 2015, the Compensation Committee approved increases in the base salaries of the named executive officers of approximately 2 - 5% based on its evaluation of the competitive information available to it. The base salaries paid to our executive officers during the last three completed fiscal years are listed in the Summary Compensation Table below.</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665" w:right="29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90"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2016, the Compensation Committee designated financial performance goals, including a corporate pre-tax income performance measure and, for each executive in charge of a business unit, an operational measure of business unit profitability, as well as individual objectives for determining whether a cash incentive payment would be paid under the arrangement and in what amount.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our named executive officers were based on the following percentages of base salary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left="328"/>
              <w:spacing w:after="0"/>
              <w:rPr>
                <w:sz w:val="20"/>
                <w:szCs w:val="20"/>
                <w:color w:val="auto"/>
              </w:rPr>
            </w:pPr>
            <w:r>
              <w:rPr>
                <w:rFonts w:ascii="Arial" w:cs="Arial" w:eastAsia="Arial" w:hAnsi="Arial"/>
                <w:sz w:val="14"/>
                <w:szCs w:val="14"/>
                <w:b w:val="1"/>
                <w:bCs w:val="1"/>
                <w:color w:val="auto"/>
                <w:w w:val="91"/>
              </w:rPr>
              <w:t>Threshold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5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Annual Cash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Annual Cash</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Incentive Payment</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Vice President - Industrial Group</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 Group</w:t>
            </w:r>
          </w:p>
        </w:tc>
        <w:tc>
          <w:tcPr>
            <w:tcW w:w="15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Compensation Committee established the payment opportunities for each of the executive officers based on the relative scope of his or her responsibilities and resulting ability to impact the company’s performance. The Compensation Committee established a higher percentage payment opportunity for the Chief Executive Officer to reflect his significant responsibilities regarding the creation and implementation of long-term strategic direction for the entire company.</w:t>
      </w:r>
    </w:p>
    <w:p>
      <w:pPr>
        <w:spacing w:after="0" w:line="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2016 should be based upon corporate performance against the pre-tax income goal to reflect their significant company-wide responsibilities and resulting ability to impact the overall success of the company. In addition, the Compensation Committee determined that 20% should be based upon meeting their individual objectives and overall job performance.</w:t>
      </w:r>
    </w:p>
    <w:p>
      <w:pPr>
        <w:spacing w:after="0" w:line="52"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The Compensation Committee determined that 40% of the annual cash incentive payment opportunities for Mr. Keller and Mr. Sevenich for fiscal 2016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 and overall job performance.</w:t>
      </w:r>
    </w:p>
    <w:p>
      <w:pPr>
        <w:spacing w:after="0" w:line="63" w:lineRule="exact"/>
        <w:rPr>
          <w:sz w:val="20"/>
          <w:szCs w:val="20"/>
          <w:color w:val="auto"/>
        </w:rPr>
      </w:pPr>
    </w:p>
    <w:p>
      <w:pPr>
        <w:ind w:right="380" w:firstLine="432"/>
        <w:spacing w:after="0" w:line="286" w:lineRule="auto"/>
        <w:rPr>
          <w:sz w:val="20"/>
          <w:szCs w:val="20"/>
          <w:color w:val="auto"/>
        </w:rPr>
      </w:pPr>
      <w:r>
        <w:rPr>
          <w:rFonts w:ascii="Arial" w:cs="Arial" w:eastAsia="Arial" w:hAnsi="Arial"/>
          <w:sz w:val="16"/>
          <w:szCs w:val="16"/>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6"/>
          <w:szCs w:val="16"/>
          <w:i w:val="1"/>
          <w:iCs w:val="1"/>
          <w:color w:val="auto"/>
        </w:rPr>
        <w:t>e.g</w:t>
      </w:r>
      <w:r>
        <w:rPr>
          <w:rFonts w:ascii="Arial" w:cs="Arial" w:eastAsia="Arial" w:hAnsi="Arial"/>
          <w:sz w:val="16"/>
          <w:szCs w:val="16"/>
          <w:color w:val="auto"/>
        </w:rPr>
        <w:t>., achieving 90% of the performance target will lead to a payout of 75% of the target level cash incentive payment). Performance between 100% and</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5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 xml:space="preserve">Corporate and Business Unit Financial Measures. </w:t>
      </w:r>
      <w:r>
        <w:rPr>
          <w:rFonts w:ascii="Arial" w:cs="Arial" w:eastAsia="Arial" w:hAnsi="Arial"/>
          <w:sz w:val="18"/>
          <w:szCs w:val="18"/>
          <w:color w:val="auto"/>
        </w:rPr>
        <w:t>The corporate performance portion of the annual cash incentive payment was based on our company-wide results for fiscal 2016 as measured by income before income taxes, excluding the impact of acquisitions closed during fiscal 2016 and not contemplated in setting the target, as compared to a targeted level of the same financial measure for that period. The business unit performance portion of the annual cash incentive payment was based on an operational measure of business unit profitability for fiscal 2016 that measures product sales less the cost of materials including freight in, the freight costs to deliver the product to the customer and the selling costs as compared to a targeted level of such operational profitability for the respective business unit for that period. In each case, the targeted levels of performance were based on the level of anticipated performance that was derived from the company’s annual operating plan. In the case of assessing performance against both the corporate and Water Treatment Group financial measures, the actual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performance achieved was adjusted to exclude the impact of acquisitions completed in fiscal 2016. The corporate and business unit financial goals for fiscal 2016 and the actual performance against those goals are summarized in the following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Threshold</w:t>
            </w: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14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4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25,819,210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32,274,013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38,728,816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31,934,993</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Water Treatment Group Operational Profitability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Measure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22,692,260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28,365,325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34,038,390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26,439,554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Industrial Group Operational Profitability Measure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41,889,817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52,362,271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62,834,725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53,454,142</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before income taxes was the best measure of overall corporate financial performance and that the operational profitability measures described above were the best measures of business unit financial performance.</w:t>
      </w:r>
    </w:p>
    <w:p>
      <w:pPr>
        <w:spacing w:after="0" w:line="1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Because our income before income taxes was below the target level performance for the 2016 fiscal year, our named executive officers received approximately 97% of the targeted payout under the corporate financial performance element of the annual cash incentive arrangement. Because business unit operational profitability performance for the Industrial Group was between target and maximum performance levels, Mr. Sevenich received approximately 110% of his targeted payout under the Industrial Group financial measure. Because business unit operational profitability performance for the Water Treatment Group was between threshold and target performance levels, Mr. Keller received approximately 83% of his targeted payout under the Water Treatment Group financial measure. While the Compensation Committee has discretion to adjust the size of the final payouts under the program, it has not typically done so.</w:t>
      </w:r>
    </w:p>
    <w:p>
      <w:pPr>
        <w:spacing w:after="0" w:line="5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i w:val="1"/>
          <w:iCs w:val="1"/>
          <w:color w:val="auto"/>
        </w:rPr>
        <w:t xml:space="preserve">Individual Objectives and Job Performance. </w:t>
      </w:r>
      <w:r>
        <w:rPr>
          <w:rFonts w:ascii="Arial" w:cs="Arial" w:eastAsia="Arial" w:hAnsi="Arial"/>
          <w:sz w:val="17"/>
          <w:szCs w:val="17"/>
          <w:color w:val="auto"/>
        </w:rPr>
        <w:t>The Compensation Committee established multiple individual objectives for each executive officer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The individual objectives for our Chief Executive Officer included overseeing strategic direction matters, business expansion matters and operational efficiency initiatives. For our Chief Financial Officer, the individual objectives included supporting acquisition activities, overseeing significant information technology initiatives and talent management and engagement initiatives. For our General Counsel, the individual objectives included supporting acquisition activities and legal support to other business expansion activities and overseeing health, safety and environmental initiatives. For our Vice President - Industrial Group, the individual objectives included business expansion initiatives. For our Vice President - Water Treatment Group, the individual objectives included business expansion initiatives. The Compensation Committee consulted with our Chief Executive Officer for his assessment of the overall job performance of the other executive officers and the degree to which the other executive officers had met their respective individual objectives, and then made its own determination as to the Chief Executive Officer’s overall job performance and the degree to which the he had met his individual objectives. The Compensation Committee then determined the appropriate level of payout under these individual objectives in light of the individual performance, which includes evaluation of the level of overall performance effectiveness, of each of the executive officers.</w:t>
      </w:r>
    </w:p>
    <w:p>
      <w:pPr>
        <w:spacing w:after="0" w:line="7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Achievement of individual objectives and job performance effectiveness is qualitative and more subjective than the assessment of financial measures. Messrs. Hawkins, Erstad, Keller and Ms. Pepski were awarded a target level annual cash incentive payment for individual objectives and job performance. Mr. Sevenich was awarded an annual cash incentive equal to 60% of the target amount for his individual objectives and job performance. For fiscal 2016, the Compensation Committee awarded an additional cash bonus in the amount of $50,000 to Mr. Hawkins, Ms. Pepski and Mr. Erstad for their efforts in the Stauber acquisition.</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Equity Awards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equity incentive compensation program is designed to:</w:t>
      </w:r>
    </w:p>
    <w:p>
      <w:pPr>
        <w:spacing w:after="0" w:line="198"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 under certain of the equity awards,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under the equity awards,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65" w:right="259" w:bottom="1440" w:gutter="0" w:footer="0" w:header="0"/>
        </w:sectPr>
      </w:pPr>
    </w:p>
    <w:bookmarkStart w:id="13" w:name="page14"/>
    <w:bookmarkEnd w:id="13"/>
    <w:p>
      <w:pPr>
        <w:ind w:right="60" w:firstLine="432"/>
        <w:spacing w:after="0" w:line="302" w:lineRule="auto"/>
        <w:rPr>
          <w:sz w:val="20"/>
          <w:szCs w:val="20"/>
          <w:color w:val="auto"/>
        </w:rPr>
      </w:pPr>
      <w:r>
        <w:rPr>
          <w:rFonts w:ascii="Arial" w:cs="Arial" w:eastAsia="Arial" w:hAnsi="Arial"/>
          <w:sz w:val="16"/>
          <w:szCs w:val="16"/>
          <w:color w:val="auto"/>
        </w:rPr>
        <w:t>For fiscal 2016, as had been the case in each of the prior two fiscal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Compensation Committee determined, with the assistance of McLagan, to continue granting performance-based restricted stock units to our executives so that a significant portion of the executive’s compensation would be performance-based.</w:t>
      </w:r>
    </w:p>
    <w:p>
      <w:pPr>
        <w:spacing w:after="0" w:line="1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For fiscal 2016, each named executive officer’s target level restricted stock unit grant was based on a percentage of the executive’s base salary, which was converted into a target number of units based on the closing market price of a share of our common stock on the date of grant. These grants, made in May 2015, provided that each named executive officer would receive a number of restricted shares of our common stock based on our performance during the fiscal year against the same pre-tax income target used in the annual non-equity incentive program described above.</w:t>
      </w:r>
    </w:p>
    <w:p>
      <w:pPr>
        <w:spacing w:after="0" w:line="3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actual number of restricted stock units that would vest and be settled on a one-for-one basis in restricted shares was based on a sliding scale for the relevant income above or below the target level, and was subject to minimum threshold and maximum settlement amounts. For fiscal 2016, the target was set at $32,274,013, the same level as our target used for our non-equity incentive plan arrangement described above, while our actual performance, adjusted to exclude the impact of the acquisitions closed in fiscal 2016, was $31,934,993. If our actual results were less than 80% of the target in fiscal 2016, then no restricted stock units would vest and be settled in restricted shares. If our actual results were between 80% and 100% of the target in fiscal 2016, then a number of restricted stock units would have vested and been settled in restricted shares based on a sliding scale between 50% and 100% of the target number of restricted stock units. If our actual results were between 100% and 120% of the target in fiscal 2016, then a number of restricted stock units would have vested and been settled in restricted shares based on a sliding scale between 100% and 150% of the target number of restricted stock units. Because our actual results were less than 100% of the target in fiscal 2016, the named executive officers each received restricted shares equal to approximately 97% of the target number of restricted stock units.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established the following performance-based restricted stock unit award amounts for the executive officers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Target % of</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Units Vested and</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Minimum</w:t>
            </w:r>
          </w:p>
        </w:tc>
        <w:tc>
          <w:tcPr>
            <w:tcW w:w="100" w:type="dxa"/>
            <w:vAlign w:val="bottom"/>
            <w:vMerge w:val="restart"/>
          </w:tcPr>
          <w:p>
            <w:pPr>
              <w:spacing w:after="0"/>
              <w:rPr>
                <w:sz w:val="12"/>
                <w:szCs w:val="12"/>
                <w:color w:val="auto"/>
              </w:rPr>
            </w:pPr>
          </w:p>
        </w:tc>
        <w:tc>
          <w:tcPr>
            <w:tcW w:w="13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Target</w:t>
            </w:r>
          </w:p>
        </w:tc>
        <w:tc>
          <w:tcPr>
            <w:tcW w:w="120" w:type="dxa"/>
            <w:vAlign w:val="bottom"/>
            <w:vMerge w:val="restart"/>
          </w:tcPr>
          <w:p>
            <w:pPr>
              <w:spacing w:after="0"/>
              <w:rPr>
                <w:sz w:val="12"/>
                <w:szCs w:val="12"/>
                <w:color w:val="auto"/>
              </w:rPr>
            </w:pPr>
          </w:p>
        </w:tc>
        <w:tc>
          <w:tcPr>
            <w:tcW w:w="13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Maximum</w:t>
            </w:r>
          </w:p>
        </w:tc>
        <w:tc>
          <w:tcPr>
            <w:tcW w:w="120" w:type="dxa"/>
            <w:vAlign w:val="bottom"/>
            <w:vMerge w:val="restart"/>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Shares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Actually Issued</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12,876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8,359</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Vice President - Industrial Group</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 Group</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5,503</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on the Compensation Committee’s assessment of the relative scope of his or her responsibilities and the resulting ability of the individual to impact the company’s performance, as well as information provided by McLagan.</w:t>
      </w:r>
    </w:p>
    <w:p>
      <w:pPr>
        <w:spacing w:after="0" w:line="5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The actual number of restricted shares issued to each of the executive officers was determined after our audited financial information became available for fiscal 2016. The restricted shares will vest 100% two years after the end of fiscal 2016. The restricted shares will be forfeited in their entirety if the executive officer departs the company before the end of the vesting period other than in cases of death or disability.</w:t>
      </w:r>
    </w:p>
    <w:p>
      <w:pPr>
        <w:spacing w:after="0" w:line="30"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 Incentive Plan, “fundamental change” generally includes any one of the following, unless otherwise provided in an award agreement: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65" w:right="259" w:bottom="1440" w:gutter="0" w:footer="0" w:header="0"/>
        </w:sectPr>
      </w:pPr>
    </w:p>
    <w:bookmarkStart w:id="14" w:name="page15"/>
    <w:bookmarkEnd w:id="14"/>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23"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15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2010 Omnibus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Severance Arrangements</w:t>
      </w:r>
    </w:p>
    <w:p>
      <w:pPr>
        <w:spacing w:after="0" w:line="13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Our Compensation Committee has adopted an Executive Severance Plan covering our Chief Executive Officer and certain other key employees, including all of our named executive officers. We believe that the benefits provided by the Executive Severance Plan Severance help attract executive talent and create an environment that provides for adequate business transition and knowledge transfer during times of change.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All of our executive officers participate in our Profit Sharing Plan, which includes a 401(k) component, which is available to the majority of our other non-bargaining unit employees. Our executive officers also participate in our Employee Stock Ownership Plan, or ESOP. Contributions to the Profit Sharing Plan and ESOP by us on behalf of our executive officers have been a key component of our retention objectives since the contributed benefits initially vest over a six-year period.</w:t>
      </w:r>
    </w:p>
    <w:p>
      <w:pPr>
        <w:spacing w:after="0" w:line="79"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Under the plans, our executive officers participate on the same terms as all other eligible employees, with the annual compensation that was used to determine plan benefits capped at the federal tax law limit of $265,000 for fiscal 2016. This limit will be adjusted in future years under federal tax law for cost-of-living increases.</w:t>
      </w:r>
    </w:p>
    <w:p>
      <w:pPr>
        <w:spacing w:after="0" w:line="46"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Under our Profit Sharing Plan, we contributed a percentage of each eligible participant’s compensation to an account maintained for the participant under the plan. For fiscal 2016, we made contributions to the Profit Sharing Plan equal to 5% of each participant’s compensation in the plan year, subject to the cap on the plan benefits, resulting in a contribution of $13,250 on behalf of each named executive officer. Participants may also participate in the 401(k) component of the Profit Sharing Plan under which employee contributions are matched by the company up to a maximum of five percent of the participant’s eligible earnings. Participant accounts are credited with the appropriate gains or losses resulting from employee-directed investments made by the plan.</w:t>
      </w:r>
    </w:p>
    <w:p>
      <w:pPr>
        <w:spacing w:after="0" w:line="23" w:lineRule="exact"/>
        <w:rPr>
          <w:sz w:val="20"/>
          <w:szCs w:val="20"/>
          <w:color w:val="auto"/>
        </w:rPr>
      </w:pPr>
    </w:p>
    <w:p>
      <w:pPr>
        <w:ind w:right="120" w:firstLine="351"/>
        <w:spacing w:after="0" w:line="279" w:lineRule="auto"/>
        <w:rPr>
          <w:sz w:val="20"/>
          <w:szCs w:val="20"/>
          <w:color w:val="auto"/>
        </w:rPr>
      </w:pPr>
      <w:r>
        <w:rPr>
          <w:rFonts w:ascii="Arial" w:cs="Arial" w:eastAsia="Arial" w:hAnsi="Arial"/>
          <w:sz w:val="17"/>
          <w:szCs w:val="17"/>
          <w:color w:val="auto"/>
        </w:rPr>
        <w:t>Under our ESOP, we may contribute a percentage of each eligible participant’s compensation to the plan, which is then credited to individual accounts maintained for participants under the plan. Contributions are made at the discretion of our Board of Directors. For fiscal 2016, we made contributions to this plan equal to 5% of each participant’s eligible compensation in the plan year, resulting in a contribution of $13,250 on behalf of each executive officer. Participant accounts are credited with the appropriate gains or losses resulting from the investments made by the plan.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ind w:right="380" w:firstLine="432"/>
        <w:spacing w:after="0" w:line="334" w:lineRule="auto"/>
        <w:rPr>
          <w:sz w:val="20"/>
          <w:szCs w:val="20"/>
          <w:color w:val="auto"/>
        </w:rPr>
      </w:pPr>
      <w:r>
        <w:rPr>
          <w:rFonts w:ascii="Arial" w:cs="Arial" w:eastAsia="Arial" w:hAnsi="Arial"/>
          <w:sz w:val="16"/>
          <w:szCs w:val="16"/>
          <w:color w:val="auto"/>
        </w:rPr>
        <w:t>The Compensation Committee believes that we must offer a competitive benefits program to attract and retain our executive officers. During fiscal 2016, we provided medical and other health and welfare benefits to our executive officers that are generally available to our other employees.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Deductibility of Compensation</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w:t>
      </w:r>
    </w:p>
    <w:p>
      <w:pPr>
        <w:spacing w:after="0" w:line="5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Certain kinds of compensation, including qualified “performance-based compensation,” are disregarded for purposes of the deduction limitation. In order to qualify as “performance-based compensation” for Section 162(m) purposes, compensation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5" w:name="page16"/>
    <w:bookmarkEnd w:id="15"/>
    <w:p>
      <w:pPr>
        <w:jc w:val="both"/>
        <w:ind w:right="280"/>
        <w:spacing w:after="0" w:line="264" w:lineRule="auto"/>
        <w:rPr>
          <w:sz w:val="20"/>
          <w:szCs w:val="20"/>
          <w:color w:val="auto"/>
        </w:rPr>
      </w:pPr>
      <w:r>
        <w:rPr>
          <w:rFonts w:ascii="Arial" w:cs="Arial" w:eastAsia="Arial" w:hAnsi="Arial"/>
          <w:sz w:val="18"/>
          <w:szCs w:val="18"/>
          <w:color w:val="auto"/>
        </w:rPr>
        <w:t>must satisfy certain requirements, including that the vesting and payment of such compensation must generally be conditioned upon the satisfaction over a specified performance period of pre-established objective performance goals set by the Compensation Committee. The Compensation Committee believes that no named executive officer exceeded the $1.0 million Section 162(m) limit during fiscal 2016.</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Arising from Compensation Policies and Practices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46" w:lineRule="exact"/>
        <w:rPr>
          <w:sz w:val="20"/>
          <w:szCs w:val="20"/>
          <w:color w:val="auto"/>
        </w:rPr>
      </w:pPr>
    </w:p>
    <w:p>
      <w:pPr>
        <w:ind w:left="1560"/>
        <w:spacing w:after="0"/>
        <w:tabs>
          <w:tab w:leader="none" w:pos="3900" w:val="left"/>
          <w:tab w:leader="none" w:pos="5760" w:val="left"/>
          <w:tab w:leader="none" w:pos="8640" w:val="left"/>
        </w:tabs>
        <w:rPr>
          <w:sz w:val="20"/>
          <w:szCs w:val="20"/>
          <w:color w:val="auto"/>
        </w:rPr>
      </w:pPr>
      <w:r>
        <w:rPr>
          <w:rFonts w:ascii="Arial" w:cs="Arial" w:eastAsia="Arial" w:hAnsi="Arial"/>
          <w:sz w:val="18"/>
          <w:szCs w:val="18"/>
          <w:i w:val="1"/>
          <w:iCs w:val="1"/>
          <w:color w:val="auto"/>
        </w:rPr>
        <w:t>James T. Thompson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Mary J. Schumacher Daryl I. Skaar</w:t>
      </w:r>
      <w:r>
        <w:rPr>
          <w:sz w:val="20"/>
          <w:szCs w:val="20"/>
          <w:color w:val="auto"/>
        </w:rPr>
        <w:tab/>
      </w:r>
      <w:r>
        <w:rPr>
          <w:rFonts w:ascii="Arial" w:cs="Arial" w:eastAsia="Arial" w:hAnsi="Arial"/>
          <w:sz w:val="16"/>
          <w:szCs w:val="16"/>
          <w:i w:val="1"/>
          <w:iCs w:val="1"/>
          <w:color w:val="auto"/>
        </w:rPr>
        <w:t>Jeffrey L. Wright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 for our last three completed fiscal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Stock</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0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Awards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($)(b)</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(a)</w:t>
            </w: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386,885</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50,000</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351,000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229,084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52,281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1,069,250</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370,010</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334,785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258,929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54,050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1,017,774</w:t>
            </w:r>
          </w:p>
        </w:tc>
        <w:tc>
          <w:tcPr>
            <w:tcW w:w="0" w:type="dxa"/>
            <w:vAlign w:val="bottom"/>
          </w:tcPr>
          <w:p>
            <w:pPr>
              <w:spacing w:after="0"/>
              <w:rPr>
                <w:sz w:val="1"/>
                <w:szCs w:val="1"/>
                <w:color w:val="auto"/>
              </w:rPr>
            </w:pPr>
          </w:p>
        </w:tc>
      </w:tr>
      <w:tr>
        <w:trPr>
          <w:trHeight w:val="291"/>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358,885</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324,455</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205,712</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52,964</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942,016</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Kathleen P. Pepski</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297,750</w:t>
            </w:r>
          </w:p>
        </w:tc>
        <w:tc>
          <w:tcPr>
            <w:tcW w:w="14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50,000</w:t>
            </w:r>
          </w:p>
        </w:tc>
        <w:tc>
          <w:tcPr>
            <w:tcW w:w="980" w:type="dxa"/>
            <w:vAlign w:val="bottom"/>
          </w:tcPr>
          <w:p>
            <w:pPr>
              <w:ind w:left="280"/>
              <w:spacing w:after="0"/>
              <w:rPr>
                <w:sz w:val="20"/>
                <w:szCs w:val="20"/>
                <w:color w:val="auto"/>
              </w:rPr>
            </w:pPr>
            <w:r>
              <w:rPr>
                <w:rFonts w:ascii="Arial" w:cs="Arial" w:eastAsia="Arial" w:hAnsi="Arial"/>
                <w:sz w:val="18"/>
                <w:szCs w:val="18"/>
                <w:color w:val="auto"/>
              </w:rPr>
              <w:t>179,998</w:t>
            </w:r>
          </w:p>
        </w:tc>
        <w:tc>
          <w:tcPr>
            <w:tcW w:w="1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117,479</w:t>
            </w:r>
          </w:p>
        </w:tc>
        <w:tc>
          <w:tcPr>
            <w:tcW w:w="10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53,081</w:t>
            </w:r>
          </w:p>
        </w:tc>
        <w:tc>
          <w:tcPr>
            <w:tcW w:w="1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698,308</w:t>
            </w:r>
          </w:p>
        </w:tc>
        <w:tc>
          <w:tcPr>
            <w:tcW w:w="0" w:type="dxa"/>
            <w:vAlign w:val="bottom"/>
          </w:tcPr>
          <w:p>
            <w:pPr>
              <w:spacing w:after="0"/>
              <w:rPr>
                <w:sz w:val="1"/>
                <w:szCs w:val="1"/>
                <w:color w:val="auto"/>
              </w:rPr>
            </w:pPr>
          </w:p>
        </w:tc>
      </w:tr>
      <w:tr>
        <w:trPr>
          <w:trHeight w:val="256"/>
        </w:trPr>
        <w:tc>
          <w:tcPr>
            <w:tcW w:w="2920" w:type="dxa"/>
            <w:vAlign w:val="bottom"/>
          </w:tcPr>
          <w:p>
            <w:pPr>
              <w:ind w:left="180"/>
              <w:spacing w:after="0"/>
              <w:rPr>
                <w:sz w:val="20"/>
                <w:szCs w:val="20"/>
                <w:color w:val="auto"/>
              </w:rPr>
            </w:pPr>
            <w:r>
              <w:rPr>
                <w:rFonts w:ascii="Arial" w:cs="Arial" w:eastAsia="Arial" w:hAnsi="Arial"/>
                <w:sz w:val="18"/>
                <w:szCs w:val="18"/>
                <w:i w:val="1"/>
                <w:iCs w:val="1"/>
                <w:color w:val="auto"/>
              </w:rPr>
              <w:t>Vice President, Chief Financial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2"/>
                <w:szCs w:val="22"/>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285,529</w:t>
            </w:r>
          </w:p>
        </w:tc>
        <w:tc>
          <w:tcPr>
            <w:tcW w:w="140" w:type="dxa"/>
            <w:vAlign w:val="bottom"/>
          </w:tcPr>
          <w:p>
            <w:pPr>
              <w:spacing w:after="0"/>
              <w:rPr>
                <w:sz w:val="22"/>
                <w:szCs w:val="22"/>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ind w:left="280"/>
              <w:spacing w:after="0"/>
              <w:rPr>
                <w:sz w:val="20"/>
                <w:szCs w:val="20"/>
                <w:color w:val="auto"/>
              </w:rPr>
            </w:pPr>
            <w:r>
              <w:rPr>
                <w:rFonts w:ascii="Arial" w:cs="Arial" w:eastAsia="Arial" w:hAnsi="Arial"/>
                <w:sz w:val="18"/>
                <w:szCs w:val="18"/>
                <w:color w:val="auto"/>
              </w:rPr>
              <w:t>172,216</w:t>
            </w:r>
          </w:p>
        </w:tc>
        <w:tc>
          <w:tcPr>
            <w:tcW w:w="10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133,177</w:t>
            </w:r>
          </w:p>
        </w:tc>
        <w:tc>
          <w:tcPr>
            <w:tcW w:w="10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52,611</w:t>
            </w:r>
          </w:p>
        </w:tc>
        <w:tc>
          <w:tcPr>
            <w:tcW w:w="10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643,533</w:t>
            </w:r>
          </w:p>
        </w:tc>
        <w:tc>
          <w:tcPr>
            <w:tcW w:w="0" w:type="dxa"/>
            <w:vAlign w:val="bottom"/>
          </w:tcPr>
          <w:p>
            <w:pPr>
              <w:spacing w:after="0"/>
              <w:rPr>
                <w:sz w:val="1"/>
                <w:szCs w:val="1"/>
                <w:color w:val="auto"/>
              </w:rPr>
            </w:pPr>
          </w:p>
        </w:tc>
      </w:tr>
      <w:tr>
        <w:trPr>
          <w:trHeight w:val="284"/>
        </w:trPr>
        <w:tc>
          <w:tcPr>
            <w:tcW w:w="2920" w:type="dxa"/>
            <w:vAlign w:val="bottom"/>
          </w:tcPr>
          <w:p>
            <w:pPr>
              <w:ind w:left="180"/>
              <w:spacing w:after="0"/>
              <w:rPr>
                <w:sz w:val="20"/>
                <w:szCs w:val="20"/>
                <w:color w:val="auto"/>
              </w:rPr>
            </w:pPr>
            <w:r>
              <w:rPr>
                <w:rFonts w:ascii="Arial" w:cs="Arial" w:eastAsia="Arial" w:hAnsi="Arial"/>
                <w:sz w:val="18"/>
                <w:szCs w:val="18"/>
                <w:i w:val="1"/>
                <w:iCs w:val="1"/>
                <w:color w:val="auto"/>
              </w:rPr>
              <w:t>Officer and Treasurer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277,192</w:t>
            </w:r>
          </w:p>
        </w:tc>
        <w:tc>
          <w:tcPr>
            <w:tcW w:w="14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ind w:left="280"/>
              <w:spacing w:after="0"/>
              <w:rPr>
                <w:sz w:val="20"/>
                <w:szCs w:val="20"/>
                <w:color w:val="auto"/>
              </w:rPr>
            </w:pPr>
            <w:r>
              <w:rPr>
                <w:rFonts w:ascii="Arial" w:cs="Arial" w:eastAsia="Arial" w:hAnsi="Arial"/>
                <w:sz w:val="18"/>
                <w:szCs w:val="18"/>
                <w:color w:val="auto"/>
              </w:rPr>
              <w:t>167,118</w:t>
            </w:r>
          </w:p>
        </w:tc>
        <w:tc>
          <w:tcPr>
            <w:tcW w:w="100" w:type="dxa"/>
            <w:vAlign w:val="bottom"/>
          </w:tcPr>
          <w:p>
            <w:pPr>
              <w:spacing w:after="0"/>
              <w:rPr>
                <w:sz w:val="24"/>
                <w:szCs w:val="24"/>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105,947</w:t>
            </w:r>
          </w:p>
        </w:tc>
        <w:tc>
          <w:tcPr>
            <w:tcW w:w="100" w:type="dxa"/>
            <w:vAlign w:val="bottom"/>
          </w:tcPr>
          <w:p>
            <w:pPr>
              <w:spacing w:after="0"/>
              <w:rPr>
                <w:sz w:val="24"/>
                <w:szCs w:val="24"/>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52,382</w:t>
            </w:r>
          </w:p>
        </w:tc>
        <w:tc>
          <w:tcPr>
            <w:tcW w:w="10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602,639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264,442</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50,000</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159,594</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104,123</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51,232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629,391</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w w:val="91"/>
              </w:rPr>
              <w:t>Vice President, General Counsel and</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255,702</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154,198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89,442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52,402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551,744</w:t>
            </w:r>
          </w:p>
        </w:tc>
        <w:tc>
          <w:tcPr>
            <w:tcW w:w="0" w:type="dxa"/>
            <w:vAlign w:val="bottom"/>
          </w:tcPr>
          <w:p>
            <w:pPr>
              <w:spacing w:after="0"/>
              <w:rPr>
                <w:sz w:val="1"/>
                <w:szCs w:val="1"/>
                <w:color w:val="auto"/>
              </w:rPr>
            </w:pPr>
          </w:p>
        </w:tc>
      </w:tr>
      <w:tr>
        <w:trPr>
          <w:trHeight w:val="291"/>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Secretary</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248,038</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149,690</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71,186</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48,784</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517,698</w:t>
            </w:r>
          </w:p>
        </w:tc>
        <w:tc>
          <w:tcPr>
            <w:tcW w:w="0" w:type="dxa"/>
            <w:vAlign w:val="bottom"/>
          </w:tcPr>
          <w:p>
            <w:pPr>
              <w:spacing w:after="0"/>
              <w:rPr>
                <w:sz w:val="1"/>
                <w:szCs w:val="1"/>
                <w:color w:val="auto"/>
              </w:rPr>
            </w:pP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John R. Sevenich</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256,134</w:t>
            </w:r>
          </w:p>
        </w:tc>
        <w:tc>
          <w:tcPr>
            <w:tcW w:w="140" w:type="dxa"/>
            <w:vAlign w:val="bottom"/>
          </w:tcPr>
          <w:p>
            <w:pPr>
              <w:spacing w:after="0"/>
              <w:rPr>
                <w:sz w:val="21"/>
                <w:szCs w:val="21"/>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ind w:left="280"/>
              <w:spacing w:after="0"/>
              <w:rPr>
                <w:sz w:val="20"/>
                <w:szCs w:val="20"/>
                <w:color w:val="auto"/>
              </w:rPr>
            </w:pPr>
            <w:r>
              <w:rPr>
                <w:rFonts w:ascii="Arial" w:cs="Arial" w:eastAsia="Arial" w:hAnsi="Arial"/>
                <w:sz w:val="18"/>
                <w:szCs w:val="18"/>
                <w:color w:val="auto"/>
              </w:rPr>
              <w:t>154,196</w:t>
            </w:r>
          </w:p>
        </w:tc>
        <w:tc>
          <w:tcPr>
            <w:tcW w:w="1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97,783</w:t>
            </w:r>
          </w:p>
        </w:tc>
        <w:tc>
          <w:tcPr>
            <w:tcW w:w="10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53,634</w:t>
            </w:r>
          </w:p>
        </w:tc>
        <w:tc>
          <w:tcPr>
            <w:tcW w:w="1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561,747</w:t>
            </w:r>
          </w:p>
        </w:tc>
        <w:tc>
          <w:tcPr>
            <w:tcW w:w="0" w:type="dxa"/>
            <w:vAlign w:val="bottom"/>
          </w:tcPr>
          <w:p>
            <w:pPr>
              <w:spacing w:after="0"/>
              <w:rPr>
                <w:sz w:val="1"/>
                <w:szCs w:val="1"/>
                <w:color w:val="auto"/>
              </w:rPr>
            </w:pPr>
          </w:p>
        </w:tc>
      </w:tr>
      <w:tr>
        <w:trPr>
          <w:trHeight w:val="270"/>
        </w:trPr>
        <w:tc>
          <w:tcPr>
            <w:tcW w:w="2920" w:type="dxa"/>
            <w:vAlign w:val="bottom"/>
          </w:tcPr>
          <w:p>
            <w:pPr>
              <w:ind w:left="180"/>
              <w:spacing w:after="0"/>
              <w:rPr>
                <w:sz w:val="20"/>
                <w:szCs w:val="20"/>
                <w:color w:val="auto"/>
              </w:rPr>
            </w:pPr>
            <w:r>
              <w:rPr>
                <w:rFonts w:ascii="Arial" w:cs="Arial" w:eastAsia="Arial" w:hAnsi="Arial"/>
                <w:sz w:val="18"/>
                <w:szCs w:val="18"/>
                <w:i w:val="1"/>
                <w:iCs w:val="1"/>
                <w:color w:val="auto"/>
              </w:rPr>
              <w:t>Vice President – Industrial Group</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250,702</w:t>
            </w:r>
          </w:p>
        </w:tc>
        <w:tc>
          <w:tcPr>
            <w:tcW w:w="140" w:type="dxa"/>
            <w:vAlign w:val="bottom"/>
          </w:tcPr>
          <w:p>
            <w:pPr>
              <w:spacing w:after="0"/>
              <w:rPr>
                <w:sz w:val="23"/>
                <w:szCs w:val="23"/>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ind w:left="280"/>
              <w:spacing w:after="0"/>
              <w:rPr>
                <w:sz w:val="20"/>
                <w:szCs w:val="20"/>
                <w:color w:val="auto"/>
              </w:rPr>
            </w:pPr>
            <w:r>
              <w:rPr>
                <w:rFonts w:ascii="Arial" w:cs="Arial" w:eastAsia="Arial" w:hAnsi="Arial"/>
                <w:sz w:val="18"/>
                <w:szCs w:val="18"/>
                <w:color w:val="auto"/>
              </w:rPr>
              <w:t>151,201</w:t>
            </w:r>
          </w:p>
        </w:tc>
        <w:tc>
          <w:tcPr>
            <w:tcW w:w="10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104,733</w:t>
            </w:r>
          </w:p>
        </w:tc>
        <w:tc>
          <w:tcPr>
            <w:tcW w:w="10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38,732</w:t>
            </w:r>
          </w:p>
        </w:tc>
        <w:tc>
          <w:tcPr>
            <w:tcW w:w="10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545,368</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243,346</w:t>
            </w:r>
          </w:p>
        </w:tc>
        <w:tc>
          <w:tcPr>
            <w:tcW w:w="140" w:type="dxa"/>
            <w:vAlign w:val="bottom"/>
          </w:tcPr>
          <w:p>
            <w:pPr>
              <w:spacing w:after="0"/>
              <w:rPr>
                <w:sz w:val="23"/>
                <w:szCs w:val="23"/>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ind w:left="280"/>
              <w:spacing w:after="0"/>
              <w:rPr>
                <w:sz w:val="20"/>
                <w:szCs w:val="20"/>
                <w:color w:val="auto"/>
              </w:rPr>
            </w:pPr>
            <w:r>
              <w:rPr>
                <w:rFonts w:ascii="Arial" w:cs="Arial" w:eastAsia="Arial" w:hAnsi="Arial"/>
                <w:sz w:val="18"/>
                <w:szCs w:val="18"/>
                <w:color w:val="auto"/>
              </w:rPr>
              <w:t>146,711</w:t>
            </w:r>
          </w:p>
        </w:tc>
        <w:tc>
          <w:tcPr>
            <w:tcW w:w="100" w:type="dxa"/>
            <w:vAlign w:val="bottom"/>
          </w:tcPr>
          <w:p>
            <w:pPr>
              <w:spacing w:after="0"/>
              <w:rPr>
                <w:sz w:val="23"/>
                <w:szCs w:val="23"/>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93,186</w:t>
            </w:r>
          </w:p>
        </w:tc>
        <w:tc>
          <w:tcPr>
            <w:tcW w:w="10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42,921</w:t>
            </w:r>
          </w:p>
        </w:tc>
        <w:tc>
          <w:tcPr>
            <w:tcW w:w="10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526,164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248,269</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149,985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92,160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48,396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538,810</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 Water Treatment</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236,798</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144,001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99,914</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47,395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528,108</w:t>
            </w:r>
          </w:p>
        </w:tc>
        <w:tc>
          <w:tcPr>
            <w:tcW w:w="0" w:type="dxa"/>
            <w:vAlign w:val="bottom"/>
          </w:tcPr>
          <w:p>
            <w:pPr>
              <w:spacing w:after="0"/>
              <w:rPr>
                <w:sz w:val="1"/>
                <w:szCs w:val="1"/>
                <w:color w:val="auto"/>
              </w:rPr>
            </w:pPr>
          </w:p>
        </w:tc>
      </w:tr>
      <w:tr>
        <w:trPr>
          <w:trHeight w:val="284"/>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Group</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220,500</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132,906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87,212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46,840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487,458</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represent an additional cash bonus paid to Mr. Hawkins, Ms. Pepski and Mr. Erstad for their efforts in the Stauber acquisition.</w:t>
      </w:r>
    </w:p>
    <w:p>
      <w:pPr>
        <w:spacing w:after="0" w:line="90" w:lineRule="exact"/>
        <w:rPr>
          <w:rFonts w:ascii="Arial" w:cs="Arial" w:eastAsia="Arial" w:hAnsi="Arial"/>
          <w:sz w:val="18"/>
          <w:szCs w:val="18"/>
          <w:color w:val="auto"/>
        </w:rPr>
      </w:pPr>
    </w:p>
    <w:p>
      <w:pPr>
        <w:ind w:left="420" w:right="40" w:hanging="412"/>
        <w:spacing w:after="0" w:line="25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7,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2016 for a description of our accounting for these awards and the assumptions used in valuing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6" w:name="page17"/>
    <w:bookmarkEnd w:id="16"/>
    <w:p>
      <w:pPr>
        <w:ind w:left="420" w:right="40" w:hanging="412"/>
        <w:spacing w:after="0" w:line="259"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amount shown reflects the grant date fair value of a performance based restricted stock unit award granted during the respective fiscal year, with such value computed based on the estimated probable outcome of the applicable performance conditions as of the grant date. The following table shows the grant date fair values of the performance-based restricted unit awards granted in fiscal 2016 as reported, and what such values would have been assuming the highest level of performance conditions would be achieved:</w:t>
      </w:r>
    </w:p>
    <w:p>
      <w:pPr>
        <w:spacing w:after="0" w:line="192"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 Reported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Maximum Amount</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526,500</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179,998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269,997</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159,594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239,391</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154,196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231,294</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149,985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225,018</w:t>
            </w:r>
          </w:p>
        </w:tc>
      </w:tr>
      <w:tr>
        <w:trPr>
          <w:trHeight w:val="27"/>
        </w:trPr>
        <w:tc>
          <w:tcPr>
            <w:tcW w:w="6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left="420" w:hanging="412"/>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the description of target levels corporate performance, business unit performance and individual objectives, as described under “Annual Non-Equity Incentive Compensation” in the Compensation Discussion and Analysis above. All of the amounts reported for fiscal 2016 were paid in fiscal 2017 after we completed our annual audit.</w:t>
      </w:r>
    </w:p>
    <w:p>
      <w:pPr>
        <w:spacing w:after="0" w:line="46"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reported for fiscal 2016 include:</w:t>
      </w:r>
    </w:p>
    <w:p>
      <w:pPr>
        <w:spacing w:after="0" w:line="23" w:lineRule="exact"/>
        <w:rPr>
          <w:rFonts w:ascii="Arial" w:cs="Arial" w:eastAsia="Arial" w:hAnsi="Arial"/>
          <w:sz w:val="18"/>
          <w:szCs w:val="18"/>
          <w:color w:val="auto"/>
        </w:rPr>
      </w:pPr>
    </w:p>
    <w:p>
      <w:pPr>
        <w:ind w:left="740" w:right="20" w:hanging="327"/>
        <w:spacing w:after="0" w:line="261"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Contributions by the company on behalf of each of each of our named executive officers to our Profit Sharing Plan and Employee Stock Ownership Plan and employer matching contributions to our 401(k) as set forth below.</w:t>
      </w:r>
    </w:p>
    <w:p>
      <w:pPr>
        <w:spacing w:after="0" w:line="109"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Profit Sharing Plan</w:t>
            </w:r>
          </w:p>
        </w:tc>
        <w:tc>
          <w:tcPr>
            <w:tcW w:w="2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Employee Stock</w:t>
            </w:r>
          </w:p>
        </w:tc>
        <w:tc>
          <w:tcPr>
            <w:tcW w:w="200" w:type="dxa"/>
            <w:vAlign w:val="bottom"/>
          </w:tcPr>
          <w:p>
            <w:pPr>
              <w:spacing w:after="0"/>
              <w:rPr>
                <w:sz w:val="14"/>
                <w:szCs w:val="14"/>
                <w:color w:val="auto"/>
              </w:rPr>
            </w:pPr>
          </w:p>
        </w:tc>
        <w:tc>
          <w:tcPr>
            <w:tcW w:w="17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Ownership Plan</w:t>
            </w:r>
          </w:p>
        </w:tc>
        <w:tc>
          <w:tcPr>
            <w:tcW w:w="2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Contribution</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7"/>
              </w:rPr>
              <w:t>Contribution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Contribution to 401(k)</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13,250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13,250</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13,250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12,848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13,250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13,250</w:t>
            </w:r>
          </w:p>
        </w:tc>
        <w:tc>
          <w:tcPr>
            <w:tcW w:w="1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13,250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12,823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13,250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120" w:hanging="327"/>
        <w:spacing w:after="0" w:line="286"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remaining amount included for each individual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Estimated Possible Payouts Under</w:t>
            </w:r>
          </w:p>
        </w:tc>
        <w:tc>
          <w:tcPr>
            <w:tcW w:w="3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Non-Equity Incentive Plan Awards(a)</w:t>
            </w:r>
          </w:p>
        </w:tc>
        <w:tc>
          <w:tcPr>
            <w:tcW w:w="120" w:type="dxa"/>
            <w:vAlign w:val="bottom"/>
            <w:vMerge w:val="restart"/>
          </w:tcPr>
          <w:p>
            <w:pPr>
              <w:spacing w:after="0"/>
              <w:rPr>
                <w:sz w:val="5"/>
                <w:szCs w:val="5"/>
                <w:color w:val="auto"/>
              </w:rPr>
            </w:pPr>
          </w:p>
        </w:tc>
        <w:tc>
          <w:tcPr>
            <w:tcW w:w="3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6"/>
              </w:rPr>
              <w:t>Equity Incentive Plan Awards(b)</w:t>
            </w: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4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40" w:type="dxa"/>
            <w:vAlign w:val="bottom"/>
            <w:tcBorders>
              <w:bottom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53"/>
        </w:trPr>
        <w:tc>
          <w:tcPr>
            <w:tcW w:w="1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140" w:type="dxa"/>
            <w:vAlign w:val="bottom"/>
          </w:tcPr>
          <w:p>
            <w:pPr>
              <w:ind w:left="380"/>
              <w:spacing w:after="0" w:line="153"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3"/>
                <w:szCs w:val="13"/>
                <w:color w:val="auto"/>
              </w:rPr>
            </w:pPr>
          </w:p>
        </w:tc>
        <w:tc>
          <w:tcPr>
            <w:tcW w:w="11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Threshold</w:t>
            </w:r>
          </w:p>
        </w:tc>
        <w:tc>
          <w:tcPr>
            <w:tcW w:w="116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Target</w:t>
            </w:r>
          </w:p>
        </w:tc>
        <w:tc>
          <w:tcPr>
            <w:tcW w:w="11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Threshold</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Target</w:t>
            </w:r>
          </w:p>
        </w:tc>
        <w:tc>
          <w:tcPr>
            <w:tcW w:w="10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5/28/2015</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117,000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234,000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468,000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5/28/2015</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4,292</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8,584</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12,876</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5/28/2015</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240,000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5/28/2015</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4,402</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6,603</w:t>
            </w:r>
          </w:p>
        </w:tc>
        <w:tc>
          <w:tcPr>
            <w:tcW w:w="1700" w:type="dxa"/>
            <w:vAlign w:val="bottom"/>
            <w:gridSpan w:val="2"/>
          </w:tcPr>
          <w:p>
            <w:pPr>
              <w:jc w:val="right"/>
              <w:ind w:right="48"/>
              <w:spacing w:after="0"/>
              <w:rPr>
                <w:sz w:val="20"/>
                <w:szCs w:val="20"/>
                <w:color w:val="auto"/>
              </w:rPr>
            </w:pPr>
            <w:r>
              <w:rPr>
                <w:rFonts w:ascii="Arial" w:cs="Arial" w:eastAsia="Arial" w:hAnsi="Arial"/>
                <w:sz w:val="18"/>
                <w:szCs w:val="18"/>
                <w:color w:val="auto"/>
              </w:rPr>
              <w:t>179,998</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5/28/2015</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53,200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106,400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212,800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5/28/2015</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3,903</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5,855</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159,594</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5/28/2015</w:t>
            </w:r>
          </w:p>
        </w:tc>
        <w:tc>
          <w:tcPr>
            <w:tcW w:w="1160" w:type="dxa"/>
            <w:vAlign w:val="bottom"/>
            <w:gridSpan w:val="2"/>
          </w:tcPr>
          <w:p>
            <w:pPr>
              <w:jc w:val="right"/>
              <w:ind w:right="48"/>
              <w:spacing w:after="0"/>
              <w:rPr>
                <w:sz w:val="20"/>
                <w:szCs w:val="20"/>
                <w:color w:val="auto"/>
              </w:rPr>
            </w:pPr>
            <w:r>
              <w:rPr>
                <w:rFonts w:ascii="Arial" w:cs="Arial" w:eastAsia="Arial" w:hAnsi="Arial"/>
                <w:sz w:val="18"/>
                <w:szCs w:val="18"/>
                <w:color w:val="auto"/>
              </w:rPr>
              <w:t>51,400</w:t>
            </w:r>
          </w:p>
        </w:tc>
        <w:tc>
          <w:tcPr>
            <w:tcW w:w="12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Arial" w:cs="Arial" w:eastAsia="Arial" w:hAnsi="Arial"/>
                <w:sz w:val="18"/>
                <w:szCs w:val="18"/>
                <w:color w:val="auto"/>
              </w:rPr>
              <w:t>102,800</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205,600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380"/>
              <w:spacing w:after="0"/>
              <w:rPr>
                <w:sz w:val="20"/>
                <w:szCs w:val="20"/>
                <w:color w:val="auto"/>
              </w:rPr>
            </w:pPr>
            <w:r>
              <w:rPr>
                <w:rFonts w:ascii="Arial" w:cs="Arial" w:eastAsia="Arial" w:hAnsi="Arial"/>
                <w:sz w:val="18"/>
                <w:szCs w:val="18"/>
                <w:color w:val="auto"/>
                <w:w w:val="92"/>
              </w:rPr>
              <w:t>5/28/2015</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5,657</w:t>
            </w:r>
          </w:p>
        </w:tc>
        <w:tc>
          <w:tcPr>
            <w:tcW w:w="1700" w:type="dxa"/>
            <w:vAlign w:val="bottom"/>
            <w:gridSpan w:val="2"/>
          </w:tcPr>
          <w:p>
            <w:pPr>
              <w:jc w:val="right"/>
              <w:ind w:right="48"/>
              <w:spacing w:after="0"/>
              <w:rPr>
                <w:sz w:val="20"/>
                <w:szCs w:val="20"/>
                <w:color w:val="auto"/>
              </w:rPr>
            </w:pPr>
            <w:r>
              <w:rPr>
                <w:rFonts w:ascii="Arial" w:cs="Arial" w:eastAsia="Arial" w:hAnsi="Arial"/>
                <w:sz w:val="18"/>
                <w:szCs w:val="18"/>
                <w:color w:val="auto"/>
              </w:rPr>
              <w:t>154,196</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5/28/2015</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5/28/2015</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5,503</w:t>
            </w:r>
          </w:p>
        </w:tc>
        <w:tc>
          <w:tcPr>
            <w:tcW w:w="17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149,985</w:t>
            </w:r>
          </w:p>
        </w:tc>
        <w:tc>
          <w:tcPr>
            <w:tcW w:w="0" w:type="dxa"/>
            <w:vAlign w:val="bottom"/>
          </w:tcPr>
          <w:p>
            <w:pPr>
              <w:spacing w:after="0"/>
              <w:rPr>
                <w:sz w:val="1"/>
                <w:szCs w:val="1"/>
                <w:color w:val="auto"/>
              </w:rPr>
            </w:pPr>
          </w:p>
        </w:tc>
      </w:tr>
      <w:tr>
        <w:trPr>
          <w:trHeight w:val="27"/>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20" w:right="220" w:hanging="412"/>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2016. Potential payments are based on specified levels of performance against corporate, business unit and individual objectives, as described under “Annual Non-Equity Incentive Compensation” in the Compensation Discussion and Analysis.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65" w:right="259" w:bottom="1440" w:gutter="0" w:footer="0" w:header="0"/>
        </w:sectPr>
      </w:pPr>
    </w:p>
    <w:bookmarkStart w:id="17" w:name="page18"/>
    <w:bookmarkEnd w:id="17"/>
    <w:p>
      <w:pPr>
        <w:ind w:left="420" w:right="60"/>
        <w:spacing w:after="0" w:line="257" w:lineRule="auto"/>
        <w:rPr>
          <w:sz w:val="20"/>
          <w:szCs w:val="20"/>
          <w:color w:val="auto"/>
        </w:rPr>
      </w:pPr>
      <w:r>
        <w:rPr>
          <w:rFonts w:ascii="Arial" w:cs="Arial" w:eastAsia="Arial" w:hAnsi="Arial"/>
          <w:sz w:val="18"/>
          <w:szCs w:val="18"/>
          <w:color w:val="auto"/>
        </w:rPr>
        <w:t>The actual amounts earned for fiscal 2016 are the sole components of “Non-Equity Incentive Plan Compensation” in the Summary Compensation Table above. Except in the case of death or retirement,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and 20%, 40% and 80% of base salary, respectively, for the other named executive officers.</w:t>
      </w:r>
    </w:p>
    <w:p>
      <w:pPr>
        <w:spacing w:after="0" w:line="53" w:lineRule="exact"/>
        <w:rPr>
          <w:sz w:val="20"/>
          <w:szCs w:val="20"/>
          <w:color w:val="auto"/>
        </w:rPr>
      </w:pPr>
    </w:p>
    <w:p>
      <w:pPr>
        <w:ind w:left="420" w:hanging="412"/>
        <w:spacing w:after="0" w:line="255"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2016. The number of restricted shares to be issued was based on the degree to which we achieved specified levels of income before taxes during fiscal 2016. See “Equity Awards” in the Compensation Discussion and Analysis for the performance goals applicable to the performance-based restricted stock units granted for performance in fiscal 2016. Additional terms of the outstanding performance-based restricted stock units are described in Note (a) to the Outstanding Equity Awards table. The number of restricted shares actually granted to each individual for fiscal 2016 performance was approximately 97% of target, and is as follows: Mr. Hawkins, 8,359 shares; Ms. Pepski, 4,286 shares; Mr. Erstad, 3,801 shares; Mr. Sevenich, 3,672 shares; and Mr. Keller, 3,572 shares.</w:t>
      </w:r>
    </w:p>
    <w:p>
      <w:pPr>
        <w:spacing w:after="0" w:line="54" w:lineRule="exact"/>
        <w:rPr>
          <w:rFonts w:ascii="Arial" w:cs="Arial" w:eastAsia="Arial" w:hAnsi="Arial"/>
          <w:sz w:val="18"/>
          <w:szCs w:val="18"/>
          <w:color w:val="auto"/>
        </w:rPr>
      </w:pPr>
    </w:p>
    <w:p>
      <w:pPr>
        <w:ind w:left="420" w:right="60" w:hanging="412"/>
        <w:spacing w:after="0" w:line="25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Fiscal Year-End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certain information concerning outstanding equity awards held by our named executive officers as of April 3,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w w:val="92"/>
              </w:rPr>
              <w:t>Stock Awards</w:t>
            </w: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3"/>
          </w:tcPr>
          <w:p>
            <w:pPr>
              <w:jc w:val="center"/>
              <w:ind w:right="520"/>
              <w:spacing w:after="0" w:line="153" w:lineRule="exact"/>
              <w:rPr>
                <w:sz w:val="20"/>
                <w:szCs w:val="20"/>
                <w:color w:val="auto"/>
              </w:rPr>
            </w:pPr>
            <w:r>
              <w:rPr>
                <w:rFonts w:ascii="Arial" w:cs="Arial" w:eastAsia="Arial" w:hAnsi="Arial"/>
                <w:sz w:val="14"/>
                <w:szCs w:val="14"/>
                <w:b w:val="1"/>
                <w:bCs w:val="1"/>
                <w:color w:val="auto"/>
                <w:w w:val="92"/>
              </w:rPr>
              <w:t>Number of Shares or</w:t>
            </w:r>
          </w:p>
        </w:tc>
        <w:tc>
          <w:tcPr>
            <w:tcW w:w="1720" w:type="dxa"/>
            <w:vAlign w:val="bottom"/>
          </w:tcPr>
          <w:p>
            <w:pPr>
              <w:jc w:val="center"/>
              <w:ind w:right="338"/>
              <w:spacing w:after="0" w:line="153" w:lineRule="exact"/>
              <w:rPr>
                <w:sz w:val="20"/>
                <w:szCs w:val="20"/>
                <w:color w:val="auto"/>
              </w:rPr>
            </w:pPr>
            <w:r>
              <w:rPr>
                <w:rFonts w:ascii="Arial" w:cs="Arial" w:eastAsia="Arial" w:hAnsi="Arial"/>
                <w:sz w:val="14"/>
                <w:szCs w:val="14"/>
                <w:b w:val="1"/>
                <w:bCs w:val="1"/>
                <w:color w:val="auto"/>
                <w:w w:val="98"/>
              </w:rPr>
              <w:t>Market Value of</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Units of Stock That</w:t>
            </w:r>
          </w:p>
        </w:tc>
        <w:tc>
          <w:tcPr>
            <w:tcW w:w="172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9"/>
        </w:trPr>
        <w:tc>
          <w:tcPr>
            <w:tcW w:w="6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6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72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5"/>
              </w:rPr>
              <w:t>Stock that Have Not</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1"/>
              </w:rPr>
              <w:t>Vested ($)(b)</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19,050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707,708</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9,785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363,513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324,134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315,775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2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8,170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303,516</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420" w:right="280" w:hanging="412"/>
        <w:spacing w:after="0" w:line="273"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shares of restricted stock actually issued in settlement of the performance-based restricted stock unit awards granted for fiscal years 2015 and 2016. The restricted shares vest 100% two years after the last day of the fiscal year for which the restricted stock units were awarded. The shares granted for fiscal 2015 will vest on March 29, 2017 and the shares granted for fiscal 2016 will vest on April 3, 2018. The number of restricted shares vesting on each of those dates for each of the named executive officers is as follows:</w:t>
      </w:r>
    </w:p>
    <w:p>
      <w:pPr>
        <w:spacing w:after="0" w:line="182"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Number of Shares Vesting on:</w:t>
            </w:r>
          </w:p>
        </w:tc>
      </w:tr>
      <w:tr>
        <w:trPr>
          <w:trHeight w:val="264"/>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29, 2017</w:t>
            </w:r>
          </w:p>
        </w:tc>
        <w:tc>
          <w:tcPr>
            <w:tcW w:w="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April 3, 2018</w:t>
            </w:r>
          </w:p>
        </w:tc>
      </w:tr>
      <w:tr>
        <w:trPr>
          <w:trHeight w:val="250"/>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10,691</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8,359</w:t>
            </w:r>
          </w:p>
        </w:tc>
      </w:tr>
      <w:tr>
        <w:trPr>
          <w:trHeight w:val="24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5,499</w:t>
            </w:r>
          </w:p>
        </w:tc>
        <w:tc>
          <w:tcPr>
            <w:tcW w:w="2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4,286</w:t>
            </w:r>
          </w:p>
        </w:tc>
      </w:tr>
      <w:tr>
        <w:trPr>
          <w:trHeight w:val="27"/>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4,924</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3,801</w:t>
            </w:r>
          </w:p>
        </w:tc>
      </w:tr>
      <w:tr>
        <w:trPr>
          <w:trHeight w:val="243"/>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4,828</w:t>
            </w:r>
          </w:p>
        </w:tc>
        <w:tc>
          <w:tcPr>
            <w:tcW w:w="20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3,672</w:t>
            </w:r>
          </w:p>
        </w:tc>
      </w:tr>
      <w:tr>
        <w:trPr>
          <w:trHeight w:val="27"/>
        </w:trPr>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4,598</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3,572</w:t>
            </w:r>
          </w:p>
        </w:tc>
      </w:tr>
      <w:tr>
        <w:trPr>
          <w:trHeight w:val="27"/>
        </w:trPr>
        <w:tc>
          <w:tcPr>
            <w:tcW w:w="6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jc w:val="both"/>
        <w:ind w:left="420" w:right="160"/>
        <w:spacing w:after="0" w:line="264" w:lineRule="auto"/>
        <w:rPr>
          <w:sz w:val="20"/>
          <w:szCs w:val="20"/>
          <w:color w:val="auto"/>
        </w:rPr>
      </w:pPr>
      <w:r>
        <w:rPr>
          <w:rFonts w:ascii="Arial" w:cs="Arial" w:eastAsia="Arial" w:hAnsi="Arial"/>
          <w:sz w:val="18"/>
          <w:szCs w:val="18"/>
          <w:color w:val="auto"/>
        </w:rPr>
        <w:t>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19"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year-end of $37.15 per share.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Stock Vested</w:t>
      </w:r>
    </w:p>
    <w:p>
      <w:pPr>
        <w:spacing w:after="0" w:line="94"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The following table provides information concerning the aggregate number of shares of restricted stock that vested for each of our named executive officers during fiscal 2016, and the aggregate dollar values realized by each of our named executive officers upon such vesting.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109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(a)</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16,252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603,186</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310,420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7,495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278,170</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560" w:type="dxa"/>
            <w:vAlign w:val="bottom"/>
          </w:tcPr>
          <w:p>
            <w:pPr>
              <w:jc w:val="right"/>
              <w:ind w:right="20"/>
              <w:spacing w:after="0"/>
              <w:rPr>
                <w:sz w:val="20"/>
                <w:szCs w:val="20"/>
                <w:color w:val="auto"/>
              </w:rPr>
            </w:pPr>
            <w:r>
              <w:rPr>
                <w:rFonts w:ascii="Arial" w:cs="Arial" w:eastAsia="Arial" w:hAnsi="Arial"/>
                <w:sz w:val="18"/>
                <w:szCs w:val="18"/>
                <w:color w:val="auto"/>
              </w:rPr>
              <w:t>7,342</w:t>
            </w:r>
          </w:p>
        </w:tc>
        <w:tc>
          <w:tcPr>
            <w:tcW w:w="12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272,489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6,656</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247,033</w:t>
            </w:r>
          </w:p>
        </w:tc>
        <w:tc>
          <w:tcPr>
            <w:tcW w:w="0" w:type="dxa"/>
            <w:vAlign w:val="bottom"/>
          </w:tcPr>
          <w:p>
            <w:pPr>
              <w:spacing w:after="0"/>
              <w:rPr>
                <w:sz w:val="1"/>
                <w:szCs w:val="1"/>
                <w:color w:val="auto"/>
              </w:rPr>
            </w:pPr>
          </w:p>
        </w:tc>
      </w:tr>
      <w:tr>
        <w:trPr>
          <w:trHeight w:val="27"/>
        </w:trPr>
        <w:tc>
          <w:tcPr>
            <w:tcW w:w="7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420" w:right="140" w:hanging="412"/>
        <w:spacing w:after="0" w:line="307"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restricted shares vest 100% two years after the last day of the fiscal year during which the restricted stock units were awarded and vested. Because of the way our fiscal year end falls, two years’ worth of restricted shares vested in fiscal 2016; those shares issued were for fiscal years 2013 and 2014.</w:t>
      </w:r>
    </w:p>
    <w:p>
      <w:pPr>
        <w:spacing w:after="0" w:line="1" w:lineRule="exact"/>
        <w:rPr>
          <w:rFonts w:ascii="Arial" w:cs="Arial" w:eastAsia="Arial" w:hAnsi="Arial"/>
          <w:sz w:val="16"/>
          <w:szCs w:val="16"/>
          <w:color w:val="auto"/>
        </w:rPr>
      </w:pPr>
    </w:p>
    <w:p>
      <w:pPr>
        <w:ind w:left="420" w:right="8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$37.99 per share for the fiscal 2013 shares that vested on March 31, 2015 and $36.11 per share for the fiscal 2014 shares that vested on March 30,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4"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Payments under Executive Severance Plan</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and Ms. Pepski, Mr. Sevenich and Mr. Keller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“cause” means:</w:t>
      </w:r>
    </w:p>
    <w:p>
      <w:pPr>
        <w:spacing w:after="0" w:line="117"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23" w:lineRule="exact"/>
        <w:rPr>
          <w:rFonts w:ascii="Arial" w:cs="Arial" w:eastAsia="Arial" w:hAnsi="Arial"/>
          <w:sz w:val="18"/>
          <w:szCs w:val="18"/>
          <w:color w:val="auto"/>
        </w:rPr>
      </w:pPr>
    </w:p>
    <w:p>
      <w:pPr>
        <w:ind w:left="820" w:right="10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820" w:hanging="326"/>
        <w:spacing w:after="0" w:line="261"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4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19" w:name="page20"/>
    <w:bookmarkEnd w:id="19"/>
    <w:p>
      <w:pPr>
        <w:ind w:right="140"/>
        <w:spacing w:after="0" w:line="277" w:lineRule="auto"/>
        <w:rPr>
          <w:sz w:val="20"/>
          <w:szCs w:val="20"/>
          <w:color w:val="auto"/>
        </w:rPr>
      </w:pPr>
      <w:r>
        <w:rPr>
          <w:rFonts w:ascii="Arial" w:cs="Arial" w:eastAsia="Arial" w:hAnsi="Arial"/>
          <w:sz w:val="18"/>
          <w:szCs w:val="18"/>
          <w:color w:val="auto"/>
        </w:rPr>
        <w:t>of 18 months (with the executive to be charged the active employee rate for coverage), and (3) the reasonable costs of outplacement services for a maximum of one year.</w:t>
      </w:r>
    </w:p>
    <w:p>
      <w:pPr>
        <w:spacing w:after="0" w:line="3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 (2) 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Hawkins, Inc. Profit Sharing Plan if the executive had remained employed and eligible for the Profit Sharing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117" w:lineRule="exact"/>
        <w:rPr>
          <w:sz w:val="20"/>
          <w:szCs w:val="20"/>
          <w:color w:val="auto"/>
        </w:rPr>
      </w:pPr>
    </w:p>
    <w:p>
      <w:pPr>
        <w:ind w:left="820" w:right="40" w:hanging="326"/>
        <w:spacing w:after="0" w:line="25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78" w:lineRule="exact"/>
        <w:rPr>
          <w:rFonts w:ascii="Arial" w:cs="Arial" w:eastAsia="Arial" w:hAnsi="Arial"/>
          <w:sz w:val="18"/>
          <w:szCs w:val="18"/>
          <w:color w:val="auto"/>
        </w:rPr>
      </w:pPr>
    </w:p>
    <w:p>
      <w:pPr>
        <w:ind w:left="820" w:hanging="326"/>
        <w:spacing w:after="0" w:line="289"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58" w:lineRule="exact"/>
        <w:rPr>
          <w:rFonts w:ascii="Arial" w:cs="Arial" w:eastAsia="Arial" w:hAnsi="Arial"/>
          <w:sz w:val="16"/>
          <w:szCs w:val="16"/>
          <w:color w:val="auto"/>
        </w:rPr>
      </w:pPr>
    </w:p>
    <w:p>
      <w:pPr>
        <w:ind w:left="820" w:right="280" w:hanging="326"/>
        <w:spacing w:after="0" w:line="279"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14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3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without cause not due to change in control had taken place on the last business day of our most recently completed fiscal year.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 Continuation</w:t>
            </w: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Medical and Dental</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Outplacement Costs ($)</w:t>
            </w:r>
          </w:p>
        </w:tc>
        <w:tc>
          <w:tcPr>
            <w:tcW w:w="15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Coverage ($) (b)</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(c)</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585,000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18,563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616,063</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9,263</w:t>
            </w:r>
          </w:p>
        </w:tc>
        <w:tc>
          <w:tcPr>
            <w:tcW w:w="1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321,763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12,375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290,875</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257,000</w:t>
            </w:r>
          </w:p>
        </w:tc>
        <w:tc>
          <w:tcPr>
            <w:tcW w:w="12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278,748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9,263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271,763</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48" w:lineRule="exact"/>
        <w:rPr>
          <w:rFonts w:ascii="Arial" w:cs="Arial" w:eastAsia="Arial" w:hAnsi="Arial"/>
          <w:sz w:val="18"/>
          <w:szCs w:val="18"/>
          <w:color w:val="auto"/>
        </w:rPr>
      </w:pPr>
    </w:p>
    <w:p>
      <w:pPr>
        <w:ind w:left="420" w:right="260" w:hanging="412"/>
        <w:spacing w:after="0" w:line="277"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20" w:name="page21"/>
    <w:bookmarkEnd w:id="20"/>
    <w:p>
      <w:pPr>
        <w:ind w:right="140" w:firstLine="432"/>
        <w:spacing w:after="0" w:line="255"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8" w:lineRule="exact"/>
        <w:rPr>
          <w:sz w:val="20"/>
          <w:szCs w:val="20"/>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117"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for good reason or a termination without cause that is also a termination due to change in control had taken place on the last business day of our most recently completed fiscal year.</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 Continuation</w:t>
            </w: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Medical and Dental</w:t>
            </w: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Outplacement Costs</w:t>
            </w:r>
          </w:p>
        </w:tc>
        <w:tc>
          <w:tcPr>
            <w:tcW w:w="14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Target Bonus</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Profit</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Sharing/401(k)</w:t>
            </w:r>
          </w:p>
        </w:tc>
        <w:tc>
          <w:tcPr>
            <w:tcW w:w="12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Coverage ($) (b)</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 (c)</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Amount ($) (d)</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Contribution ($) (e)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780,000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18,563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468,000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1,332,063</w:t>
            </w:r>
          </w:p>
        </w:tc>
        <w:tc>
          <w:tcPr>
            <w:tcW w:w="0" w:type="dxa"/>
            <w:vAlign w:val="bottom"/>
          </w:tcPr>
          <w:p>
            <w:pPr>
              <w:spacing w:after="0"/>
              <w:rPr>
                <w:sz w:val="1"/>
                <w:szCs w:val="1"/>
                <w:color w:val="auto"/>
              </w:rPr>
            </w:pP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13,894</w:t>
            </w: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39,750</w:t>
            </w:r>
          </w:p>
        </w:tc>
        <w:tc>
          <w:tcPr>
            <w:tcW w:w="1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696,144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399,000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18,563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159,600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629,413</w:t>
            </w:r>
          </w:p>
        </w:tc>
        <w:tc>
          <w:tcPr>
            <w:tcW w:w="0" w:type="dxa"/>
            <w:vAlign w:val="bottom"/>
          </w:tcPr>
          <w:p>
            <w:pPr>
              <w:spacing w:after="0"/>
              <w:rPr>
                <w:sz w:val="1"/>
                <w:szCs w:val="1"/>
                <w:color w:val="auto"/>
              </w:rPr>
            </w:pP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385,500</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13,873</w:t>
            </w: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154,200</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39,750</w:t>
            </w:r>
          </w:p>
        </w:tc>
        <w:tc>
          <w:tcPr>
            <w:tcW w:w="1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605,823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13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13,894</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39,750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591,144</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48" w:lineRule="exact"/>
        <w:rPr>
          <w:rFonts w:ascii="Arial" w:cs="Arial" w:eastAsia="Arial" w:hAnsi="Arial"/>
          <w:sz w:val="18"/>
          <w:szCs w:val="18"/>
          <w:color w:val="auto"/>
        </w:rPr>
      </w:pPr>
    </w:p>
    <w:p>
      <w:pPr>
        <w:ind w:left="420" w:right="26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63"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89" w:lineRule="exact"/>
        <w:rPr>
          <w:rFonts w:ascii="Arial" w:cs="Arial" w:eastAsia="Arial" w:hAnsi="Arial"/>
          <w:sz w:val="18"/>
          <w:szCs w:val="18"/>
          <w:color w:val="auto"/>
        </w:rPr>
      </w:pPr>
    </w:p>
    <w:p>
      <w:pPr>
        <w:ind w:left="420" w:hanging="412"/>
        <w:spacing w:after="0" w:line="302"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equal the amounts the executive would have received under the company’s profit sharing plan if the executive had remained employed by the company for the entire applicable salary continuation period and had been entitled to employer contributions under the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Accelerated Vesting of Equity Awards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i w:val="1"/>
          <w:iCs w:val="1"/>
          <w:color w:val="auto"/>
        </w:rPr>
        <w:t xml:space="preserve">Termination Other than Due to Death or Disability Following a Fundamental Change. </w:t>
      </w:r>
      <w:r>
        <w:rPr>
          <w:rFonts w:ascii="Arial" w:cs="Arial" w:eastAsia="Arial" w:hAnsi="Arial"/>
          <w:sz w:val="17"/>
          <w:szCs w:val="17"/>
          <w:color w:val="auto"/>
        </w:rPr>
        <w:t>All named executive officers with performance-based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or shares of 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5" w:right="239" w:bottom="1440" w:gutter="0" w:footer="0" w:header="0"/>
        </w:sectPr>
      </w:pPr>
    </w:p>
    <w:bookmarkStart w:id="21" w:name="page22"/>
    <w:bookmarkEnd w:id="21"/>
    <w:p>
      <w:pPr>
        <w:ind w:firstLine="432"/>
        <w:spacing w:after="0" w:line="293" w:lineRule="auto"/>
        <w:rPr>
          <w:sz w:val="20"/>
          <w:szCs w:val="20"/>
          <w:color w:val="auto"/>
        </w:rPr>
      </w:pPr>
      <w:r>
        <w:rPr>
          <w:rFonts w:ascii="Arial" w:cs="Arial" w:eastAsia="Arial" w:hAnsi="Arial"/>
          <w:sz w:val="16"/>
          <w:szCs w:val="16"/>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3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58"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w:t>
      </w:r>
    </w:p>
    <w:p>
      <w:pPr>
        <w:spacing w:after="0" w:line="3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following table presents the value of all outstanding restricted stock unit and restricted stock awards that would have been received by each named executive officer if either (1) a fundamental change took place on the last business day of our most recently completed fiscal year and all such awards had been accelerated in connection with such fundamental change or (2) a termination of the officer’s employment due to death or disability had taken place on the last business day of our most recently completed fiscal year. No named executive officers hold any stock options.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Early Vesting of</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Performance-Based</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49"/>
        </w:trPr>
        <w:tc>
          <w:tcPr>
            <w:tcW w:w="8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Units/Restricted Stock</w:t>
            </w:r>
          </w:p>
        </w:tc>
        <w:tc>
          <w:tcPr>
            <w:tcW w:w="0" w:type="dxa"/>
            <w:vAlign w:val="bottom"/>
          </w:tcPr>
          <w:p>
            <w:pPr>
              <w:spacing w:after="0"/>
              <w:rPr>
                <w:sz w:val="1"/>
                <w:szCs w:val="1"/>
                <w:color w:val="auto"/>
              </w:rPr>
            </w:pPr>
          </w:p>
        </w:tc>
      </w:tr>
      <w:tr>
        <w:trPr>
          <w:trHeight w:val="192"/>
        </w:trPr>
        <w:tc>
          <w:tcPr>
            <w:tcW w:w="8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0" w:type="dxa"/>
            <w:vAlign w:val="bottom"/>
          </w:tcPr>
          <w:p>
            <w:pPr>
              <w:spacing w:after="0"/>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716,066</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Kathleen P. Pepski</w:t>
            </w:r>
          </w:p>
        </w:tc>
        <w:tc>
          <w:tcPr>
            <w:tcW w:w="2460" w:type="dxa"/>
            <w:vAlign w:val="bottom"/>
          </w:tcPr>
          <w:p>
            <w:pPr>
              <w:jc w:val="right"/>
              <w:ind w:right="39"/>
              <w:spacing w:after="0"/>
              <w:rPr>
                <w:sz w:val="20"/>
                <w:szCs w:val="20"/>
                <w:color w:val="auto"/>
              </w:rPr>
            </w:pPr>
            <w:r>
              <w:rPr>
                <w:rFonts w:ascii="Arial" w:cs="Arial" w:eastAsia="Arial" w:hAnsi="Arial"/>
                <w:sz w:val="18"/>
                <w:szCs w:val="18"/>
                <w:color w:val="auto"/>
              </w:rPr>
              <w:t>367,822</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2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327,923</w:t>
            </w:r>
          </w:p>
        </w:tc>
        <w:tc>
          <w:tcPr>
            <w:tcW w:w="0" w:type="dxa"/>
            <w:vAlign w:val="bottom"/>
          </w:tcPr>
          <w:p>
            <w:pPr>
              <w:spacing w:after="0"/>
              <w:rPr>
                <w:sz w:val="1"/>
                <w:szCs w:val="1"/>
                <w:color w:val="auto"/>
              </w:rPr>
            </w:pPr>
          </w:p>
        </w:tc>
      </w:tr>
      <w:tr>
        <w:trPr>
          <w:trHeight w:val="243"/>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2460" w:type="dxa"/>
            <w:vAlign w:val="bottom"/>
          </w:tcPr>
          <w:p>
            <w:pPr>
              <w:jc w:val="right"/>
              <w:ind w:right="39"/>
              <w:spacing w:after="0"/>
              <w:rPr>
                <w:sz w:val="20"/>
                <w:szCs w:val="20"/>
                <w:color w:val="auto"/>
              </w:rPr>
            </w:pPr>
            <w:r>
              <w:rPr>
                <w:rFonts w:ascii="Arial" w:cs="Arial" w:eastAsia="Arial" w:hAnsi="Arial"/>
                <w:sz w:val="18"/>
                <w:szCs w:val="18"/>
                <w:color w:val="auto"/>
              </w:rPr>
              <w:t>319,453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2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285,981</w:t>
            </w:r>
          </w:p>
        </w:tc>
        <w:tc>
          <w:tcPr>
            <w:tcW w:w="0" w:type="dxa"/>
            <w:vAlign w:val="bottom"/>
          </w:tcPr>
          <w:p>
            <w:pPr>
              <w:spacing w:after="0"/>
              <w:rPr>
                <w:sz w:val="1"/>
                <w:szCs w:val="1"/>
                <w:color w:val="auto"/>
              </w:rPr>
            </w:pPr>
          </w:p>
        </w:tc>
      </w:tr>
      <w:tr>
        <w:trPr>
          <w:trHeight w:val="27"/>
        </w:trPr>
        <w:tc>
          <w:tcPr>
            <w:tcW w:w="8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500" w:hanging="412"/>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determined by multiplying the number of shares for which vesting is accelerated by our closing stock price on April 1, 2016 ($37.15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2016</w:t>
      </w:r>
    </w:p>
    <w:p>
      <w:pPr>
        <w:spacing w:after="0" w:line="94"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During fiscal 2016, each non-employee director earned an annual retainer of $25,000. Supplemental annual retainers were earned by our Chairman of the Board ($70,000), the chairs of our Audit and Compensation committees ($7,500 each) and the chair of our Governance and Nominating Committee ($5,000). Additionally, our non-employee directors received a meeting fee of $2,000 for each Board and committee meeting attended. In June 2016, the Compensation Committee increased the annual retainer for each non-employee director to $40,000 per year, beginning in August 2016.</w:t>
      </w:r>
    </w:p>
    <w:p>
      <w:pPr>
        <w:spacing w:after="0" w:line="46"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 Compensation Committee oversees our non-employee director compensation program, under which each non-employee director is entitled to receive a grant of restricted common stock with a value of $35,000 on the date of our annual meeting of shareholders at which the director is elected or reelected to the Board by our shareholders. In June 2016, the Compensation Committee increased the value of the annual restricted stock grant to $50,000, effective with the grant expected to be issued in August 2016. The restricted stock vests one year from the date of issuance, subject to acceleration in the event of the director’s death or disability. For service during fiscal 2016, each non-employee director was granted 972 shares of restricted common stock on July 30, 2015, and these shares will vest in their entirety one year from their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2" w:name="page23"/>
    <w:bookmarkEnd w:id="22"/>
    <w:p>
      <w:pPr>
        <w:ind w:firstLine="432"/>
        <w:spacing w:after="0" w:line="277"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Stock</w:t>
            </w:r>
          </w:p>
        </w:tc>
        <w:tc>
          <w:tcPr>
            <w:tcW w:w="24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 Paid</w:t>
            </w:r>
          </w:p>
        </w:tc>
        <w:tc>
          <w:tcPr>
            <w:tcW w:w="158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3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Cash ($)</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Awards ($)(a)</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Compensation ($)</w:t>
            </w:r>
          </w:p>
        </w:tc>
        <w:tc>
          <w:tcPr>
            <w:tcW w:w="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34,992</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94,992</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47,000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34,992</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81,992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34,992</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165,992</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34,992</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89,992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T. Thompson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60,500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34,992</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95,492</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Jeffrey L. Wright</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70,500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34,992</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105,492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34,992</w:t>
            </w:r>
          </w:p>
        </w:tc>
        <w:tc>
          <w:tcPr>
            <w:tcW w:w="10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89,992</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0" w:hanging="412"/>
        <w:spacing w:after="0" w:line="255"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On July 30, 2015, each member then on the Board received 972 shares of restricted stock as part of his or her retainer pursuant to the 2010 Plan. The amounts shown in this column represent the grant-date fair value of each of the awards computed in accordance with FASB ASC Topic 718. See Note 7,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2016 for a description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these awards and the assumptions used in valuing the awards. All of these shares vest in full on July 30, 2016, are eligible to receive dividends paid on our common stock and were the only shares of restricted stock held by each director at the end of our most recently completed fiscal year.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All decisions regarding compensation of our executive officers during fiscal 2016 were made by the Compensation Committee of our Board of Directors. During fiscal 2016,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the Hawkins, Inc. 2010 Omnibus Incentive Plan (the “2010 Plan”) as of April 3, 2016. We do not have any other equity compensation plans required to be included in this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Number of</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Issued upon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and Rights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4"/>
              </w:rPr>
              <w:t>and Rights ($)</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column)</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holders(a)</w:t>
            </w:r>
          </w:p>
        </w:tc>
        <w:tc>
          <w:tcPr>
            <w:tcW w:w="148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1,011,363   (b)</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760" w:hanging="412"/>
        <w:spacing w:after="0" w:line="277"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2010 Plan allows awards in the form of restricted or unrestricted stock, incentive or non-statutory stock options, stock appreciation rights, performance-based restricted stock units or other stock-based awards.</w:t>
      </w:r>
    </w:p>
    <w:p>
      <w:pPr>
        <w:spacing w:after="0" w:line="62" w:lineRule="exact"/>
        <w:rPr>
          <w:rFonts w:ascii="Arial" w:cs="Arial" w:eastAsia="Arial" w:hAnsi="Arial"/>
          <w:sz w:val="18"/>
          <w:szCs w:val="18"/>
          <w:color w:val="auto"/>
        </w:rPr>
      </w:pPr>
    </w:p>
    <w:p>
      <w:pPr>
        <w:ind w:left="420" w:right="440" w:hanging="412"/>
        <w:spacing w:after="0" w:line="259"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2010 Plan. There is no limit on the portion of the shares of common stock available for distribution under this plan that may be awarded in the form of restricted or unrestricted stock. Also includes 152,737 shares available for issuance under the Employee Stock Purchase Plan. Does not include 28,853 shares of restricted stock that were issuable upon vesting of outstanding performance-based restricted stock unit awards as of April 3, 2016.</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65"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94" w:lineRule="exact"/>
        <w:rPr>
          <w:sz w:val="20"/>
          <w:szCs w:val="20"/>
          <w:color w:val="auto"/>
        </w:rPr>
      </w:pPr>
    </w:p>
    <w:p>
      <w:pPr>
        <w:jc w:val="both"/>
        <w:ind w:right="220" w:firstLine="432"/>
        <w:spacing w:after="0" w:line="312" w:lineRule="auto"/>
        <w:rPr>
          <w:sz w:val="20"/>
          <w:szCs w:val="20"/>
          <w:color w:val="auto"/>
        </w:rPr>
      </w:pPr>
      <w:r>
        <w:rPr>
          <w:rFonts w:ascii="Arial" w:cs="Arial" w:eastAsia="Arial" w:hAnsi="Arial"/>
          <w:sz w:val="16"/>
          <w:szCs w:val="16"/>
          <w:color w:val="auto"/>
        </w:rPr>
        <w:t>The following table contains information as of June 13, 2016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780" w:type="dxa"/>
            <w:vAlign w:val="bottom"/>
          </w:tcPr>
          <w:p>
            <w:pPr>
              <w:spacing w:after="0"/>
              <w:rPr>
                <w:sz w:val="14"/>
                <w:szCs w:val="14"/>
                <w:color w:val="auto"/>
              </w:rPr>
            </w:pPr>
          </w:p>
        </w:tc>
        <w:tc>
          <w:tcPr>
            <w:tcW w:w="16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(a)</w:t>
            </w:r>
          </w:p>
        </w:tc>
        <w:tc>
          <w:tcPr>
            <w:tcW w:w="7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Royce &amp; Associates, LLC</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1,161,378</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BlackRock, Inc.</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993,068</w:t>
            </w:r>
          </w:p>
        </w:tc>
        <w:tc>
          <w:tcPr>
            <w:tcW w:w="780" w:type="dxa"/>
            <w:vAlign w:val="bottom"/>
          </w:tcPr>
          <w:p>
            <w:pPr>
              <w:ind w:left="140"/>
              <w:spacing w:after="0"/>
              <w:rPr>
                <w:sz w:val="20"/>
                <w:szCs w:val="20"/>
                <w:color w:val="auto"/>
              </w:rPr>
            </w:pPr>
            <w:r>
              <w:rPr>
                <w:rFonts w:ascii="Arial" w:cs="Arial" w:eastAsia="Arial" w:hAnsi="Arial"/>
                <w:sz w:val="18"/>
                <w:szCs w:val="18"/>
                <w:color w:val="auto"/>
              </w:rPr>
              <w:t>(c)</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Trustees, Hawkins, Inc. Employee Stock Ownership Plan and Trust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797,977</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T. Rowe Price Associates, Inc.</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740,472</w:t>
            </w:r>
          </w:p>
        </w:tc>
        <w:tc>
          <w:tcPr>
            <w:tcW w:w="780" w:type="dxa"/>
            <w:vAlign w:val="bottom"/>
          </w:tcPr>
          <w:p>
            <w:pPr>
              <w:ind w:left="140"/>
              <w:spacing w:after="0"/>
              <w:rPr>
                <w:sz w:val="20"/>
                <w:szCs w:val="20"/>
                <w:color w:val="auto"/>
              </w:rPr>
            </w:pPr>
            <w:r>
              <w:rPr>
                <w:rFonts w:ascii="Arial" w:cs="Arial" w:eastAsia="Arial" w:hAnsi="Arial"/>
                <w:sz w:val="18"/>
                <w:szCs w:val="18"/>
                <w:color w:val="auto"/>
              </w:rPr>
              <w:t>(e)</w:t>
            </w:r>
          </w:p>
        </w:tc>
        <w:tc>
          <w:tcPr>
            <w:tcW w:w="16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10,094</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Patrick H. Hawkins</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71,123</w:t>
            </w:r>
          </w:p>
        </w:tc>
        <w:tc>
          <w:tcPr>
            <w:tcW w:w="780" w:type="dxa"/>
            <w:vAlign w:val="bottom"/>
          </w:tcPr>
          <w:p>
            <w:pPr>
              <w:ind w:left="140"/>
              <w:spacing w:after="0"/>
              <w:rPr>
                <w:sz w:val="20"/>
                <w:szCs w:val="20"/>
                <w:color w:val="auto"/>
              </w:rPr>
            </w:pPr>
            <w:r>
              <w:rPr>
                <w:rFonts w:ascii="Arial" w:cs="Arial" w:eastAsia="Arial" w:hAnsi="Arial"/>
                <w:sz w:val="18"/>
                <w:szCs w:val="18"/>
                <w:color w:val="auto"/>
              </w:rPr>
              <w:t>(g)</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Duane M. Jergenson</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30,115</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John S. McKeon</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39,424</w:t>
            </w:r>
          </w:p>
        </w:tc>
        <w:tc>
          <w:tcPr>
            <w:tcW w:w="780" w:type="dxa"/>
            <w:vAlign w:val="bottom"/>
          </w:tcPr>
          <w:p>
            <w:pPr>
              <w:ind w:left="140"/>
              <w:spacing w:after="0"/>
              <w:rPr>
                <w:sz w:val="20"/>
                <w:szCs w:val="20"/>
                <w:color w:val="auto"/>
              </w:rPr>
            </w:pPr>
            <w:r>
              <w:rPr>
                <w:rFonts w:ascii="Arial" w:cs="Arial" w:eastAsia="Arial" w:hAnsi="Arial"/>
                <w:sz w:val="18"/>
                <w:szCs w:val="18"/>
                <w:color w:val="auto"/>
              </w:rPr>
              <w:t>(h)</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2,848</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Daryl I. Skaar</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11,156</w:t>
            </w:r>
          </w:p>
        </w:tc>
        <w:tc>
          <w:tcPr>
            <w:tcW w:w="780" w:type="dxa"/>
            <w:vAlign w:val="bottom"/>
          </w:tcPr>
          <w:p>
            <w:pPr>
              <w:ind w:left="140"/>
              <w:spacing w:after="0"/>
              <w:rPr>
                <w:sz w:val="20"/>
                <w:szCs w:val="20"/>
                <w:color w:val="auto"/>
              </w:rPr>
            </w:pPr>
            <w:r>
              <w:rPr>
                <w:rFonts w:ascii="Arial" w:cs="Arial" w:eastAsia="Arial" w:hAnsi="Arial"/>
                <w:sz w:val="18"/>
                <w:szCs w:val="18"/>
                <w:color w:val="auto"/>
              </w:rPr>
              <w:t>(h)</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James T. Thompson</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9,988</w:t>
            </w:r>
          </w:p>
        </w:tc>
        <w:tc>
          <w:tcPr>
            <w:tcW w:w="780" w:type="dxa"/>
            <w:vAlign w:val="bottom"/>
          </w:tcPr>
          <w:p>
            <w:pPr>
              <w:ind w:left="140"/>
              <w:spacing w:after="0"/>
              <w:rPr>
                <w:sz w:val="20"/>
                <w:szCs w:val="20"/>
                <w:color w:val="auto"/>
              </w:rPr>
            </w:pPr>
            <w:r>
              <w:rPr>
                <w:rFonts w:ascii="Arial" w:cs="Arial" w:eastAsia="Arial" w:hAnsi="Arial"/>
                <w:sz w:val="18"/>
                <w:szCs w:val="18"/>
                <w:color w:val="auto"/>
              </w:rPr>
              <w:t>(h)</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Jeffrey L. Wright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8,988</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Richard G. Erstad</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14,976</w:t>
            </w:r>
          </w:p>
        </w:tc>
        <w:tc>
          <w:tcPr>
            <w:tcW w:w="780" w:type="dxa"/>
            <w:vAlign w:val="bottom"/>
          </w:tcPr>
          <w:p>
            <w:pPr>
              <w:ind w:left="140"/>
              <w:spacing w:after="0"/>
              <w:rPr>
                <w:sz w:val="20"/>
                <w:szCs w:val="20"/>
                <w:color w:val="auto"/>
              </w:rPr>
            </w:pPr>
            <w:r>
              <w:rPr>
                <w:rFonts w:ascii="Arial" w:cs="Arial" w:eastAsia="Arial" w:hAnsi="Arial"/>
                <w:sz w:val="18"/>
                <w:szCs w:val="18"/>
                <w:color w:val="auto"/>
              </w:rPr>
              <w:t>(i)</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Olivier A. Guiot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Thomas J. Keller</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53,842</w:t>
            </w:r>
          </w:p>
        </w:tc>
        <w:tc>
          <w:tcPr>
            <w:tcW w:w="780" w:type="dxa"/>
            <w:vAlign w:val="bottom"/>
          </w:tcPr>
          <w:p>
            <w:pPr>
              <w:ind w:left="140"/>
              <w:spacing w:after="0"/>
              <w:rPr>
                <w:sz w:val="20"/>
                <w:szCs w:val="20"/>
                <w:color w:val="auto"/>
              </w:rPr>
            </w:pPr>
            <w:r>
              <w:rPr>
                <w:rFonts w:ascii="Arial" w:cs="Arial" w:eastAsia="Arial" w:hAnsi="Arial"/>
                <w:sz w:val="18"/>
                <w:szCs w:val="18"/>
                <w:color w:val="auto"/>
              </w:rPr>
              <w:t>(j)</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Kathleen P. Pepski</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31,271</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36,785</w:t>
            </w:r>
          </w:p>
        </w:tc>
        <w:tc>
          <w:tcPr>
            <w:tcW w:w="780" w:type="dxa"/>
            <w:vAlign w:val="bottom"/>
          </w:tcPr>
          <w:p>
            <w:pPr>
              <w:ind w:left="140"/>
              <w:spacing w:after="0"/>
              <w:rPr>
                <w:sz w:val="20"/>
                <w:szCs w:val="20"/>
                <w:color w:val="auto"/>
              </w:rPr>
            </w:pPr>
            <w:r>
              <w:rPr>
                <w:rFonts w:ascii="Arial" w:cs="Arial" w:eastAsia="Arial" w:hAnsi="Arial"/>
                <w:sz w:val="18"/>
                <w:szCs w:val="18"/>
                <w:color w:val="auto"/>
              </w:rPr>
              <w:t>(l)</w:t>
            </w:r>
          </w:p>
        </w:tc>
        <w:tc>
          <w:tcPr>
            <w:tcW w:w="1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officers as a group (14 persons)</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371,874</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one percent.</w:t>
      </w:r>
    </w:p>
    <w:p>
      <w:pPr>
        <w:spacing w:after="0" w:line="63"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74" w:lineRule="exact"/>
        <w:rPr>
          <w:rFonts w:ascii="Arial" w:cs="Arial" w:eastAsia="Arial" w:hAnsi="Arial"/>
          <w:sz w:val="17"/>
          <w:szCs w:val="17"/>
          <w:color w:val="auto"/>
        </w:rPr>
      </w:pPr>
    </w:p>
    <w:p>
      <w:pPr>
        <w:ind w:left="420" w:right="48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a Schedule 13G filed by Royce &amp; Associates, LLC with the SEC on January 13, 2016. The address for Royce &amp; Associates is 745 Fifth Avenue, New York, NY 10151.</w:t>
      </w:r>
    </w:p>
    <w:p>
      <w:pPr>
        <w:spacing w:after="0" w:line="8" w:lineRule="exact"/>
        <w:rPr>
          <w:rFonts w:ascii="Arial" w:cs="Arial" w:eastAsia="Arial" w:hAnsi="Arial"/>
          <w:sz w:val="18"/>
          <w:szCs w:val="18"/>
          <w:color w:val="auto"/>
        </w:rPr>
      </w:pPr>
    </w:p>
    <w:p>
      <w:pPr>
        <w:ind w:left="420" w:right="380" w:hanging="412"/>
        <w:spacing w:after="0" w:line="216"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a Schedule 13G filed by BlackRock, Inc. with the SEC on January 26, 2016. The address for BlackRock, Inc. is 55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New York, NY 10055.</w:t>
      </w:r>
    </w:p>
    <w:p>
      <w:pPr>
        <w:spacing w:after="0" w:line="41" w:lineRule="exact"/>
        <w:rPr>
          <w:rFonts w:ascii="Arial" w:cs="Arial" w:eastAsia="Arial" w:hAnsi="Arial"/>
          <w:sz w:val="18"/>
          <w:szCs w:val="18"/>
          <w:color w:val="auto"/>
        </w:rPr>
      </w:pPr>
    </w:p>
    <w:p>
      <w:pPr>
        <w:ind w:left="420" w:hanging="412"/>
        <w:spacing w:after="0" w:line="271"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Trustee of the Hawkins, Inc. Employee Stock Ownership Plan and Trust is BMO Harris Bank, N.A.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which together with its parent, Bank of Montreal, filed a Schedule 13G with the SEC on February 16, 2016 with respect to these ESOP shares, disclaims beneficial ownership of the shares attributed to it in its capacity as Trustee of the ESOP.</w:t>
      </w:r>
    </w:p>
    <w:p>
      <w:pPr>
        <w:spacing w:after="0" w:line="16" w:lineRule="exact"/>
        <w:rPr>
          <w:rFonts w:ascii="Arial" w:cs="Arial" w:eastAsia="Arial" w:hAnsi="Arial"/>
          <w:sz w:val="17"/>
          <w:szCs w:val="17"/>
          <w:color w:val="auto"/>
        </w:rPr>
      </w:pPr>
    </w:p>
    <w:p>
      <w:pPr>
        <w:ind w:left="420" w:right="6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a Schedule 13G filed by T. Rowe Price Associates, Inc. with the SEC on February 10, 2016. The address for T. Rowe Price Associates, Inc. is 100 E. Pratt Street, Baltimore, MD 21202.</w:t>
      </w:r>
    </w:p>
    <w:p>
      <w:pPr>
        <w:spacing w:after="0" w:line="8" w:lineRule="exact"/>
        <w:rPr>
          <w:rFonts w:ascii="Arial" w:cs="Arial" w:eastAsia="Arial" w:hAnsi="Arial"/>
          <w:sz w:val="18"/>
          <w:szCs w:val="18"/>
          <w:color w:val="auto"/>
        </w:rPr>
      </w:pPr>
    </w:p>
    <w:p>
      <w:pPr>
        <w:ind w:left="420" w:right="4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7,091 shares that Mr. Faulconbridge holds jointly with his wife as to which he shares voting and investment power and 972 shares of restricted stock, which shares vest and the related restrictions expire on July 30, 2016.</w:t>
      </w:r>
    </w:p>
    <w:p>
      <w:pPr>
        <w:spacing w:after="0" w:line="8" w:lineRule="exact"/>
        <w:rPr>
          <w:rFonts w:ascii="Arial" w:cs="Arial" w:eastAsia="Arial" w:hAnsi="Arial"/>
          <w:sz w:val="18"/>
          <w:szCs w:val="18"/>
          <w:color w:val="auto"/>
        </w:rPr>
      </w:pPr>
    </w:p>
    <w:p>
      <w:pPr>
        <w:jc w:val="both"/>
        <w:ind w:left="420" w:right="380" w:hanging="412"/>
        <w:spacing w:after="0" w:line="286"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12,723 shares representing the beneficial interest of Mr. Hawkins as of June 3, 2016 in our ESOP, 10,691 shares of restricted stock, which shares vest and the related restrictions expire on March 29, 2017, and 8,359 shares of restricted stock, which shares vest and the related restrictions expire on April 3, 2018. Does not include outstanding Performance-Based Restricted Stock Unit Awards.</w:t>
      </w:r>
    </w:p>
    <w:p>
      <w:pPr>
        <w:spacing w:after="0" w:line="3" w:lineRule="exact"/>
        <w:rPr>
          <w:rFonts w:ascii="Arial" w:cs="Arial" w:eastAsia="Arial" w:hAnsi="Arial"/>
          <w:sz w:val="17"/>
          <w:szCs w:val="17"/>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972 shares of restricted stock, which shares vest and the related restrictions expire on July 30, 2016.</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823" w:right="279" w:bottom="1440" w:gutter="0" w:footer="0" w:header="0"/>
        </w:sectPr>
      </w:pPr>
    </w:p>
    <w:bookmarkStart w:id="24" w:name="page25"/>
    <w:bookmarkEnd w:id="24"/>
    <w:p>
      <w:pPr>
        <w:jc w:val="both"/>
        <w:ind w:left="420" w:right="100" w:hanging="412"/>
        <w:spacing w:after="0" w:line="264"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911 shares representing the beneficial interest of Mr. Erstad as of June 3, 2016 in our ESOP, 4,924 shares of restricted stock, which shares vest and the related restrictions expire on March 29, 2017, and 3,801 shares of restricted stock, which shares vest and the related restrictions expire on April 3, 2018. Does not include outstanding Performance-Based Restricted Stock Unit Awards.</w:t>
      </w:r>
    </w:p>
    <w:p>
      <w:pPr>
        <w:spacing w:after="0" w:line="19" w:lineRule="exact"/>
        <w:rPr>
          <w:rFonts w:ascii="Arial" w:cs="Arial" w:eastAsia="Arial" w:hAnsi="Arial"/>
          <w:sz w:val="18"/>
          <w:szCs w:val="18"/>
          <w:color w:val="auto"/>
        </w:rPr>
      </w:pPr>
    </w:p>
    <w:p>
      <w:pPr>
        <w:ind w:left="420" w:right="100" w:hanging="412"/>
        <w:spacing w:after="0" w:line="25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7,791 shares that Mr. Keller holds jointly with his wife as to which he shares voting and investment power, 35,876 shares representing the beneficial interest of Mr. Keller as of June 3, 2016 in our ESOP, 4,598 shares of restricted stock, which shares vest and the related restrictions expire on March 29, 2017, and 3,572 shares of restricted stock, which shares vest and the related restrictions expire on April 3, 2018. Does not include outstanding Performance-Based Restricted Stock Unit Awards.</w:t>
      </w:r>
    </w:p>
    <w:p>
      <w:pPr>
        <w:spacing w:after="0" w:line="24" w:lineRule="exact"/>
        <w:rPr>
          <w:rFonts w:ascii="Arial" w:cs="Arial" w:eastAsia="Arial" w:hAnsi="Arial"/>
          <w:sz w:val="18"/>
          <w:szCs w:val="18"/>
          <w:color w:val="auto"/>
        </w:rPr>
      </w:pPr>
    </w:p>
    <w:p>
      <w:pPr>
        <w:jc w:val="both"/>
        <w:ind w:left="420" w:right="60" w:hanging="412"/>
        <w:spacing w:after="0" w:line="264"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911 shares representing the beneficial interest of Ms. Pepski as of June 3, 2016 in our ESOP, 5,499 shares of restricted stock, which shares vest and the related restrictions expire on March 29, 2017, and 4,286 shares of restricted stock, which shares vest and the related restrictions expire on April 3, 2018. Does not include outstanding Performance-Based Restricted Stock Unit Awards.</w:t>
      </w:r>
    </w:p>
    <w:p>
      <w:pPr>
        <w:spacing w:after="0" w:line="19" w:lineRule="exact"/>
        <w:rPr>
          <w:rFonts w:ascii="Arial" w:cs="Arial" w:eastAsia="Arial" w:hAnsi="Arial"/>
          <w:sz w:val="18"/>
          <w:szCs w:val="18"/>
          <w:color w:val="auto"/>
        </w:rPr>
      </w:pPr>
    </w:p>
    <w:p>
      <w:pPr>
        <w:ind w:left="420" w:right="420" w:hanging="412"/>
        <w:spacing w:after="0" w:line="286"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20,771 shares representing the beneficial interest of Mr. Sevenich as of June 3, 2016 in our ESOP, 4,828 shares of restricted stock, which shares vest and the related restrictions expire on March 29, 2017, and 3,672 shares of restricted stock, which shares vest and the related restrictions expire on April 3, 2018. Does not include outstanding Performance-Based Restricted Stock Unit Awards.</w:t>
      </w:r>
    </w:p>
    <w:p>
      <w:pPr>
        <w:spacing w:after="0" w:line="3" w:lineRule="exact"/>
        <w:rPr>
          <w:rFonts w:ascii="Arial" w:cs="Arial" w:eastAsia="Arial" w:hAnsi="Arial"/>
          <w:sz w:val="17"/>
          <w:szCs w:val="17"/>
          <w:color w:val="auto"/>
        </w:rPr>
      </w:pPr>
    </w:p>
    <w:p>
      <w:pPr>
        <w:ind w:left="420" w:right="180" w:hanging="412"/>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105,662 shares representing the beneficial interest of the officers as of June 3, 2016 in our ESOP. Does not include outstanding Performance-Based Restricted Stock Unit Awards.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other than (i) Patrick Hawkins with respect to one report on Form 5 relating to a gift of stock in January 2015 and (ii) Richard Erstad and Thomas Keller with respect to one report on Form 5 both relating to a gift of stock in November 2015.</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employ Angela Wagamon, sister of Patrick H. Hawkins, our Chief Executive Officer, and Todd Hawkins, cousin of Patrick H. Hawkins; and Michael Clemens and John Clemens, the brothers of Theresa R. Moran, our Vice President - Quality and Support. Including retirement plan contributions and bonuses, each such employee earned in excess of $120,000 in fiscal 2016.</w:t>
      </w:r>
    </w:p>
    <w:p>
      <w:pPr>
        <w:spacing w:after="0" w:line="4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Stauber leases its corporate office building and warehouse in Fullerton, CA from an entity that is partially owned by Dan Stauber, one of our Board members. The amount of rent expense paid in fiscal 2016 totaled $472,000, of which approximately $55,000 was attributable to Mr. Stauber. In addition, Mr. Stauber has a minority ownership interest in Laird Superfoods, a customer of Stauber. Our sales to Laird Superfoods in fiscal 2016 totaled approximately $85,000. These transactions were reviewed and ratified by the Audit Committee.</w:t>
      </w:r>
    </w:p>
    <w:p>
      <w:pPr>
        <w:spacing w:after="0" w:line="52"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w:t>
      </w:r>
      <w:r>
        <w:rPr>
          <w:rFonts w:ascii="Arial" w:cs="Arial" w:eastAsia="Arial" w:hAnsi="Arial"/>
          <w:sz w:val="18"/>
          <w:szCs w:val="18"/>
          <w:b w:val="1"/>
          <w:bCs w:val="1"/>
          <w:color w:val="auto"/>
        </w:rPr>
        <w:t xml:space="preserve"> ADVISORY VOTE ON EXECUTIVE OFFICER COMPENSATION</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seeks a non-binding advisory vote from its shareholders to approve the compensation of our executive officers as described in this proxy statement under “Executive Compensation” and “Compensation Discussion and Analysis.”</w:t>
      </w:r>
    </w:p>
    <w:p>
      <w:pPr>
        <w:spacing w:after="0" w:line="3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w:t>
      </w:r>
    </w:p>
    <w:p>
      <w:pPr>
        <w:spacing w:after="0" w:line="46"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Our executive compensation program has been designed to attract and retain executives who will lead our company to achieve long-term success and growth in shareholder value. Consistent with that goal, our executive compensation is based on company, business unit and individual performance and the alignment of the interests of our executive officers with those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spacing w:after="0" w:line="276" w:lineRule="auto"/>
        <w:rPr>
          <w:sz w:val="20"/>
          <w:szCs w:val="20"/>
          <w:color w:val="auto"/>
        </w:rPr>
      </w:pPr>
      <w:r>
        <w:rPr>
          <w:rFonts w:ascii="Arial" w:cs="Arial" w:eastAsia="Arial" w:hAnsi="Arial"/>
          <w:sz w:val="17"/>
          <w:szCs w:val="17"/>
          <w:color w:val="auto"/>
        </w:rPr>
        <w:t>our shareholders and is used to encourage our executive officers to stay with the company. Our executive compensation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33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RESOLVED, that the shareholders approve the compensation of the company’s executive officers, as disclosed in the Compensation Discussion and Analysis, the compensation tables, and the related disclosure contained in the company’s 2015 proxy statement.</w:t>
      </w:r>
    </w:p>
    <w:p>
      <w:pPr>
        <w:spacing w:after="0" w:line="31" w:lineRule="exact"/>
        <w:rPr>
          <w:sz w:val="20"/>
          <w:szCs w:val="20"/>
          <w:color w:val="auto"/>
        </w:rPr>
      </w:pPr>
    </w:p>
    <w:p>
      <w:pPr>
        <w:ind w:right="220" w:firstLine="432"/>
        <w:spacing w:after="0" w:line="282" w:lineRule="auto"/>
        <w:rPr>
          <w:sz w:val="20"/>
          <w:szCs w:val="20"/>
          <w:color w:val="auto"/>
        </w:rPr>
      </w:pPr>
      <w:r>
        <w:rPr>
          <w:rFonts w:ascii="Arial" w:cs="Arial" w:eastAsia="Arial" w:hAnsi="Arial"/>
          <w:sz w:val="18"/>
          <w:szCs w:val="18"/>
          <w:b w:val="1"/>
          <w:bCs w:val="1"/>
          <w:color w:val="auto"/>
        </w:rPr>
        <w:t>THE BOARD OF DIRECTORS BELIEVES THAT THE COMPENSATION OF OUR EXECUTIVE OFFICERS IS APPROPRIATE AND RECOMMENDS A VOTE “FOR” THIS PROPOSAL TWO.</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KPMG LLP, an independent registered public accounting firm, was retained by the Audit Committee for fiscal 2016 and has been retained by the Audit Committee as our auditor for fiscal 2017.</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Representatives of KPMG LLP are expected to attend the Annual Meeting and will have the opportunity to make a statement if they desire to do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expected to be available to respond to appropriate questions.</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PROPOSALS BY SHAREHOLDERS</w:t>
      </w:r>
    </w:p>
    <w:p>
      <w:pPr>
        <w:spacing w:after="0" w:line="9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offices no later than March 3, 2017.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offices no later than May 6, 2017,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Annual Report on Form 10-K for fiscal 2016, including financial statements, is being mailed with this Proxy Statement. Shareholders who wish to obtain an additional copy of our Annual Report on Form 10-K for fiscal 2016 may do so without charge by writing to: Hawkins, Inc., 2381 Rosegate, Roseville, Minnesota 55113, Attention: Secretary. Our Annual Report on Form 10-K, as well as other company reports, are also available on the SEC’s website (www.sec.gov).</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665"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2)"/>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3"/>
    </w:lvl>
  </w:abstractNum>
  <w:abstractNum w:abstractNumId="15">
    <w:nsid w:val="75A2A8D4"/>
    <w:multiLevelType w:val="hybridMultilevel"/>
    <w:lvl w:ilvl="0">
      <w:lvlJc w:val="left"/>
      <w:lvlText w:val="(%1)"/>
      <w:numFmt w:val="lowerLetter"/>
      <w:start w:val="4"/>
    </w:lvl>
    <w:lvl w:ilvl="1">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2"/>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2019-12-05T06:47:20Z</dcterms:created>
  <dcterms:modified xsi:type="dcterms:W3CDTF">2019-12-05T06:47:20Z</dcterms:modified>
</cp:coreProperties>
</file>