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Calibri;sans-serif" w:hAnsi="Calibri;sans-serif"/>
          <w:b/>
          <w:color w:val="000000"/>
          <w:sz w:val="32"/>
        </w:rPr>
      </w:pPr>
      <w:r>
        <w:rPr>
          <w:rFonts w:ascii="Calibri;sans-serif" w:hAnsi="Calibri;sans-serif"/>
          <w:b/>
          <w:color w:val="000000"/>
          <w:sz w:val="32"/>
        </w:rPr>
        <w:t>UNITED STATES</w:t>
      </w:r>
    </w:p>
    <w:p>
      <w:pPr>
        <w:pStyle w:val="TextBody"/>
        <w:bidi w:val="0"/>
        <w:spacing w:lineRule="auto" w:line="288" w:before="0" w:after="0"/>
        <w:jc w:val="center"/>
        <w:rPr>
          <w:rFonts w:ascii="Calibri;sans-serif" w:hAnsi="Calibri;sans-serif"/>
          <w:b/>
          <w:color w:val="000000"/>
          <w:sz w:val="32"/>
        </w:rPr>
      </w:pPr>
      <w:r>
        <w:rPr>
          <w:rFonts w:ascii="Calibri;sans-serif" w:hAnsi="Calibri;sans-serif"/>
          <w:b/>
          <w:color w:val="000000"/>
          <w:sz w:val="32"/>
        </w:rPr>
        <w:t>SECURITIES AND EXCHANGE COMMISSION</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WASHINGTON, D.C. 20549</w:t>
      </w:r>
    </w:p>
    <w:tbl>
      <w:tblPr>
        <w:tblW w:w="1679" w:type="dxa"/>
        <w:jc w:val="center"/>
        <w:tblInd w:w="0" w:type="dxa"/>
        <w:tblLayout w:type="fixed"/>
        <w:tblCellMar>
          <w:top w:w="28" w:type="dxa"/>
          <w:left w:w="28" w:type="dxa"/>
          <w:bottom w:w="28" w:type="dxa"/>
          <w:right w:w="28" w:type="dxa"/>
        </w:tblCellMar>
      </w:tblPr>
      <w:tblGrid>
        <w:gridCol w:w="537"/>
        <w:gridCol w:w="471"/>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Calibri;sans-serif" w:hAnsi="Calibri;sans-serif"/>
                <w:b/>
                <w:color w:val="000000"/>
                <w:sz w:val="32"/>
              </w:rPr>
            </w:pPr>
            <w:r>
              <w:rPr>
                <w:rFonts w:ascii="Calibri;sans-serif" w:hAnsi="Calibri;sans-serif"/>
                <w:b/>
                <w:color w:val="000000"/>
                <w:sz w:val="32"/>
              </w:rPr>
              <w:t>FORM 10-Q</w:t>
            </w:r>
          </w:p>
        </w:tc>
      </w:tr>
    </w:tbl>
    <w:tbl>
      <w:tblPr>
        <w:tblW w:w="6412" w:type="dxa"/>
        <w:jc w:val="center"/>
        <w:tblInd w:w="0" w:type="dxa"/>
        <w:tblLayout w:type="fixed"/>
        <w:tblCellMar>
          <w:top w:w="28" w:type="dxa"/>
          <w:left w:w="28" w:type="dxa"/>
          <w:bottom w:w="28" w:type="dxa"/>
          <w:right w:w="28" w:type="dxa"/>
        </w:tblCellMar>
      </w:tblPr>
      <w:tblGrid>
        <w:gridCol w:w="124"/>
        <w:gridCol w:w="109"/>
        <w:gridCol w:w="109"/>
        <w:gridCol w:w="643"/>
        <w:gridCol w:w="643"/>
        <w:gridCol w:w="643"/>
        <w:gridCol w:w="643"/>
        <w:gridCol w:w="643"/>
        <w:gridCol w:w="643"/>
        <w:gridCol w:w="643"/>
        <w:gridCol w:w="643"/>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QUARTERLY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SECURITIES EXCHANGE ACT OF 1934</w:t>
            </w:r>
          </w:p>
        </w:tc>
      </w:tr>
    </w:tbl>
    <w:p>
      <w:pPr>
        <w:pStyle w:val="TextBody"/>
        <w:bidi w:val="0"/>
        <w:spacing w:lineRule="auto" w:line="288" w:before="180" w:after="120"/>
        <w:jc w:val="center"/>
        <w:rPr>
          <w:rFonts w:ascii="Calibri;sans-serif" w:hAnsi="Calibri;sans-serif"/>
          <w:b/>
          <w:color w:val="000000"/>
          <w:sz w:val="20"/>
        </w:rPr>
      </w:pPr>
      <w:r>
        <w:rPr>
          <w:rFonts w:ascii="Calibri;sans-serif" w:hAnsi="Calibri;sans-serif"/>
          <w:b/>
          <w:color w:val="000000"/>
          <w:sz w:val="20"/>
        </w:rPr>
        <w:t>For the quarterly period ended July 2, 2023</w:t>
      </w:r>
    </w:p>
    <w:tbl>
      <w:tblPr>
        <w:tblW w:w="6458" w:type="dxa"/>
        <w:jc w:val="center"/>
        <w:tblInd w:w="0" w:type="dxa"/>
        <w:tblLayout w:type="fixed"/>
        <w:tblCellMar>
          <w:top w:w="28" w:type="dxa"/>
          <w:left w:w="28" w:type="dxa"/>
          <w:bottom w:w="28" w:type="dxa"/>
          <w:right w:w="28" w:type="dxa"/>
        </w:tblCellMar>
      </w:tblPr>
      <w:tblGrid>
        <w:gridCol w:w="124"/>
        <w:gridCol w:w="109"/>
        <w:gridCol w:w="109"/>
        <w:gridCol w:w="649"/>
        <w:gridCol w:w="649"/>
        <w:gridCol w:w="649"/>
        <w:gridCol w:w="649"/>
        <w:gridCol w:w="649"/>
        <w:gridCol w:w="649"/>
        <w:gridCol w:w="649"/>
        <w:gridCol w:w="649"/>
        <w:gridCol w:w="9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TRANSITION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SECURITIES EXCHANGE ACT OF 1934</w:t>
            </w:r>
          </w:p>
        </w:tc>
      </w:tr>
    </w:tbl>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Commission file number 0-7647</w:t>
      </w:r>
    </w:p>
    <w:tbl>
      <w:tblPr>
        <w:tblW w:w="3659" w:type="dxa"/>
        <w:jc w:val="center"/>
        <w:tblInd w:w="0" w:type="dxa"/>
        <w:tblLayout w:type="fixed"/>
        <w:tblCellMar>
          <w:top w:w="28" w:type="dxa"/>
          <w:left w:w="28" w:type="dxa"/>
          <w:bottom w:w="28" w:type="dxa"/>
          <w:right w:w="28" w:type="dxa"/>
        </w:tblCellMar>
      </w:tblPr>
      <w:tblGrid>
        <w:gridCol w:w="1173"/>
        <w:gridCol w:w="1030"/>
        <w:gridCol w:w="1456"/>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36"/>
              </w:rPr>
            </w:pPr>
            <w:r>
              <w:rPr>
                <w:rFonts w:ascii="Calibri;sans-serif" w:hAnsi="Calibri;sans-serif"/>
                <w:b/>
                <w:color w:val="000000"/>
                <w:sz w:val="36"/>
              </w:rPr>
              <w:t>HAWKINS, INC.</w:t>
            </w:r>
          </w:p>
        </w:tc>
      </w:tr>
      <w:tr>
        <w:trPr/>
        <w:tc>
          <w:tcPr>
            <w:tcW w:w="3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(Exact name of registrant as specified in its charter) </w:t>
            </w:r>
          </w:p>
        </w:tc>
      </w:tr>
    </w:tbl>
    <w:tbl>
      <w:tblPr>
        <w:tblW w:w="3867" w:type="dxa"/>
        <w:jc w:val="center"/>
        <w:tblInd w:w="0" w:type="dxa"/>
        <w:tblLayout w:type="fixed"/>
        <w:tblCellMar>
          <w:top w:w="28" w:type="dxa"/>
          <w:left w:w="28" w:type="dxa"/>
          <w:bottom w:w="28" w:type="dxa"/>
          <w:right w:w="28" w:type="dxa"/>
        </w:tblCellMar>
      </w:tblPr>
      <w:tblGrid>
        <w:gridCol w:w="782"/>
        <w:gridCol w:w="685"/>
        <w:gridCol w:w="693"/>
        <w:gridCol w:w="109"/>
        <w:gridCol w:w="109"/>
        <w:gridCol w:w="109"/>
        <w:gridCol w:w="403"/>
        <w:gridCol w:w="403"/>
        <w:gridCol w:w="574"/>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bl>
    <w:tbl>
      <w:tblPr>
        <w:tblW w:w="3928" w:type="dxa"/>
        <w:jc w:val="center"/>
        <w:tblInd w:w="0" w:type="dxa"/>
        <w:tblLayout w:type="fixed"/>
        <w:tblCellMar>
          <w:top w:w="28" w:type="dxa"/>
          <w:left w:w="28" w:type="dxa"/>
          <w:bottom w:w="28" w:type="dxa"/>
          <w:right w:w="28" w:type="dxa"/>
        </w:tblCellMar>
      </w:tblPr>
      <w:tblGrid>
        <w:gridCol w:w="1125"/>
        <w:gridCol w:w="986"/>
        <w:gridCol w:w="993"/>
        <w:gridCol w:w="241"/>
        <w:gridCol w:w="241"/>
        <w:gridCol w:w="342"/>
      </w:tblGrid>
      <w:tr>
        <w:trPr/>
        <w:tc>
          <w:tcPr>
            <w:tcW w:w="11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Calibri;sans-serif" w:hAnsi="Calibri;sans-serif"/>
                <w:b/>
                <w:color w:val="000000"/>
                <w:sz w:val="20"/>
              </w:rPr>
            </w:pPr>
            <w:r>
              <w:rPr>
                <w:rFonts w:ascii="Calibri;sans-serif" w:hAnsi="Calibri;sans-serif"/>
                <w:b/>
                <w:color w:val="000000"/>
                <w:sz w:val="20"/>
              </w:rPr>
              <w:t>2381 Rosegate, Roseville, Minnesota</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tbl>
      <w:tblPr>
        <w:tblW w:w="3839" w:type="dxa"/>
        <w:jc w:val="center"/>
        <w:tblInd w:w="0" w:type="dxa"/>
        <w:tblLayout w:type="fixed"/>
        <w:tblCellMar>
          <w:top w:w="28" w:type="dxa"/>
          <w:left w:w="28" w:type="dxa"/>
          <w:bottom w:w="28" w:type="dxa"/>
          <w:right w:w="28" w:type="dxa"/>
        </w:tblCellMar>
      </w:tblPr>
      <w:tblGrid>
        <w:gridCol w:w="1226"/>
        <w:gridCol w:w="1080"/>
        <w:gridCol w:w="1533"/>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Calibri;sans-serif" w:hAnsi="Calibri;sans-serif"/>
                <w:b/>
                <w:color w:val="000000"/>
                <w:sz w:val="20"/>
              </w:rPr>
            </w:pPr>
            <w:r>
              <w:rPr>
                <w:rFonts w:ascii="Calibri;sans-serif" w:hAnsi="Calibri;sans-serif"/>
                <w:b/>
                <w:color w:val="000000"/>
                <w:sz w:val="20"/>
              </w:rPr>
              <w:t>(612) 331-6910</w:t>
            </w:r>
          </w:p>
        </w:tc>
      </w:tr>
      <w:tr>
        <w:trPr/>
        <w:tc>
          <w:tcPr>
            <w:tcW w:w="3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(Registrant’s telephone number, including area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Nasdaq Stock Market LLC</w:t>
            </w:r>
          </w:p>
        </w:tc>
      </w:tr>
    </w:tbl>
    <w:p>
      <w:pPr>
        <w:pStyle w:val="TextBody"/>
        <w:bidi w:val="0"/>
        <w:spacing w:lineRule="auto" w:line="288" w:before="180" w:after="283"/>
        <w:jc w:val="left"/>
        <w:rPr/>
      </w:pPr>
      <w:r>
        <w:rPr>
          <w:rFonts w:ascii="Calibri;sans-serif" w:hAnsi="Calibr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Calibri;sans-serif" w:hAnsi="Calibri;sans-serif"/>
          <w:b w:val="false"/>
          <w:color w:val="000000"/>
          <w:sz w:val="20"/>
        </w:rPr>
        <w:t>No </w:t>
      </w:r>
      <w:r>
        <w:rPr>
          <w:color w:val="000000"/>
        </w:rPr>
        <w:t> ☐</w:t>
      </w:r>
    </w:p>
    <w:p>
      <w:pPr>
        <w:pStyle w:val="TextBody"/>
        <w:bidi w:val="0"/>
        <w:spacing w:lineRule="auto" w:line="288" w:before="180" w:after="283"/>
        <w:jc w:val="left"/>
        <w:rPr/>
      </w:pPr>
      <w:r>
        <w:rPr>
          <w:rFonts w:ascii="Calibri;sans-serif" w:hAnsi="Calibri;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Calibri;sans-serif" w:hAnsi="Calibri;sans-serif"/>
          <w:b w:val="false"/>
          <w:color w:val="000000"/>
          <w:sz w:val="20"/>
        </w:rPr>
        <w:t>No  </w:t>
      </w:r>
      <w:r>
        <w:rPr>
          <w:color w:val="000000"/>
        </w:rPr>
        <w:t>☐</w:t>
      </w:r>
    </w:p>
    <w:p>
      <w:pPr>
        <w:pStyle w:val="TextBody"/>
        <w:bidi w:val="0"/>
        <w:spacing w:lineRule="auto" w:line="288" w:before="180" w:after="12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01"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109"/>
        <w:gridCol w:w="109"/>
        <w:gridCol w:w="109"/>
        <w:gridCol w:w="109"/>
        <w:gridCol w:w="109"/>
        <w:gridCol w:w="109"/>
        <w:gridCol w:w="109"/>
        <w:gridCol w:w="109"/>
        <w:gridCol w:w="109"/>
        <w:gridCol w:w="753"/>
        <w:gridCol w:w="753"/>
        <w:gridCol w:w="758"/>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bl>
    <w:p>
      <w:pPr>
        <w:pStyle w:val="TextBody"/>
        <w:bidi w:val="0"/>
        <w:spacing w:lineRule="auto" w:line="288" w:before="0" w:after="0"/>
        <w:jc w:val="left"/>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 shell company (as defined in Rule 12b-2 of the Exchange Act).   </w:t>
      </w:r>
    </w:p>
    <w:p>
      <w:pPr>
        <w:pStyle w:val="TextBody"/>
        <w:bidi w:val="0"/>
        <w:spacing w:lineRule="auto" w:line="288" w:before="0" w:after="0"/>
        <w:ind w:left="0" w:right="0" w:firstLine="720"/>
        <w:jc w:val="left"/>
        <w:rPr/>
      </w:pPr>
      <w:r>
        <w:rPr>
          <w:rFonts w:ascii="Calibri;sans-serif" w:hAnsi="Calibri;sans-serif"/>
          <w:b w:val="false"/>
          <w:color w:val="000000"/>
          <w:sz w:val="20"/>
        </w:rPr>
        <w:t>Yes  </w:t>
      </w:r>
      <w:r>
        <w:rPr>
          <w:color w:val="000000"/>
        </w:rPr>
        <w:t>☐    </w:t>
      </w:r>
      <w:r>
        <w:rPr>
          <w:rFonts w:ascii="Calibri;sans-serif" w:hAnsi="Calibri;sans-serif"/>
          <w:b w:val="false"/>
          <w:color w:val="000000"/>
          <w:sz w:val="20"/>
        </w:rPr>
        <w:t>No  </w:t>
      </w:r>
      <w:r>
        <w:rPr>
          <w:color w:val="000000"/>
        </w:rPr>
        <w:t>☒</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color w:val="000000"/>
        </w:rPr>
      </w:pPr>
      <w:r>
        <w:rPr>
          <w:color w:val="000000"/>
        </w:rPr>
        <w:t> </w:t>
      </w:r>
    </w:p>
    <w:tbl>
      <w:tblPr>
        <w:tblW w:w="6221" w:type="dxa"/>
        <w:jc w:val="left"/>
        <w:tblInd w:w="0" w:type="dxa"/>
        <w:tblLayout w:type="fixed"/>
        <w:tblCellMar>
          <w:top w:w="28" w:type="dxa"/>
          <w:left w:w="28" w:type="dxa"/>
          <w:bottom w:w="28" w:type="dxa"/>
          <w:right w:w="28" w:type="dxa"/>
        </w:tblCellMar>
      </w:tblPr>
      <w:tblGrid>
        <w:gridCol w:w="1200"/>
        <w:gridCol w:w="1057"/>
        <w:gridCol w:w="1073"/>
        <w:gridCol w:w="109"/>
        <w:gridCol w:w="109"/>
        <w:gridCol w:w="109"/>
        <w:gridCol w:w="750"/>
        <w:gridCol w:w="750"/>
        <w:gridCol w:w="1064"/>
      </w:tblGrid>
      <w:tr>
        <w:trPr/>
        <w:tc>
          <w:tcPr>
            <w:tcW w:w="120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Shares Outstanding at July 28, 2023</w:t>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21,100,899</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82"/>
        <w:gridCol w:w="248"/>
        <w:gridCol w:w="251"/>
        <w:gridCol w:w="2871"/>
        <w:gridCol w:w="2869"/>
        <w:gridCol w:w="2874"/>
        <w:gridCol w:w="145"/>
        <w:gridCol w:w="145"/>
        <w:gridCol w:w="146"/>
        <w:gridCol w:w="109"/>
        <w:gridCol w:w="109"/>
        <w:gridCol w:w="15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6"/>
              </w:rPr>
            </w:pPr>
            <w:r>
              <w:rPr>
                <w:rFonts w:ascii="Calibri;sans-serif" w:hAnsi="Calibri;sans-serif"/>
                <w:b/>
                <w:color w:val="000000"/>
                <w:sz w:val="16"/>
              </w:rPr>
              <w:t>Page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PART I.</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0">
              <w:r>
                <w:rPr>
                  <w:rStyle w:val="InternetLink"/>
                  <w:rFonts w:ascii="Calibri;sans-serif" w:hAnsi="Calibri;sans-serif"/>
                  <w:b/>
                  <w:color w:val="0000FF"/>
                  <w:sz w:val="20"/>
                  <w:u w:val="single"/>
                </w:rPr>
                <w:t>FINANCIAL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3">
              <w:r>
                <w:rPr>
                  <w:rStyle w:val="InternetLink"/>
                  <w:rFonts w:ascii="Calibri;sans-serif" w:hAnsi="Calibri;sans-serif"/>
                  <w:b w:val="false"/>
                  <w:color w:val="0000FF"/>
                  <w:sz w:val="20"/>
                  <w:u w:val="single"/>
                </w:rPr>
                <w:t>Financial Statements (unaudited):</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6">
              <w:r>
                <w:rPr>
                  <w:rStyle w:val="InternetLink"/>
                  <w:rFonts w:ascii="Calibri;sans-serif" w:hAnsi="Calibri;sans-serif"/>
                  <w:b w:val="false"/>
                  <w:color w:val="000080"/>
                  <w:sz w:val="20"/>
                  <w:u w:val="single"/>
                </w:rPr>
                <w:t>Condensed Consolidated Balance Sheets –</w:t>
              </w:r>
            </w:hyperlink>
            <w:hyperlink w:anchor="i2ed53032aef44b6c993bd9e92a6366a1_19">
              <w:r>
                <w:rPr>
                  <w:rStyle w:val="InternetLink"/>
                  <w:rFonts w:ascii="Calibri;sans-serif" w:hAnsi="Calibri;sans-serif"/>
                  <w:b w:val="false"/>
                  <w:color w:val="000080"/>
                  <w:sz w:val="20"/>
                  <w:u w:val="single"/>
                </w:rPr>
                <w:t xml:space="preserve">July 2, 2023 and </w:t>
              </w:r>
            </w:hyperlink>
            <w:hyperlink w:anchor="i2ed53032aef44b6c993bd9e92a6366a1_19">
              <w:r>
                <w:rPr>
                  <w:rStyle w:val="InternetLink"/>
                  <w:rFonts w:ascii="Calibri;sans-serif" w:hAnsi="Calibri;sans-serif"/>
                  <w:b w:val="false"/>
                  <w:color w:val="000080"/>
                  <w:sz w:val="20"/>
                  <w:u w:val="single"/>
                </w:rPr>
                <w:t>April 2</w:t>
              </w:r>
            </w:hyperlink>
            <w:hyperlink w:anchor="i2ed53032aef44b6c993bd9e92a6366a1_19">
              <w:r>
                <w:rPr>
                  <w:rStyle w:val="InternetLink"/>
                  <w:rFonts w:ascii="Calibri;sans-serif" w:hAnsi="Calibri;sans-serif"/>
                  <w:b w:val="false"/>
                  <w:color w:val="000080"/>
                  <w:sz w:val="20"/>
                  <w:u w:val="single"/>
                </w:rPr>
                <w:t>, 20</w:t>
              </w:r>
            </w:hyperlink>
            <w:hyperlink w:anchor="i2ed53032aef44b6c993bd9e92a6366a1_19">
              <w:r>
                <w:rPr>
                  <w:rStyle w:val="InternetLink"/>
                  <w:rFonts w:ascii="Calibri;sans-serif" w:hAnsi="Calibri;sans-serif"/>
                  <w:b w:val="false"/>
                  <w:color w:val="000080"/>
                  <w:sz w:val="20"/>
                  <w:u w:val="single"/>
                </w:rPr>
                <w:t>23</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16">
              <w:r>
                <w:rPr>
                  <w:rStyle w:val="InternetLink"/>
                  <w:rFonts w:ascii="Calibri;sans-serif" w:hAnsi="Calibri;sans-serif"/>
                  <w:b w:val="false"/>
                  <w:color w:val="0000FF"/>
                  <w:sz w:val="20"/>
                  <w:u w:val="single"/>
                </w:rPr>
                <w:t>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9">
              <w:r>
                <w:rPr>
                  <w:rStyle w:val="InternetLink"/>
                  <w:rFonts w:ascii="Calibri;sans-serif" w:hAnsi="Calibri;sans-serif"/>
                  <w:b w:val="false"/>
                  <w:color w:val="000080"/>
                  <w:sz w:val="20"/>
                  <w:u w:val="single"/>
                </w:rPr>
                <w:t>Condensed Consolidated Statements of Income – Three</w:t>
              </w:r>
            </w:hyperlink>
            <w:hyperlink w:anchor="i2ed53032aef44b6c993bd9e92a6366a1_19">
              <w:r>
                <w:rPr>
                  <w:rStyle w:val="InternetLink"/>
                  <w:rFonts w:ascii="Calibri;sans-serif" w:hAnsi="Calibri;sans-serif"/>
                  <w:b w:val="false"/>
                  <w:color w:val="000080"/>
                  <w:sz w:val="20"/>
                  <w:u w:val="single"/>
                </w:rPr>
                <w:t xml:space="preserve"> </w:t>
              </w:r>
            </w:hyperlink>
            <w:hyperlink w:anchor="i2ed53032aef44b6c993bd9e92a6366a1_19">
              <w:r>
                <w:rPr>
                  <w:rStyle w:val="InternetLink"/>
                  <w:rFonts w:ascii="Calibri;sans-serif" w:hAnsi="Calibri;sans-serif"/>
                  <w:b w:val="false"/>
                  <w:color w:val="000080"/>
                  <w:sz w:val="20"/>
                  <w:u w:val="single"/>
                </w:rPr>
                <w:t>Months Ended J</w:t>
              </w:r>
            </w:hyperlink>
            <w:hyperlink w:anchor="i2ed53032aef44b6c993bd9e92a6366a1_19">
              <w:r>
                <w:rPr>
                  <w:rStyle w:val="InternetLink"/>
                  <w:rFonts w:ascii="Calibri;sans-serif" w:hAnsi="Calibri;sans-serif"/>
                  <w:b w:val="false"/>
                  <w:color w:val="000080"/>
                  <w:sz w:val="20"/>
                  <w:u w:val="single"/>
                </w:rPr>
                <w:t>uly 2</w:t>
              </w:r>
            </w:hyperlink>
            <w:hyperlink w:anchor="i2ed53032aef44b6c993bd9e92a6366a1_19">
              <w:r>
                <w:rPr>
                  <w:rStyle w:val="InternetLink"/>
                  <w:rFonts w:ascii="Calibri;sans-serif" w:hAnsi="Calibri;sans-serif"/>
                  <w:b w:val="false"/>
                  <w:color w:val="000080"/>
                  <w:sz w:val="20"/>
                  <w:u w:val="single"/>
                </w:rPr>
                <w:t xml:space="preserve">, 2023 and </w:t>
              </w:r>
            </w:hyperlink>
            <w:hyperlink w:anchor="i2ed53032aef44b6c993bd9e92a6366a1_19">
              <w:r>
                <w:rPr>
                  <w:rStyle w:val="InternetLink"/>
                  <w:rFonts w:ascii="Calibri;sans-serif" w:hAnsi="Calibri;sans-serif"/>
                  <w:b w:val="false"/>
                  <w:color w:val="000080"/>
                  <w:sz w:val="20"/>
                  <w:u w:val="single"/>
                </w:rPr>
                <w:t>July 3</w:t>
              </w:r>
            </w:hyperlink>
            <w:hyperlink w:anchor="i2ed53032aef44b6c993bd9e92a6366a1_19">
              <w:r>
                <w:rPr>
                  <w:rStyle w:val="InternetLink"/>
                  <w:rFonts w:ascii="Calibri;sans-serif" w:hAnsi="Calibri;sans-serif"/>
                  <w:b w:val="false"/>
                  <w:color w:val="000080"/>
                  <w:sz w:val="20"/>
                  <w:u w:val="single"/>
                </w:rPr>
                <w:t>, 20</w:t>
              </w:r>
            </w:hyperlink>
            <w:hyperlink w:anchor="i2ed53032aef44b6c993bd9e92a6366a1_19">
              <w:r>
                <w:rPr>
                  <w:rStyle w:val="InternetLink"/>
                  <w:rFonts w:ascii="Calibri;sans-serif" w:hAnsi="Calibri;sans-serif"/>
                  <w:b w:val="false"/>
                  <w:color w:val="000080"/>
                  <w:sz w:val="20"/>
                  <w:u w:val="single"/>
                </w:rPr>
                <w:t>2</w:t>
              </w:r>
            </w:hyperlink>
            <w:hyperlink w:anchor="i2ed53032aef44b6c993bd9e92a6366a1_19">
              <w:r>
                <w:rPr>
                  <w:rStyle w:val="InternetLink"/>
                  <w:rFonts w:ascii="Calibri;sans-serif" w:hAnsi="Calibri;sans-serif"/>
                  <w:b w:val="false"/>
                  <w:color w:val="000080"/>
                  <w:sz w:val="20"/>
                  <w:u w:val="single"/>
                </w:rPr>
                <w:t>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19">
              <w:r>
                <w:rPr>
                  <w:rStyle w:val="InternetLink"/>
                  <w:rFonts w:ascii="Calibri;sans-serif" w:hAnsi="Calibri;sans-serif"/>
                  <w:b w:val="false"/>
                  <w:color w:val="0000FF"/>
                  <w:sz w:val="20"/>
                  <w:u w:val="single"/>
                </w:rPr>
                <w:t>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22">
              <w:r>
                <w:rPr>
                  <w:rStyle w:val="InternetLink"/>
                  <w:rFonts w:ascii="Calibri;sans-serif" w:hAnsi="Calibri;sans-serif"/>
                  <w:b w:val="false"/>
                  <w:color w:val="000080"/>
                  <w:sz w:val="20"/>
                  <w:u w:val="single"/>
                </w:rPr>
                <w:t xml:space="preserve">Condensed Consolidated Statements of Comprehensive Income – Three </w:t>
              </w:r>
            </w:hyperlink>
            <w:hyperlink w:anchor="i2ed53032aef44b6c993bd9e92a6366a1_22">
              <w:r>
                <w:rPr>
                  <w:rStyle w:val="InternetLink"/>
                  <w:rFonts w:ascii="Calibri;sans-serif" w:hAnsi="Calibri;sans-serif"/>
                  <w:b w:val="false"/>
                  <w:color w:val="000080"/>
                  <w:sz w:val="20"/>
                  <w:u w:val="single"/>
                </w:rPr>
                <w:t xml:space="preserve">Months Ended </w:t>
              </w:r>
            </w:hyperlink>
            <w:hyperlink w:anchor="i2ed53032aef44b6c993bd9e92a6366a1_19">
              <w:r>
                <w:rPr>
                  <w:rStyle w:val="InternetLink"/>
                  <w:rFonts w:ascii="Calibri;sans-serif" w:hAnsi="Calibri;sans-serif"/>
                  <w:b w:val="false"/>
                  <w:color w:val="000080"/>
                  <w:sz w:val="20"/>
                  <w:u w:val="single"/>
                </w:rPr>
                <w:t>July 2, 2023 and July 3, 2022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22">
              <w:r>
                <w:rPr>
                  <w:rStyle w:val="InternetLink"/>
                  <w:rFonts w:ascii="Calibri;sans-serif" w:hAnsi="Calibri;sans-serif"/>
                  <w:b w:val="false"/>
                  <w:color w:val="0000FF"/>
                  <w:sz w:val="20"/>
                  <w:u w:val="single"/>
                </w:rPr>
                <w:t>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25">
              <w:r>
                <w:rPr>
                  <w:rStyle w:val="InternetLink"/>
                  <w:rFonts w:ascii="Calibri;sans-serif" w:hAnsi="Calibri;sans-serif"/>
                  <w:b w:val="false"/>
                  <w:color w:val="000080"/>
                  <w:sz w:val="20"/>
                  <w:u w:val="single"/>
                </w:rPr>
                <w:t xml:space="preserve">Condensed Consolidated Statements of Shareholder’s Equity – Three </w:t>
              </w:r>
            </w:hyperlink>
            <w:hyperlink w:anchor="i2ed53032aef44b6c993bd9e92a6366a1_25">
              <w:r>
                <w:rPr>
                  <w:rStyle w:val="InternetLink"/>
                  <w:rFonts w:ascii="Calibri;sans-serif" w:hAnsi="Calibri;sans-serif"/>
                  <w:b w:val="false"/>
                  <w:color w:val="000080"/>
                  <w:sz w:val="20"/>
                  <w:u w:val="single"/>
                </w:rPr>
                <w:t xml:space="preserve">Months Ended </w:t>
              </w:r>
            </w:hyperlink>
            <w:hyperlink w:anchor="i2ed53032aef44b6c993bd9e92a6366a1_19">
              <w:r>
                <w:rPr>
                  <w:rStyle w:val="InternetLink"/>
                  <w:rFonts w:ascii="Calibri;sans-serif" w:hAnsi="Calibri;sans-serif"/>
                  <w:b w:val="false"/>
                  <w:color w:val="000080"/>
                  <w:sz w:val="20"/>
                  <w:u w:val="single"/>
                </w:rPr>
                <w:t>July 2, 2023 and July 3, 2022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25">
              <w:r>
                <w:rPr>
                  <w:rStyle w:val="InternetLink"/>
                  <w:rFonts w:ascii="Calibri;sans-serif" w:hAnsi="Calibri;sans-serif"/>
                  <w:b w:val="false"/>
                  <w:color w:val="0000FF"/>
                  <w:sz w:val="20"/>
                  <w:u w:val="single"/>
                </w:rPr>
                <w:t>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28">
              <w:r>
                <w:rPr>
                  <w:rStyle w:val="InternetLink"/>
                  <w:rFonts w:ascii="Calibri;sans-serif" w:hAnsi="Calibri;sans-serif"/>
                  <w:b w:val="false"/>
                  <w:color w:val="000080"/>
                  <w:sz w:val="20"/>
                  <w:u w:val="single"/>
                </w:rPr>
                <w:t xml:space="preserve">Condensed Consolidated Statements of Cash Flows – </w:t>
              </w:r>
            </w:hyperlink>
            <w:hyperlink w:anchor="i2ed53032aef44b6c993bd9e92a6366a1_28">
              <w:r>
                <w:rPr>
                  <w:rStyle w:val="InternetLink"/>
                  <w:rFonts w:ascii="Calibri;sans-serif" w:hAnsi="Calibri;sans-serif"/>
                  <w:b w:val="false"/>
                  <w:color w:val="000080"/>
                  <w:sz w:val="20"/>
                  <w:u w:val="single"/>
                </w:rPr>
                <w:t>Three</w:t>
              </w:r>
            </w:hyperlink>
            <w:hyperlink w:anchor="i2ed53032aef44b6c993bd9e92a6366a1_28">
              <w:r>
                <w:rPr>
                  <w:rStyle w:val="InternetLink"/>
                  <w:rFonts w:ascii="Calibri;sans-serif" w:hAnsi="Calibri;sans-serif"/>
                  <w:b w:val="false"/>
                  <w:color w:val="000080"/>
                  <w:sz w:val="20"/>
                  <w:u w:val="single"/>
                </w:rPr>
                <w:t xml:space="preserve"> Months Ended </w:t>
              </w:r>
            </w:hyperlink>
            <w:hyperlink w:anchor="i2ed53032aef44b6c993bd9e92a6366a1_19">
              <w:r>
                <w:rPr>
                  <w:rStyle w:val="InternetLink"/>
                  <w:rFonts w:ascii="Calibri;sans-serif" w:hAnsi="Calibri;sans-serif"/>
                  <w:b w:val="false"/>
                  <w:color w:val="000080"/>
                  <w:sz w:val="20"/>
                  <w:u w:val="single"/>
                </w:rPr>
                <w:t>July 2, 2023 and July 3, 2022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28">
              <w:r>
                <w:rPr>
                  <w:rStyle w:val="InternetLink"/>
                  <w:rFonts w:ascii="Calibri;sans-serif" w:hAnsi="Calibri;sans-serif"/>
                  <w:b w:val="false"/>
                  <w:color w:val="0000FF"/>
                  <w:sz w:val="20"/>
                  <w:u w:val="single"/>
                </w:rPr>
                <w:t>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31">
              <w:r>
                <w:rPr>
                  <w:rStyle w:val="InternetLink"/>
                  <w:rFonts w:ascii="Calibri;sans-serif" w:hAnsi="Calibri;sans-serif"/>
                  <w:b w:val="false"/>
                  <w:color w:val="0000FF"/>
                  <w:sz w:val="20"/>
                  <w:u w:val="single"/>
                </w:rPr>
                <w:t>Notes to Condensed Consolidated Financial Statements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31">
              <w:r>
                <w:rPr>
                  <w:rStyle w:val="InternetLink"/>
                  <w:rFonts w:ascii="Calibri;sans-serif" w:hAnsi="Calibri;sans-serif"/>
                  <w:b w:val="false"/>
                  <w:color w:val="0000FF"/>
                  <w:sz w:val="20"/>
                  <w:u w:val="single"/>
                </w:rPr>
                <w:t>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79">
              <w:r>
                <w:rPr>
                  <w:rStyle w:val="InternetLink"/>
                  <w:rFonts w:ascii="Calibri;sans-serif" w:hAnsi="Calibri;sans-serif"/>
                  <w:b w:val="false"/>
                  <w:color w:val="0000FF"/>
                  <w:sz w:val="20"/>
                  <w:u w:val="single"/>
                </w:rPr>
                <w:t>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79">
              <w:r>
                <w:rPr>
                  <w:rStyle w:val="InternetLink"/>
                  <w:rFonts w:ascii="Calibri;sans-serif" w:hAnsi="Calibri;sans-serif"/>
                  <w:b w:val="false"/>
                  <w:color w:val="0000FF"/>
                  <w:sz w:val="20"/>
                  <w:u w:val="single"/>
                </w:rPr>
                <w:t>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3.</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82">
              <w:r>
                <w:rPr>
                  <w:rStyle w:val="InternetLink"/>
                  <w:rFonts w:ascii="Calibri;sans-serif" w:hAnsi="Calibri;sans-serif"/>
                  <w:b w:val="false"/>
                  <w:color w:val="0000FF"/>
                  <w:sz w:val="20"/>
                  <w:u w:val="single"/>
                </w:rPr>
                <w:t>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82">
              <w:r>
                <w:rPr>
                  <w:rStyle w:val="InternetLink"/>
                  <w:rFonts w:ascii="Calibri;sans-serif" w:hAnsi="Calibri;sans-serif"/>
                  <w:b w:val="false"/>
                  <w:color w:val="0000FF"/>
                  <w:sz w:val="20"/>
                  <w:u w:val="single"/>
                </w:rPr>
                <w:t>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4.</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85">
              <w:r>
                <w:rPr>
                  <w:rStyle w:val="InternetLink"/>
                  <w:rFonts w:ascii="Calibri;sans-serif" w:hAnsi="Calibri;sans-serif"/>
                  <w:b w:val="false"/>
                  <w:color w:val="0000FF"/>
                  <w:sz w:val="20"/>
                  <w:u w:val="single"/>
                </w:rPr>
                <w:t>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85">
              <w:r>
                <w:rPr>
                  <w:rStyle w:val="InternetLink"/>
                  <w:rFonts w:ascii="Calibri;sans-serif" w:hAnsi="Calibri;sans-serif"/>
                  <w:b w:val="false"/>
                  <w:color w:val="0000FF"/>
                  <w:sz w:val="20"/>
                  <w:u w:val="single"/>
                </w:rPr>
                <w:t>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PART II.</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88">
              <w:r>
                <w:rPr>
                  <w:rStyle w:val="InternetLink"/>
                  <w:rFonts w:ascii="Calibri;sans-serif" w:hAnsi="Calibri;sans-serif"/>
                  <w:b/>
                  <w:color w:val="0000FF"/>
                  <w:sz w:val="20"/>
                  <w:u w:val="single"/>
                </w:rPr>
                <w:t>OTHER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91">
              <w:r>
                <w:rPr>
                  <w:rStyle w:val="InternetLink"/>
                  <w:rFonts w:ascii="Calibri;sans-serif" w:hAnsi="Calibri;sans-serif"/>
                  <w:b w:val="false"/>
                  <w:color w:val="0000FF"/>
                  <w:sz w:val="20"/>
                  <w:u w:val="single"/>
                </w:rPr>
                <w:t>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91">
              <w:r>
                <w:rPr>
                  <w:rStyle w:val="InternetLink"/>
                  <w:rFonts w:ascii="Calibri;sans-serif" w:hAnsi="Calibri;sans-serif"/>
                  <w:b w:val="false"/>
                  <w:color w:val="0000FF"/>
                  <w:sz w:val="20"/>
                  <w:u w:val="singl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1A.</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94">
              <w:r>
                <w:rPr>
                  <w:rStyle w:val="InternetLink"/>
                  <w:rFonts w:ascii="Calibri;sans-serif" w:hAnsi="Calibri;sans-serif"/>
                  <w:b w:val="false"/>
                  <w:color w:val="0000FF"/>
                  <w:sz w:val="20"/>
                  <w:u w:val="single"/>
                </w:rPr>
                <w:t>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94">
              <w:r>
                <w:rPr>
                  <w:rStyle w:val="InternetLink"/>
                  <w:rFonts w:ascii="Calibri;sans-serif" w:hAnsi="Calibri;sans-serif"/>
                  <w:b w:val="false"/>
                  <w:color w:val="0000FF"/>
                  <w:sz w:val="20"/>
                  <w:u w:val="singl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97">
              <w:r>
                <w:rPr>
                  <w:rStyle w:val="InternetLink"/>
                  <w:rFonts w:ascii="Calibri;sans-serif" w:hAnsi="Calibri;sans-serif"/>
                  <w:b w:val="false"/>
                  <w:color w:val="0000FF"/>
                  <w:sz w:val="20"/>
                  <w:u w:val="single"/>
                </w:rPr>
                <w:t>Unregistered Sales of Equity Securities and Use of Proceeds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97">
              <w:r>
                <w:rPr>
                  <w:rStyle w:val="InternetLink"/>
                  <w:rFonts w:ascii="Calibri;sans-serif" w:hAnsi="Calibri;sans-serif"/>
                  <w:b w:val="false"/>
                  <w:color w:val="0000FF"/>
                  <w:sz w:val="20"/>
                  <w:u w:val="singl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3.</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00">
              <w:r>
                <w:rPr>
                  <w:rStyle w:val="InternetLink"/>
                  <w:rFonts w:ascii="Calibri;sans-serif" w:hAnsi="Calibri;sans-serif"/>
                  <w:b w:val="false"/>
                  <w:color w:val="0000FF"/>
                  <w:sz w:val="20"/>
                  <w:u w:val="single"/>
                </w:rPr>
                <w:t>Defaults Upon Senior Securities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100">
              <w:r>
                <w:rPr>
                  <w:rStyle w:val="InternetLink"/>
                  <w:rFonts w:ascii="Calibri;sans-serif" w:hAnsi="Calibri;sans-serif"/>
                  <w:b w:val="false"/>
                  <w:color w:val="0000FF"/>
                  <w:sz w:val="20"/>
                  <w:u w:val="singl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4.</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03">
              <w:r>
                <w:rPr>
                  <w:rStyle w:val="InternetLink"/>
                  <w:rFonts w:ascii="Calibri;sans-serif" w:hAnsi="Calibri;sans-serif"/>
                  <w:b w:val="false"/>
                  <w:color w:val="0000FF"/>
                  <w:sz w:val="20"/>
                  <w:u w:val="single"/>
                </w:rPr>
                <w:t>Mine Safety Disclosures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103">
              <w:r>
                <w:rPr>
                  <w:rStyle w:val="InternetLink"/>
                  <w:rFonts w:ascii="Calibri;sans-serif" w:hAnsi="Calibri;sans-serif"/>
                  <w:b w:val="false"/>
                  <w:color w:val="0000FF"/>
                  <w:sz w:val="20"/>
                  <w:u w:val="singl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5.</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06">
              <w:r>
                <w:rPr>
                  <w:rStyle w:val="InternetLink"/>
                  <w:rFonts w:ascii="Calibri;sans-serif" w:hAnsi="Calibri;sans-serif"/>
                  <w:b w:val="false"/>
                  <w:color w:val="0000FF"/>
                  <w:sz w:val="20"/>
                  <w:u w:val="single"/>
                </w:rPr>
                <w:t>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106">
              <w:r>
                <w:rPr>
                  <w:rStyle w:val="InternetLink"/>
                  <w:rFonts w:ascii="Calibri;sans-serif" w:hAnsi="Calibri;sans-serif"/>
                  <w:b w:val="false"/>
                  <w:color w:val="0000FF"/>
                  <w:sz w:val="20"/>
                  <w:u w:val="singl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6.</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53032aef44b6c993bd9e92a6366a1_109">
              <w:r>
                <w:rPr>
                  <w:rStyle w:val="InternetLink"/>
                  <w:rFonts w:ascii="Calibri;sans-serif" w:hAnsi="Calibri;sans-serif"/>
                  <w:b w:val="false"/>
                  <w:color w:val="0000FF"/>
                  <w:sz w:val="20"/>
                  <w:u w:val="single"/>
                </w:rPr>
                <w:t>Exhibits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53032aef44b6c993bd9e92a6366a1_109">
              <w:r>
                <w:rPr>
                  <w:rStyle w:val="InternetLink"/>
                  <w:rFonts w:ascii="Calibri;sans-serif" w:hAnsi="Calibri;sans-serif"/>
                  <w:b w:val="false"/>
                  <w:color w:val="0000FF"/>
                  <w:sz w:val="20"/>
                  <w:u w:val="single"/>
                </w:rPr>
                <w:t>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54940"/>
                <wp:effectExtent l="0" t="0" r="0" b="0"/>
                <wp:wrapNone/>
                <wp:docPr id="2" name="Frame2"/>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850"/>
        <w:gridCol w:w="2273"/>
        <w:gridCol w:w="2299"/>
        <w:gridCol w:w="109"/>
        <w:gridCol w:w="109"/>
        <w:gridCol w:w="109"/>
        <w:gridCol w:w="196"/>
        <w:gridCol w:w="736"/>
        <w:gridCol w:w="109"/>
        <w:gridCol w:w="109"/>
        <w:gridCol w:w="109"/>
        <w:gridCol w:w="109"/>
        <w:gridCol w:w="196"/>
        <w:gridCol w:w="736"/>
        <w:gridCol w:w="156"/>
      </w:tblGrid>
      <w:tr>
        <w:trPr/>
        <w:tc>
          <w:tcPr>
            <w:tcW w:w="2850"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July 2,</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April 2,</w:t>
              <w:br/>
              <w:t>2023</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174,886 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172,688 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591,963 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101,731 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WITHDRAWAL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Common stock; authorized: 60,000,000 shares of $0.01 par value; 20,942,857 and 20,850,454 shares issued and outstanding as of July 2, 2023 and April 2,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591,963 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54940"/>
                <wp:effectExtent l="0" t="0" r="0" b="0"/>
                <wp:wrapNone/>
                <wp:docPr id="3" name="Frame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60"/>
        <w:jc w:val="left"/>
        <w:rPr>
          <w:rFonts w:ascii="Calibri;sans-serif" w:hAnsi="Calibri;sans-serif"/>
          <w:b/>
          <w:color w:val="000000"/>
          <w:sz w:val="20"/>
        </w:rPr>
      </w:pPr>
      <w:r>
        <w:rPr>
          <w:rFonts w:ascii="Calibri;sans-serif" w:hAnsi="Calibri;sans-serif"/>
          <w:b/>
          <w:color w:val="000000"/>
          <w:sz w:val="20"/>
        </w:rPr>
        <w:t>CONDENSED CONSOLIDATED STATEMENTS OF INCOME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and per-share data)</w:t>
      </w:r>
    </w:p>
    <w:p>
      <w:pPr>
        <w:pStyle w:val="TextBody"/>
        <w:bidi w:val="0"/>
        <w:spacing w:lineRule="auto" w:line="288" w:before="0" w:after="0"/>
        <w:jc w:val="left"/>
        <w:rPr>
          <w:color w:val="000000"/>
        </w:rPr>
      </w:pPr>
      <w:r>
        <w:rPr>
          <w:color w:val="000000"/>
        </w:rPr>
        <w:t> </w:t>
      </w:r>
    </w:p>
    <w:tbl>
      <w:tblPr>
        <w:tblW w:w="8195" w:type="dxa"/>
        <w:jc w:val="left"/>
        <w:tblInd w:w="0" w:type="dxa"/>
        <w:tblLayout w:type="fixed"/>
        <w:tblCellMar>
          <w:top w:w="28" w:type="dxa"/>
          <w:left w:w="28" w:type="dxa"/>
          <w:bottom w:w="28" w:type="dxa"/>
          <w:right w:w="28" w:type="dxa"/>
        </w:tblCellMar>
      </w:tblPr>
      <w:tblGrid>
        <w:gridCol w:w="2006"/>
        <w:gridCol w:w="1325"/>
        <w:gridCol w:w="1349"/>
        <w:gridCol w:w="109"/>
        <w:gridCol w:w="109"/>
        <w:gridCol w:w="109"/>
        <w:gridCol w:w="219"/>
        <w:gridCol w:w="862"/>
        <w:gridCol w:w="109"/>
        <w:gridCol w:w="109"/>
        <w:gridCol w:w="109"/>
        <w:gridCol w:w="109"/>
        <w:gridCol w:w="219"/>
        <w:gridCol w:w="862"/>
        <w:gridCol w:w="109"/>
        <w:gridCol w:w="109"/>
        <w:gridCol w:w="109"/>
        <w:gridCol w:w="109"/>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July 2,</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July 3,</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(199,129)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(199,794)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21,012,788 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21,033,549 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54940"/>
                <wp:effectExtent l="0" t="0" r="0" b="0"/>
                <wp:wrapNone/>
                <wp:docPr id="4" name="Frame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HAWKINS, INC. </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COMPREHENSIVE INCOME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6592" w:type="dxa"/>
        <w:jc w:val="left"/>
        <w:tblInd w:w="0" w:type="dxa"/>
        <w:tblLayout w:type="fixed"/>
        <w:tblCellMar>
          <w:top w:w="28" w:type="dxa"/>
          <w:left w:w="28" w:type="dxa"/>
          <w:bottom w:w="28" w:type="dxa"/>
          <w:right w:w="28" w:type="dxa"/>
        </w:tblCellMar>
      </w:tblPr>
      <w:tblGrid>
        <w:gridCol w:w="1219"/>
        <w:gridCol w:w="1073"/>
        <w:gridCol w:w="1083"/>
        <w:gridCol w:w="109"/>
        <w:gridCol w:w="109"/>
        <w:gridCol w:w="109"/>
        <w:gridCol w:w="211"/>
        <w:gridCol w:w="721"/>
        <w:gridCol w:w="109"/>
        <w:gridCol w:w="109"/>
        <w:gridCol w:w="109"/>
        <w:gridCol w:w="109"/>
        <w:gridCol w:w="211"/>
        <w:gridCol w:w="721"/>
        <w:gridCol w:w="109"/>
        <w:gridCol w:w="109"/>
        <w:gridCol w:w="109"/>
        <w:gridCol w:w="109"/>
        <w:gridCol w:w="154"/>
      </w:tblGrid>
      <w:tr>
        <w:trPr/>
        <w:tc>
          <w:tcPr>
            <w:tcW w:w="12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July 2,</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July 3,</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comprehensive income,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Unrealized gain on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4940"/>
                <wp:effectExtent l="0" t="0" r="0" b="0"/>
                <wp:wrapNone/>
                <wp:docPr id="5" name="Frame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SHAREHOLDERS’ EQUITY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828"/>
        <w:gridCol w:w="420"/>
        <w:gridCol w:w="422"/>
        <w:gridCol w:w="109"/>
        <w:gridCol w:w="109"/>
        <w:gridCol w:w="109"/>
        <w:gridCol w:w="480"/>
        <w:gridCol w:w="481"/>
        <w:gridCol w:w="186"/>
        <w:gridCol w:w="109"/>
        <w:gridCol w:w="109"/>
        <w:gridCol w:w="109"/>
        <w:gridCol w:w="196"/>
        <w:gridCol w:w="421"/>
        <w:gridCol w:w="109"/>
        <w:gridCol w:w="109"/>
        <w:gridCol w:w="109"/>
        <w:gridCol w:w="109"/>
        <w:gridCol w:w="196"/>
        <w:gridCol w:w="646"/>
        <w:gridCol w:w="109"/>
        <w:gridCol w:w="109"/>
        <w:gridCol w:w="109"/>
        <w:gridCol w:w="109"/>
        <w:gridCol w:w="196"/>
        <w:gridCol w:w="736"/>
        <w:gridCol w:w="109"/>
        <w:gridCol w:w="109"/>
        <w:gridCol w:w="109"/>
        <w:gridCol w:w="109"/>
        <w:gridCol w:w="362"/>
        <w:gridCol w:w="1029"/>
        <w:gridCol w:w="203"/>
        <w:gridCol w:w="109"/>
        <w:gridCol w:w="109"/>
        <w:gridCol w:w="109"/>
        <w:gridCol w:w="200"/>
        <w:gridCol w:w="752"/>
        <w:gridCol w:w="162"/>
      </w:tblGrid>
      <w:tr>
        <w:trPr/>
        <w:tc>
          <w:tcPr>
            <w:tcW w:w="82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br/>
              <w:t>Shareholders’</w:t>
              <w:br/>
              <w:t>Equity</w:t>
            </w:r>
          </w:p>
        </w:tc>
      </w:tr>
      <w:tr>
        <w:trPr/>
        <w:tc>
          <w:tcPr>
            <w:tcW w:w="16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1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April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20,850,454 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105,600 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(48,478)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35,281 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July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20,942,857 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371,001 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br/>
              <w:t>Shareholders’</w:t>
              <w:br/>
              <w:t>Equity</w:t>
            </w:r>
          </w:p>
        </w:tc>
      </w:tr>
      <w:tr>
        <w:trPr/>
        <w:tc>
          <w:tcPr>
            <w:tcW w:w="16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4"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14"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April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20,889,777 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302,601 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102,860 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(36,410)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32,768 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(181,657)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July 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20,807,338 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271,121 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1,756 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313,277 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4940"/>
                <wp:effectExtent l="0" t="0" r="0" b="0"/>
                <wp:wrapNone/>
                <wp:docPr id="6" name="Frame6"/>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CASH FLOWS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7880" w:type="dxa"/>
        <w:jc w:val="left"/>
        <w:tblInd w:w="0" w:type="dxa"/>
        <w:tblLayout w:type="fixed"/>
        <w:tblCellMar>
          <w:top w:w="28" w:type="dxa"/>
          <w:left w:w="28" w:type="dxa"/>
          <w:bottom w:w="28" w:type="dxa"/>
          <w:right w:w="28" w:type="dxa"/>
        </w:tblCellMar>
      </w:tblPr>
      <w:tblGrid>
        <w:gridCol w:w="1910"/>
        <w:gridCol w:w="1680"/>
        <w:gridCol w:w="1689"/>
        <w:gridCol w:w="109"/>
        <w:gridCol w:w="109"/>
        <w:gridCol w:w="109"/>
        <w:gridCol w:w="196"/>
        <w:gridCol w:w="646"/>
        <w:gridCol w:w="109"/>
        <w:gridCol w:w="109"/>
        <w:gridCol w:w="109"/>
        <w:gridCol w:w="109"/>
        <w:gridCol w:w="196"/>
        <w:gridCol w:w="64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Three Months Ended</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July 2,</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July 3,</w:t>
              <w:br/>
              <w:t>2022</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 loss on 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operating accounts providing (using)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(11,527)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dividends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Payroll taxes paid in exchange for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on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revolving loan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4940"/>
                <wp:effectExtent l="0" t="0" r="0" b="0"/>
                <wp:wrapNone/>
                <wp:docPr id="7" name="Frame7"/>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 – 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i/>
          <w:color w:val="000000"/>
          <w:sz w:val="20"/>
        </w:rPr>
        <w:t>Basis of Presentation.</w:t>
      </w:r>
      <w:r>
        <w:rPr>
          <w:color w:val="000000"/>
        </w:rPr>
        <w:t xml:space="preserve"> </w:t>
      </w:r>
      <w:r>
        <w:rPr>
          <w:rFonts w:ascii="Calibri;sans-serif" w:hAnsi="Calibri;sans-serif"/>
          <w:b w:val="false"/>
          <w:color w:val="000000"/>
          <w:sz w:val="20"/>
        </w:rPr>
        <w:t xml:space="preserve">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three months ended July 2, 2023 are not necessarily indicative of the results that may be expected for the full year.</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References to fiscal 2023 refer to the fiscal year ended April 2, 2023 and references to fiscal 2024 refer to the fiscal year ending March 31, 2024. </w:t>
      </w:r>
    </w:p>
    <w:p>
      <w:pPr>
        <w:pStyle w:val="TextBody"/>
        <w:bidi w:val="0"/>
        <w:spacing w:lineRule="auto" w:line="288" w:before="120" w:after="283"/>
        <w:jc w:val="left"/>
        <w:rPr/>
      </w:pPr>
      <w:r>
        <w:rPr>
          <w:rFonts w:ascii="Calibri;sans-serif" w:hAnsi="Calibri;sans-serif"/>
          <w:b/>
          <w:i/>
          <w:color w:val="000000"/>
          <w:sz w:val="20"/>
        </w:rPr>
        <w:t>Use of Estimates.</w:t>
      </w:r>
      <w:r>
        <w:rPr>
          <w:color w:val="000000"/>
        </w:rPr>
        <w:t xml:space="preserve"> </w:t>
      </w:r>
      <w:r>
        <w:rPr>
          <w:rFonts w:ascii="Calibri;sans-serif" w:hAnsi="Calibri;sans-serif"/>
          <w:b w:val="false"/>
          <w:color w:val="000000"/>
          <w:sz w:val="20"/>
        </w:rPr>
        <w:t>The preparation of condensed consolidated financial statements in conformity with accounting principles generally 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pStyle w:val="TextBody"/>
        <w:bidi w:val="0"/>
        <w:spacing w:lineRule="auto" w:line="288" w:before="120" w:after="283"/>
        <w:jc w:val="left"/>
        <w:rPr/>
      </w:pPr>
      <w:r>
        <w:rPr>
          <w:rFonts w:ascii="Calibri;sans-serif" w:hAnsi="Calibri;sans-serif"/>
          <w:b/>
          <w:i/>
          <w:color w:val="000000"/>
          <w:sz w:val="20"/>
        </w:rPr>
        <w:t>Accounting Policies.</w:t>
      </w:r>
      <w:r>
        <w:rPr>
          <w:color w:val="000000"/>
        </w:rPr>
        <w:t xml:space="preserve"> </w:t>
      </w:r>
      <w:r>
        <w:rPr>
          <w:rFonts w:ascii="Calibri;sans-serif" w:hAnsi="Calibri;sans-serif"/>
          <w:b w:val="false"/>
          <w:color w:val="000000"/>
          <w:sz w:val="20"/>
        </w:rPr>
        <w:t xml:space="preserve">The accounting policies we follow are set forth in Note 1 – Nature of Business and Significant Accounting Policies to our consolidated financial statements in our </w:t>
      </w:r>
      <w:hyperlink r:id="rId3">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previously filed with the SEC. There has been no significant change in our accounting policies since the end of fiscal 2023.</w:t>
      </w:r>
    </w:p>
    <w:p>
      <w:pPr>
        <w:pStyle w:val="TextBody"/>
        <w:bidi w:val="0"/>
        <w:spacing w:lineRule="auto" w:line="288" w:before="0" w:after="0"/>
        <w:jc w:val="left"/>
        <w:rPr>
          <w:color w:val="1F497D"/>
        </w:rPr>
      </w:pPr>
      <w:r>
        <w:rPr>
          <w:color w:val="1F497D"/>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left"/>
        <w:rPr>
          <w:rFonts w:ascii="Calibri;sans-serif" w:hAnsi="Calibri;sans-serif"/>
          <w:b/>
          <w:color w:val="000000"/>
          <w:sz w:val="20"/>
        </w:rPr>
      </w:pPr>
      <w:r>
        <w:rPr>
          <w:rFonts w:ascii="Calibri;sans-serif" w:hAnsi="Calibri;sans-serif"/>
          <w:b/>
          <w:color w:val="000000"/>
          <w:sz w:val="20"/>
        </w:rPr>
        <w:t>Note 2 — Asset Sales</w:t>
      </w:r>
    </w:p>
    <w:p>
      <w:pPr>
        <w:pStyle w:val="TextBody"/>
        <w:bidi w:val="0"/>
        <w:spacing w:lineRule="auto" w:line="288" w:before="120" w:after="283"/>
        <w:jc w:val="both"/>
        <w:rPr/>
      </w:pPr>
      <w:r>
        <w:rPr>
          <w:rFonts w:ascii="Calibri;sans-serif" w:hAnsi="Calibri;sans-serif"/>
          <w:b/>
          <w:i/>
          <w:color w:val="000000"/>
          <w:sz w:val="20"/>
        </w:rPr>
        <w:t>Sale of bleach packaging assets:</w:t>
      </w:r>
      <w:r>
        <w:rPr>
          <w:color w:val="000000"/>
        </w:rPr>
        <w:t xml:space="preserve"> </w:t>
      </w:r>
      <w:r>
        <w:rPr>
          <w:rFonts w:ascii="Calibri;sans-serif" w:hAnsi="Calibri;sans-serif"/>
          <w:b w:val="false"/>
          <w:color w:val="000000"/>
          <w:sz w:val="20"/>
        </w:rPr>
        <w:t>In the fourth quarter of fiscal 2023, we sold certain assets in our Industrial segment related to our consumer bleach packaging business for $7 million. These assets were not core to our Industrial segment operations, where we tend to focus our manufacturing operations on bulk products. The assets sold included plant equipment, inventory and intangible assets, all related to the packaging of bleach. We realized a gain of $3 million on this sale, which has been recorded within selling, general and administrative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4940"/>
                <wp:effectExtent l="0" t="0" r="0" b="0"/>
                <wp:wrapNone/>
                <wp:docPr id="8" name="Frame8"/>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3 - Revenue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The following tables disaggregate external customer net sales by major revenue stream for the three months ended July 2, 2023 and July 3, 2022:</w:t>
      </w:r>
    </w:p>
    <w:tbl>
      <w:tblPr>
        <w:tblW w:w="9524" w:type="dxa"/>
        <w:jc w:val="left"/>
        <w:tblInd w:w="0" w:type="dxa"/>
        <w:tblLayout w:type="fixed"/>
        <w:tblCellMar>
          <w:top w:w="28" w:type="dxa"/>
          <w:left w:w="28" w:type="dxa"/>
          <w:bottom w:w="28" w:type="dxa"/>
          <w:right w:w="28" w:type="dxa"/>
        </w:tblCellMar>
      </w:tblPr>
      <w:tblGrid>
        <w:gridCol w:w="1492"/>
        <w:gridCol w:w="1313"/>
        <w:gridCol w:w="131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 July 2, 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197,701 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 July 3, 2022</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54" w:type="dxa"/>
            <w:gridSpan w:val="18"/>
            <w:tcBorders/>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54" w:type="dxa"/>
            <w:gridSpan w:val="18"/>
            <w:tcBorders/>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Calibri;sans-serif" w:hAnsi="Calibri;sans-serif"/>
          <w:b w:val="false"/>
          <w:color w:val="000000"/>
          <w:sz w:val="18"/>
        </w:rPr>
      </w:pPr>
      <w:r>
        <w:rPr>
          <w:rFonts w:ascii="Calibri;sans-serif" w:hAnsi="Calibri;sans-serif"/>
          <w:b w:val="false"/>
          <w:color w:val="000000"/>
          <w:sz w:val="18"/>
        </w:rPr>
        <w:t>(1)For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pStyle w:val="TextBody"/>
        <w:bidi w:val="0"/>
        <w:spacing w:lineRule="auto" w:line="288"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(2)This line includes non-manufactured distributed specialty products in our Health and Nutrition segment, which may be sold out of one of our facilities or direct shipped to our customers.</w:t>
      </w:r>
    </w:p>
    <w:p>
      <w:pPr>
        <w:pStyle w:val="TextBody"/>
        <w:bidi w:val="0"/>
        <w:spacing w:lineRule="auto" w:line="288"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(3)This line includes bulk products in our Industrial and Water Treatment segments that we do not modify in any way, but receive, store, and ship from our facilities, or direct ship to our customers in large quantities.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4 – Earnings per Share</w:t>
      </w:r>
    </w:p>
    <w:p>
      <w:pPr>
        <w:pStyle w:val="TextBody"/>
        <w:bidi w:val="0"/>
        <w:spacing w:before="0" w:after="0"/>
        <w:jc w:val="left"/>
        <w:rPr/>
      </w:pPr>
      <w:r>
        <w:rPr/>
      </w:r>
    </w:p>
    <w:p>
      <w:pPr>
        <w:pStyle w:val="TextBody"/>
        <w:bidi w:val="0"/>
        <w:spacing w:lineRule="auto" w:line="288" w:before="0" w:after="120"/>
        <w:jc w:val="left"/>
        <w:rPr>
          <w:rFonts w:ascii="Calibri;sans-serif" w:hAnsi="Calibri;sans-serif"/>
          <w:b w:val="false"/>
          <w:color w:val="000000"/>
          <w:sz w:val="20"/>
        </w:rPr>
      </w:pPr>
      <w:r>
        <w:rPr>
          <w:rFonts w:ascii="Calibri;sans-serif" w:hAnsi="Calibri;sans-serif"/>
          <w:b w:val="false"/>
          <w:color w:val="000000"/>
          <w:sz w:val="20"/>
        </w:rPr>
        <w:t xml:space="preserve">Basic earnings per share (“EPS”) is computed by dividing net earnings by the weighted-average number of common shares outstanding. Diluted EPS includes the dilutive impact of incremental shares assumed to be issued as performance units and restricted stock. </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Basic and diluted EPS were calculated using the following:</w:t>
      </w:r>
    </w:p>
    <w:tbl>
      <w:tblPr>
        <w:tblW w:w="8942" w:type="dxa"/>
        <w:jc w:val="left"/>
        <w:tblInd w:w="0" w:type="dxa"/>
        <w:tblLayout w:type="fixed"/>
        <w:tblCellMar>
          <w:top w:w="28" w:type="dxa"/>
          <w:left w:w="28" w:type="dxa"/>
          <w:bottom w:w="28" w:type="dxa"/>
          <w:right w:w="28" w:type="dxa"/>
        </w:tblCellMar>
      </w:tblPr>
      <w:tblGrid>
        <w:gridCol w:w="1661"/>
        <w:gridCol w:w="1461"/>
        <w:gridCol w:w="1467"/>
        <w:gridCol w:w="109"/>
        <w:gridCol w:w="109"/>
        <w:gridCol w:w="109"/>
        <w:gridCol w:w="684"/>
        <w:gridCol w:w="397"/>
        <w:gridCol w:w="390"/>
        <w:gridCol w:w="201"/>
        <w:gridCol w:w="201"/>
        <w:gridCol w:w="201"/>
        <w:gridCol w:w="684"/>
        <w:gridCol w:w="397"/>
        <w:gridCol w:w="390"/>
        <w:gridCol w:w="109"/>
        <w:gridCol w:w="109"/>
        <w:gridCol w:w="109"/>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02, 2023</w:t>
            </w:r>
          </w:p>
        </w:tc>
        <w:tc>
          <w:tcPr>
            <w:tcW w:w="60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03,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Weighted-average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20,907,724 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20,908,823 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Dilutive impact of performance units and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105,064 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124,726 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21,012,788 </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21,033,549 </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each of the periods presented, there were no shares excluded from the calculation of weighted-average common shares for diluted EPS.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4940"/>
                <wp:effectExtent l="0" t="0" r="0" b="0"/>
                <wp:wrapNone/>
                <wp:docPr id="9" name="Frame9"/>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5 – Fair Value Measurements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pStyle w:val="TextBody"/>
        <w:bidi w:val="0"/>
        <w:spacing w:before="120" w:after="283"/>
        <w:jc w:val="left"/>
        <w:rPr/>
      </w:pPr>
      <w:r>
        <w:rPr/>
      </w:r>
    </w:p>
    <w:p>
      <w:pPr>
        <w:pStyle w:val="TextBody"/>
        <w:bidi w:val="0"/>
        <w:spacing w:lineRule="auto" w:line="288" w:before="0" w:after="0"/>
        <w:jc w:val="left"/>
        <w:rPr/>
      </w:pPr>
      <w:r>
        <w:rPr>
          <w:rFonts w:ascii="Calibri;sans-serif" w:hAnsi="Calibri;sans-serif"/>
          <w:b/>
          <w:i/>
          <w:color w:val="000000"/>
          <w:sz w:val="20"/>
        </w:rPr>
        <w:t>Assets and Liabilities Measured at Fair Value on a Recurring Basis.</w:t>
      </w:r>
      <w:r>
        <w:rPr>
          <w:color w:val="000000"/>
        </w:rPr>
        <w:t>  </w:t>
      </w:r>
      <w:r>
        <w:rPr>
          <w:rFonts w:ascii="Calibri;sans-serif" w:hAnsi="Calibri;sans-serif"/>
          <w:b w:val="false"/>
          <w:color w:val="000000"/>
          <w:sz w:val="20"/>
        </w:rPr>
        <w:t xml:space="preserve">The fair value hierarchy requires the use of observable market data 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w:t>
      </w:r>
    </w:p>
    <w:p>
      <w:pPr>
        <w:pStyle w:val="TextBody"/>
        <w:bidi w:val="0"/>
        <w:spacing w:lineRule="auto" w:line="288" w:before="0" w:after="0"/>
        <w:jc w:val="left"/>
        <w:rPr>
          <w:color w:val="000000"/>
        </w:rPr>
      </w:pPr>
      <w:r>
        <w:rPr>
          <w:color w:val="000000"/>
        </w:rPr>
        <w:t> </w:t>
      </w:r>
    </w:p>
    <w:p>
      <w:pPr>
        <w:pStyle w:val="TextBody"/>
        <w:bidi w:val="0"/>
        <w:spacing w:lineRule="auto" w:line="268" w:before="120" w:after="283"/>
        <w:jc w:val="left"/>
        <w:rPr>
          <w:rFonts w:ascii="Calibri;sans-serif" w:hAnsi="Calibri;sans-serif"/>
          <w:b w:val="false"/>
          <w:color w:val="000000"/>
          <w:sz w:val="20"/>
        </w:rPr>
      </w:pPr>
      <w:r>
        <w:rPr>
          <w:rFonts w:ascii="Calibri;sans-serif" w:hAnsi="Calibri;sans-serif"/>
          <w:b w:val="false"/>
          <w:color w:val="000000"/>
          <w:sz w:val="20"/>
        </w:rPr>
        <w:t>Our financial assets that are measured at fair value on a recurring basis are an interest rate swap and assets held in a deferred compensation retirement plan. Both of these assets are classified as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pStyle w:val="TextBody"/>
        <w:bidi w:val="0"/>
        <w:spacing w:lineRule="auto" w:line="288" w:before="120" w:after="120"/>
        <w:jc w:val="left"/>
        <w:rPr>
          <w:rFonts w:ascii="Calibri;sans-serif" w:hAnsi="Calibri;sans-serif"/>
          <w:b w:val="false"/>
          <w:color w:val="000000"/>
          <w:sz w:val="20"/>
        </w:rPr>
      </w:pPr>
      <w:r>
        <w:rPr>
          <w:rFonts w:ascii="Calibri;sans-serif" w:hAnsi="Calibri;sans-serif"/>
          <w:b w:val="false"/>
          <w:color w:val="000000"/>
          <w:sz w:val="20"/>
        </w:rPr>
        <w:t xml:space="preserve">The following tables summarize the balances of assets and liabilities measured at fair value on a recurring basis as of July 2, 2023 and April 2,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Calibri;sans-serif" w:hAnsi="Calibri;sans-serif"/>
          <w:b w:val="false"/>
          <w:color w:val="000000"/>
          <w:sz w:val="2"/>
        </w:rPr>
        <w:t>0</w:t>
      </w:r>
    </w:p>
    <w:tbl>
      <w:tblPr>
        <w:tblW w:w="6814" w:type="dxa"/>
        <w:jc w:val="left"/>
        <w:tblInd w:w="0" w:type="dxa"/>
        <w:tblLayout w:type="fixed"/>
        <w:tblCellMar>
          <w:top w:w="28" w:type="dxa"/>
          <w:left w:w="28" w:type="dxa"/>
          <w:bottom w:w="28" w:type="dxa"/>
          <w:right w:w="28" w:type="dxa"/>
        </w:tblCellMar>
      </w:tblPr>
      <w:tblGrid>
        <w:gridCol w:w="1057"/>
        <w:gridCol w:w="929"/>
        <w:gridCol w:w="938"/>
        <w:gridCol w:w="109"/>
        <w:gridCol w:w="109"/>
        <w:gridCol w:w="109"/>
        <w:gridCol w:w="214"/>
        <w:gridCol w:w="214"/>
        <w:gridCol w:w="216"/>
        <w:gridCol w:w="109"/>
        <w:gridCol w:w="109"/>
        <w:gridCol w:w="109"/>
        <w:gridCol w:w="240"/>
        <w:gridCol w:w="701"/>
        <w:gridCol w:w="124"/>
        <w:gridCol w:w="109"/>
        <w:gridCol w:w="109"/>
        <w:gridCol w:w="109"/>
        <w:gridCol w:w="258"/>
        <w:gridCol w:w="754"/>
        <w:gridCol w:w="188"/>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Deferred compensation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6 – Inventories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Inventories at July 2, 2023 and April 2, 2023 consisted of the following:</w:t>
      </w:r>
    </w:p>
    <w:tbl>
      <w:tblPr>
        <w:tblW w:w="4835"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211"/>
        <w:gridCol w:w="826"/>
        <w:gridCol w:w="109"/>
        <w:gridCol w:w="109"/>
        <w:gridCol w:w="109"/>
        <w:gridCol w:w="109"/>
        <w:gridCol w:w="211"/>
        <w:gridCol w:w="82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2,</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w:t>
              <w:br/>
              <w:t>2023</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Inventory (FIFO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LIFO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(39,563)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first in, first out (“FIFO”) value of inventories accounted for under the last in, first out (“LIFO”) method was $90.8 million at July 2, 2023 and $101.4 million at April 2, 2023. The remainder of the inventory was valued and accounted for under the FIFO method.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7 – Goodwill and Intangible Assets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carrying amount of goodwill was $77.4 million as of July 2, 2023 and April 2, 2023, of which $44.9 million was related to our Health and Nutrition segment, $26.0 million was related to our Water Treatment segment, and $6.5 million was related to our Industrial segment.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 summary of our intangible assets as of July 2, 2023 and April 2, 2023 is as follows:</w:t>
      </w:r>
    </w:p>
    <w:tbl>
      <w:tblPr>
        <w:tblW w:w="10205" w:type="dxa"/>
        <w:jc w:val="left"/>
        <w:tblInd w:w="0" w:type="dxa"/>
        <w:tblLayout w:type="fixed"/>
        <w:tblCellMar>
          <w:top w:w="28" w:type="dxa"/>
          <w:left w:w="28" w:type="dxa"/>
          <w:bottom w:w="28" w:type="dxa"/>
          <w:right w:w="28" w:type="dxa"/>
        </w:tblCellMar>
      </w:tblPr>
      <w:tblGrid>
        <w:gridCol w:w="747"/>
        <w:gridCol w:w="460"/>
        <w:gridCol w:w="461"/>
        <w:gridCol w:w="109"/>
        <w:gridCol w:w="109"/>
        <w:gridCol w:w="109"/>
        <w:gridCol w:w="211"/>
        <w:gridCol w:w="826"/>
        <w:gridCol w:w="109"/>
        <w:gridCol w:w="109"/>
        <w:gridCol w:w="109"/>
        <w:gridCol w:w="109"/>
        <w:gridCol w:w="211"/>
        <w:gridCol w:w="757"/>
        <w:gridCol w:w="109"/>
        <w:gridCol w:w="109"/>
        <w:gridCol w:w="109"/>
        <w:gridCol w:w="109"/>
        <w:gridCol w:w="211"/>
        <w:gridCol w:w="721"/>
        <w:gridCol w:w="109"/>
        <w:gridCol w:w="109"/>
        <w:gridCol w:w="109"/>
        <w:gridCol w:w="109"/>
        <w:gridCol w:w="211"/>
        <w:gridCol w:w="826"/>
        <w:gridCol w:w="109"/>
        <w:gridCol w:w="109"/>
        <w:gridCol w:w="109"/>
        <w:gridCol w:w="109"/>
        <w:gridCol w:w="211"/>
        <w:gridCol w:w="757"/>
        <w:gridCol w:w="109"/>
        <w:gridCol w:w="109"/>
        <w:gridCol w:w="109"/>
        <w:gridCol w:w="109"/>
        <w:gridCol w:w="211"/>
        <w:gridCol w:w="721"/>
        <w:gridCol w:w="156"/>
      </w:tblGrid>
      <w:tr>
        <w:trPr/>
        <w:tc>
          <w:tcPr>
            <w:tcW w:w="74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July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2, 2023</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Gross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Net</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71,833 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Indefinite-life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(43,644)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73,060 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4940"/>
                <wp:effectExtent l="0" t="0" r="0" b="0"/>
                <wp:wrapNone/>
                <wp:docPr id="10" name="Frame10"/>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8 – Debt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Debt at July 2, 2023 and April 2, 2023 consisted of the following:</w:t>
      </w:r>
    </w:p>
    <w:tbl>
      <w:tblPr>
        <w:tblW w:w="6298" w:type="dxa"/>
        <w:jc w:val="left"/>
        <w:tblInd w:w="0" w:type="dxa"/>
        <w:tblLayout w:type="fixed"/>
        <w:tblCellMar>
          <w:top w:w="28" w:type="dxa"/>
          <w:left w:w="28" w:type="dxa"/>
          <w:bottom w:w="28" w:type="dxa"/>
          <w:right w:w="28" w:type="dxa"/>
        </w:tblCellMar>
      </w:tblPr>
      <w:tblGrid>
        <w:gridCol w:w="1156"/>
        <w:gridCol w:w="1017"/>
        <w:gridCol w:w="1021"/>
        <w:gridCol w:w="109"/>
        <w:gridCol w:w="109"/>
        <w:gridCol w:w="109"/>
        <w:gridCol w:w="211"/>
        <w:gridCol w:w="721"/>
        <w:gridCol w:w="109"/>
        <w:gridCol w:w="109"/>
        <w:gridCol w:w="109"/>
        <w:gridCol w:w="109"/>
        <w:gridCol w:w="211"/>
        <w:gridCol w:w="826"/>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2,</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88,266 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were in compliance with all covenants of our credit agreement as of July 2,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9 – Income Taxes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are subject to U.S. federal income tax as well as income tax of multiple state jurisdictions. The tax years prior to our fiscal year ended March 29, 2020 are closed to examination by the Internal Revenue Service, and with few exceptions, state and local income tax jurisdictions. Our effective income tax rate was 26% for the three months ended July 2, 2023, compared to 25% for the three months ended July 3, 2022. The effective tax rate is impacted by projected levels of annual taxable income, permanent items, and state taxes.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10 – Share-Based Compensation </w:t>
      </w:r>
    </w:p>
    <w:p>
      <w:pPr>
        <w:pStyle w:val="TextBody"/>
        <w:bidi w:val="0"/>
        <w:spacing w:lineRule="auto" w:line="288" w:before="120" w:after="283"/>
        <w:jc w:val="left"/>
        <w:rPr/>
      </w:pPr>
      <w:r>
        <w:rPr>
          <w:rFonts w:ascii="Calibri;sans-serif" w:hAnsi="Calibri;sans-serif"/>
          <w:b/>
          <w:i/>
          <w:color w:val="000000"/>
          <w:sz w:val="20"/>
        </w:rPr>
        <w:t>Performance-Based Restricted Stock Units</w:t>
      </w:r>
      <w:r>
        <w:rPr>
          <w:rFonts w:ascii="Calibri;sans-serif" w:hAnsi="Calibri;sans-serif"/>
          <w:b w:val="false"/>
          <w:i/>
          <w:color w:val="000000"/>
          <w:sz w:val="20"/>
        </w:rPr>
        <w:t>.</w:t>
      </w:r>
      <w:r>
        <w:rPr>
          <w:color w:val="000000"/>
        </w:rPr>
        <w:t xml:space="preserve"> </w:t>
      </w:r>
      <w:r>
        <w:rPr>
          <w:rFonts w:ascii="Calibri;sans-serif" w:hAnsi="Calibri;sans-serif"/>
          <w:b w:val="false"/>
          <w:color w:val="000000"/>
          <w:sz w:val="20"/>
        </w:rPr>
        <w:t xml:space="preserve">Our Board of Directors (the “Board”) approved a performance-based equity compensation arrangement for our executive officers during the first quarters of each of fiscal 2024 and fiscal 2023.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70,859 shares in the aggregate for fiscal 2024.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The following table represents the restricted stock activity for the three months ended July 2, 2023: </w:t>
      </w:r>
    </w:p>
    <w:tbl>
      <w:tblPr>
        <w:tblW w:w="5715"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449"/>
        <w:gridCol w:w="451"/>
        <w:gridCol w:w="201"/>
        <w:gridCol w:w="109"/>
        <w:gridCol w:w="109"/>
        <w:gridCol w:w="109"/>
        <w:gridCol w:w="280"/>
        <w:gridCol w:w="820"/>
        <w:gridCol w:w="206"/>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Weighted-</w:t>
              <w:br/>
              <w:t>Average Grant</w:t>
              <w:br/>
              <w:t>Date 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189,258 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(105,600)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145,477 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40.33 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recorded compensation expense related to performance share units and restricted stock of $0.7 million for the three months ended July 2, 2023 and $0.4 million for the three months ended July 3, 2022. Substantially all of the compensation expense was recorded in selling, general and administrative expenses in the condensed consolidated statements of income.</w:t>
      </w:r>
    </w:p>
    <w:p>
      <w:pPr>
        <w:pStyle w:val="TextBody"/>
        <w:bidi w:val="0"/>
        <w:spacing w:lineRule="auto" w:line="276" w:before="120" w:after="283"/>
        <w:jc w:val="left"/>
        <w:rPr/>
      </w:pPr>
      <w:r>
        <w:rPr>
          <w:rFonts w:ascii="Calibri;sans-serif" w:hAnsi="Calibri;sans-serif"/>
          <w:b/>
          <w:i/>
          <w:color w:val="000000"/>
          <w:sz w:val="20"/>
        </w:rPr>
        <w:t>Restricted Stock Awards</w:t>
      </w:r>
      <w:r>
        <w:rPr>
          <w:rFonts w:ascii="Calibri;sans-serif" w:hAnsi="Calibri;sans-serif"/>
          <w:b w:val="false"/>
          <w:i/>
          <w:color w:val="000000"/>
          <w:sz w:val="20"/>
        </w:rPr>
        <w:t>.</w:t>
      </w:r>
      <w:r>
        <w:rPr>
          <w:color w:val="000000"/>
        </w:rPr>
        <w:t xml:space="preserve"> </w:t>
      </w:r>
      <w:r>
        <w:rPr>
          <w:rFonts w:ascii="Calibri;sans-serif" w:hAnsi="Calibri;sans-serif"/>
          <w:b w:val="false"/>
          <w:color w:val="000000"/>
          <w:sz w:val="20"/>
        </w:rPr>
        <w:t xml:space="preserve">As part of their retainer, our non-employee directors receive restricted stock for their Board services. The restricted stock awards are generally expensed over a one-year vesting period, based on the market value on the date of grant. As of July 2, 2023, there were 12,565 shares of restricted stock with an average grant date fair value of $38.98 outstanding under this program. Compensation expense for both the three months ended July 2, 2023 and July 3, 2022 related to restricted stock awards to the Board was $0.1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11 – Share Repurchase Program </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Our Board had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July 2, 2023, no shares were repurchased, and during the three months ended July 3, 2022, we repurchased 181,657 shares at an aggregate purchase price of $6.6 million. As of July 2, 2023, 1,129,348 shares remained available to be repurchased under the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4940"/>
                <wp:effectExtent l="0" t="0" r="0" b="0"/>
                <wp:wrapNone/>
                <wp:docPr id="11" name="Frame11"/>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12 – Segment Information</w:t>
      </w:r>
    </w:p>
    <w:p>
      <w:pPr>
        <w:pStyle w:val="TextBody"/>
        <w:bidi w:val="0"/>
        <w:spacing w:lineRule="auto" w:line="288" w:before="120" w:after="283"/>
        <w:jc w:val="left"/>
        <w:rPr/>
      </w:pPr>
      <w:r>
        <w:rPr>
          <w:rFonts w:ascii="Calibri;sans-serif" w:hAnsi="Calibri;sans-serif"/>
          <w:b w:val="false"/>
          <w:color w:val="000000"/>
          <w:sz w:val="20"/>
        </w:rPr>
        <w:t xml:space="preserve">We have three reportable segments: Industrial, Water Treatment, and Health and Nutrition. The accounting policies of the segments are the same as those described in the summary of significant accounting policies in our </w:t>
      </w:r>
      <w:hyperlink r:id="rId4">
        <w:r>
          <w:rPr>
            <w:rStyle w:val="InternetLink"/>
            <w:rFonts w:ascii="Calibri;sans-serif" w:hAnsi="Calibri;sans-serif"/>
            <w:b w:val="false"/>
            <w:color w:val="0000FF"/>
            <w:sz w:val="20"/>
            <w:u w:val="single"/>
          </w:rPr>
          <w:t>Annual Report on Form 10-K for the fiscal year ended April 3, 2022</w:t>
        </w:r>
      </w:hyperlink>
      <w:r>
        <w:rPr>
          <w:rFonts w:ascii="Calibri;sans-serif" w:hAnsi="Calibri;sans-serif"/>
          <w:b w:val="false"/>
          <w:color w:val="000000"/>
          <w:sz w:val="20"/>
        </w:rPr>
        <w:t xml:space="preserve">.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pStyle w:val="TextBody"/>
        <w:bidi w:val="0"/>
        <w:spacing w:lineRule="auto" w:line="288" w:before="0" w:after="0"/>
        <w:jc w:val="left"/>
        <w:rPr>
          <w:color w:val="000000"/>
        </w:rPr>
      </w:pPr>
      <w:r>
        <w:rPr>
          <w:color w:val="000000"/>
        </w:rPr>
        <w:t> </w:t>
      </w:r>
    </w:p>
    <w:tbl>
      <w:tblPr>
        <w:tblW w:w="10116"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826"/>
        <w:gridCol w:w="109"/>
        <w:gridCol w:w="109"/>
        <w:gridCol w:w="109"/>
        <w:gridCol w:w="109"/>
        <w:gridCol w:w="211"/>
        <w:gridCol w:w="721"/>
        <w:gridCol w:w="109"/>
        <w:gridCol w:w="109"/>
        <w:gridCol w:w="109"/>
        <w:gridCol w:w="109"/>
        <w:gridCol w:w="365"/>
        <w:gridCol w:w="1247"/>
        <w:gridCol w:w="188"/>
        <w:gridCol w:w="109"/>
        <w:gridCol w:w="109"/>
        <w:gridCol w:w="109"/>
        <w:gridCol w:w="211"/>
        <w:gridCol w:w="82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Health and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July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July 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43,343 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 significant changes to identifiable assets by segment occurred during the three months ended July 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13 – Subsequent Events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July 2023, we acquired substantially all the assets of EcoTech Enterprises, Inc. ("EcoTech") for $3.4 million, under the terms of an asset purchase agreement with EcoTech and its shareholders. EcoTech is a manufacturer and distributor of water treatment chemicals serving customers throughout Arkansas and surrounding states. The results of operations and the assets, including goodwill associated with this acquisition, if any, will be included as part of our Water Treatment segment from the date of acquisition forward. The purchase accounting for this acquisition has not yet been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4940"/>
                <wp:effectExtent l="0" t="0" r="0" b="0"/>
                <wp:wrapNone/>
                <wp:docPr id="12" name="Frame12"/>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Calibri;sans-serif" w:hAnsi="Calibri;sans-serif"/>
          <w:b w:val="false"/>
          <w:color w:val="000000"/>
          <w:sz w:val="20"/>
        </w:rPr>
      </w:pPr>
      <w:r>
        <w:rPr>
          <w:rFonts w:ascii="Calibri;sans-serif" w:hAnsi="Calibri;sans-serif"/>
          <w:b w:val="false"/>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100" w:after="283"/>
        <w:jc w:val="left"/>
        <w:rPr/>
      </w:pPr>
      <w:r>
        <w:rPr>
          <w:rFonts w:ascii="Calibri;sans-serif" w:hAnsi="Calibri;sans-serif"/>
          <w:b w:val="false"/>
          <w:color w:val="000000"/>
          <w:sz w:val="20"/>
        </w:rPr>
        <w:t xml:space="preserve">The following is a discussion and analysis of our financial condition and results of operations for the three months ended July 2, 2023 as compared to the similar period ended July 3, 2022. This discussion should be read in conjunction with the condensed consolidated financial statements and notes to condensed consolidated financial statements included in this quarterly report on Form 10-Q and Item 8 of our </w:t>
      </w:r>
      <w:hyperlink r:id="rId5">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pStyle w:val="TextBody"/>
        <w:bidi w:val="0"/>
        <w:spacing w:lineRule="auto" w:line="288" w:before="280" w:after="283"/>
        <w:jc w:val="left"/>
        <w:rPr>
          <w:rFonts w:ascii="Calibri;sans-serif" w:hAnsi="Calibri;sans-serif"/>
          <w:b w:val="false"/>
          <w:i/>
          <w:color w:val="000000"/>
          <w:sz w:val="20"/>
        </w:rPr>
      </w:pPr>
      <w:r>
        <w:rPr>
          <w:rFonts w:ascii="Calibri;sans-serif" w:hAnsi="Calibri;sans-serif"/>
          <w:b w:val="false"/>
          <w:i/>
          <w:color w:val="000000"/>
          <w:sz w:val="20"/>
        </w:rPr>
        <w:t>Overview</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 xml:space="preserve">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 </w:t>
      </w:r>
    </w:p>
    <w:p>
      <w:pPr>
        <w:pStyle w:val="TextBody"/>
        <w:bidi w:val="0"/>
        <w:spacing w:before="0" w:after="0"/>
        <w:jc w:val="both"/>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Asset Sales and Business Acquisitions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In July 2023, after the end of our first quarter, we acquired substantially all the assets of EcoTech Enterprises, Inc. ("EcoTech") for $3.4 million, under the terms of an asset purchase agreement with EcoTech and its shareholders. EcoTech is a manufacturer and distributor of water treatment chemicals serving customers throughout Arkansas and surrounding states. The results of operations and the assets, including goodwill associated with this acquisition, if any, will be included as part of our Water Treatment segment from the date of acquisition forward. The purchase accounting for this acquisition has not yet been completed.</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the fourth quarter of fiscal 2023, we sold certain assets in our Industrial segment related to our consumer bleach packaging business for $7 million. These assets were not deemed core to our Industrial segment operations. The assets sold included plant equipment, inventory, and intangible assets, all related to the packaging of bleach. We realized a gain of $3 million on this sale, which was recorded as a reduction to selling, general and administrative expenses.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Share Repurchase Program</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have in place a share repurchase program for up to 2.6 million shares of our common shares. As of July 2, 2023, 1,129,348 shares remain available to be repurchased under this program.</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Financial Results</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We focus on total profitability dollars when evaluating our financial results as opposed to profitability as a percentage of sales, as sales dollars tend to fluctuate as raw material prices rise and fall, particularly in our Industrial and Water Treatment segments. The costs for certain of our raw materials can rise or fall rapidly, causing fluctuations in gross profit as a percentage of sales.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We use the last in, first out (“LIFO”) method of valuing the majority of our inventory in our Industrial and Water Treatment segments, which causes the most recent product costs to be recognized in our income statement. The LIFO inventory valuation method and the resulting cost of sales are consistent with our business practices of pricing to current chemical raw material prices. Inventories in our Health and Nutrition segment are valued using the first-in, first-out (“FIFO”) method.</w:t>
      </w:r>
    </w:p>
    <w:p>
      <w:pPr>
        <w:pStyle w:val="TextBody"/>
        <w:bidi w:val="0"/>
        <w:spacing w:before="0" w:after="0"/>
        <w:jc w:val="both"/>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Results of Operations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The following table sets forth the percentage relationship of certain items to sales for the period indicated:</w:t>
      </w:r>
    </w:p>
    <w:p>
      <w:pPr>
        <w:pStyle w:val="TextBody"/>
        <w:bidi w:val="0"/>
        <w:spacing w:lineRule="auto" w:line="288" w:before="0" w:after="0"/>
        <w:jc w:val="left"/>
        <w:rPr>
          <w:color w:val="000000"/>
        </w:rPr>
      </w:pPr>
      <w:r>
        <w:rPr>
          <w:color w:val="000000"/>
        </w:rPr>
        <w:t> </w:t>
      </w:r>
    </w:p>
    <w:tbl>
      <w:tblPr>
        <w:tblW w:w="7218" w:type="dxa"/>
        <w:jc w:val="left"/>
        <w:tblInd w:w="0" w:type="dxa"/>
        <w:tblLayout w:type="fixed"/>
        <w:tblCellMar>
          <w:top w:w="28" w:type="dxa"/>
          <w:left w:w="28" w:type="dxa"/>
          <w:bottom w:w="28" w:type="dxa"/>
          <w:right w:w="28" w:type="dxa"/>
        </w:tblCellMar>
      </w:tblPr>
      <w:tblGrid>
        <w:gridCol w:w="1536"/>
        <w:gridCol w:w="1015"/>
        <w:gridCol w:w="1033"/>
        <w:gridCol w:w="109"/>
        <w:gridCol w:w="109"/>
        <w:gridCol w:w="109"/>
        <w:gridCol w:w="308"/>
        <w:gridCol w:w="308"/>
        <w:gridCol w:w="560"/>
        <w:gridCol w:w="158"/>
        <w:gridCol w:w="158"/>
        <w:gridCol w:w="158"/>
        <w:gridCol w:w="308"/>
        <w:gridCol w:w="308"/>
        <w:gridCol w:w="560"/>
        <w:gridCol w:w="109"/>
        <w:gridCol w:w="109"/>
        <w:gridCol w:w="109"/>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2, 2023</w:t>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July 3,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(79.3)</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(81.0)</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9.2 </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8.0 </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 xml:space="preserve">Three Months Ended July 2, 2023 Compared to Three Months Ended July 3, 2022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Sales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Sales were $251.1 million for the three months ended July 2, 2023, an increase of $4.6 million, or 2%, from sales of $246.5 million in the same period a year ago, driven by increased selling prices.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Industrial segment sales decreased $3.8 million or 3%, to $120.9 million for the three months ended July 2, 2023, from sales of $124.7 million in the same period a year ago. Sales of bulk commodity products in the Industrial segment were approximately 13% of sales dollars in the three months ended July 2, 2023 and 17% in the same period of the prior year.The divestiture of our consumer bleach packaging business at the end of fiscal 2023 resulted in $4.7 million lower sales in the current quarter. Offsetting that decrease were increases in sales resulting from increased selling prices on many of our products driven by higher raw material costs on overall lower volumes and, to a lesser extent, a product mix shift.</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Water Treatment segment sales increased $15.2 million, or 19%, to $93.7 million for the three months ended July 2, 2023, from sales of $78.5 million in the same period a year ago. Sales of bulk commodity products in the Water Treatment segment were approximately 8% of sales dollars in the three months ended July 2, 2023 and 9% in the same period a year ago. Sales increased as a result of increased selling prices on many of our products driven primarily by higher raw material costs.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&amp; Nutrition Segment.</w:t>
      </w:r>
      <w:r>
        <w:rPr>
          <w:color w:val="000000"/>
        </w:rPr>
        <w:t xml:space="preserve"> </w:t>
      </w:r>
      <w:r>
        <w:rPr>
          <w:rFonts w:ascii="Calibri;sans-serif" w:hAnsi="Calibri;sans-serif"/>
          <w:b w:val="false"/>
          <w:color w:val="000000"/>
          <w:sz w:val="20"/>
        </w:rPr>
        <w:t>Health and Nutrition segment sales decreased $6.7 million, or 15%, to $36.6 million for the three months ended July 2, 2023, from sales of $43.3 million in the same period a year ago. The sales decrease was due to decreased sales volumes of both our specialty distributed products and our manufactured products due to softened demand from our customers, which we believe was driven by excess inventory at many of our customers as well as lower consumer demand for health and immunity products.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Gross Profit</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Gross profit increased $5.3 million, or 11%, to $52.0 million, or 21% of sales, for the three months ended July 2, 2023, from $46.7 million, or 19% of sales, in the same period a year ago. During the three months ended July 2, 2023, the LIFO reserve decreased, and gross profit increased, by $0.2 million. In the same quarter a year ago, the LIFO reserve increased, and gross profit decreased, by $3.8 million due primarily to rising raw material prices.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 xml:space="preserve">Gross profit for the Industrial segment decreased $0.7 million, or 4%, to $19.3 million, or 16% of sales, for the three months ended July 2, 2023, from $20.0 million, or 16% of sales, in the same period a year ago. During the three months ended July 2, 2023, the LIFO reserve decreased, and gross profit increased, by $0.3 million. In the same quarter a year ago, the LIFO reserve increased, and gross profit decreased, by $2.7 million due primarily to rising raw material prices. Gross profit decreased due to decreased sales volumes, which was largely offset by the favorable impact of the change in the LIFO reserve.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Gross profit for the Water Treatment segment increased $7.4 million, or 39%, to $26.4 million, or 28% of sales, for the three months ended July 2, 2023, from $19.0 million, or 24% of sales, in the same period a year ago. During the three months ended July 2, 2023, the LIFO reserve increased, and gross profit decreased, by $0.1 million. In the same quarter a year ago, the LIFO reserve increased, and gross profit decreased, by $1.1 million due primarily to rising raw material prices. Gross profit increased as a result of improved per-unit margins.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and Nutrition Segment</w:t>
      </w:r>
      <w:r>
        <w:rPr>
          <w:rFonts w:ascii="Calibri;sans-serif" w:hAnsi="Calibri;sans-serif"/>
          <w:b w:val="false"/>
          <w:color w:val="000000"/>
          <w:sz w:val="20"/>
        </w:rPr>
        <w:t>. Gross profit for our Health and Nutrition segment decreased $1.5 million, or 19%, to $6.3 million, or 17% of sales, for the three months ended July 2, 2023, from $7.8 million, or 18% of sales, in the same period a year ago. Gross profit decreased as a result of lower sales volumes and lower per-unit margins on certain products.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Selling, General and Administrative Expenses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Selling, general and administrative (“SG&amp;A”) expenses increased $0.6 million, or 3%, to $19.5 million, or 8% of sales, for the three months ended July 2, 2023, from $18.9 million, or 8% of sales, in the same period a year ago. In the current quarter, we recorded compensation expense of $0.3 million as a result of gains recorded on investments held for our non-qualified deferred compensation plan, as compared to $0.8 million decrease in compensation expense in the same quarter a year ago as a result of losses incurred. These amounts were offset by similar amounts recorded in other income (expense). Offsetting this $1.1 million unfavorable year-over-year impact were decreases in SG&amp;A expenses resulting largely from expense control measures.</w:t>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Operating Income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Operating income increased $4.6 million, or 16%, to $32.5 million, or 13% of sales, for the three months ended July 2, 2023, from $27.9 million, or 11% of sales, in the same period a year ago due to the combined impact of the factors discussed above.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Interest Expense, Net</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Interest expense was $1.1 million for the three months ended July 2, 2023 and $0.9 million the same period a year ago. The increase was due to an increase in borrowing interest rates, largely offset by a decrease in outstanding borrowings.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Other Income (Expense)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Other income was $0.3 million for the three months ended July 2, 2023 compared to other expense of $0.8 million in the same period a year ago. The income represents gains recorded on investments held for our non-qualified deferred compensation plan, whereas the expense in the same period a year ago represented losses recorded on those investments. The amounts recorded as a gain or loss were offset by similar amounts recorded as a decrease or increase to compensation expense within SG&amp;A expenses.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Income Tax Provision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Our effective income tax rate was 26% for the three months ended July 2, 2023 and 25% the three months ended July 3, 2022. The effective tax rate is impacted by projected levels of annual taxable income, permanent items, and state taxes. Our effective tax rate for the full year is currently expected to be approximately 26 to 27%.</w:t>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was $7.0 million at July 2, 2023, a decrease of $0.5 million as compared with the $7.6 million available as of April 2, 2023.</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Cash provided by operating activities was $34.9 million for the three months ended July 2, 2023, compared to cash used in operating activities of $9.4 million in the same period a year ago. The year-over-year increase in cash provided by operating activities was primarily driven by decreased cash expended for inventory purchases and increased net income. Due to the nature of our operations, which includes purchases of large quantities of bulk chemicals, timing of purchases can result in significant changes in working capital investment and the resulting operating cash flow.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used in investing activities was $7.8 million for the three months ended July 2, 2023, compared to $11.5 million in the same period a year ago. Capital expenditures were $7.9 million for the three months ended July 2, 2023, compared to $11.6 million in the same period a year ago. In the first three months of the current year, we invested $5.1 million to complete an expansion of one of our Minnesota manufacturing facilities. In the prior year, we invested $1.1 million to complete an expansion of our Illinois manufacturing facility, purchased a previously leased facility for $0.9 million, and had larger investments in vehicles, safety equipment and new and replacement equipment compared to the first three months of the current year.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used in financing activities was $27.6 million for the three months ended July 2, 2023, compared to $23.4 million of cash provided by financing activities in the same period a year ago. Included in financing activities in the first three months of the current year were net debt repayments of $23.4 million, compared to net debt proceeds of $33.5 million in the first three months of the prior year. In addition, we repurchased $6.6 million of shares of our common stock in the first three months of the prior year.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expect our cash balances and funds available under our credit facility, discussed below, along with cash flows generated from operations, will be sufficient to fund the cash requirements of our ongoing operations for the foreseeable future.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three months ended July 2, 2023, no shares were repurchased, and during the three months ended July 2, 2023, we repurchased 181,657 shares of common stock with an aggregate purchase price of $6.6 million. As of July 2, 2023, 1,129,348 shares remained available to be repurchased under the share repurchase program. </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We are party to a second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w:t>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revolving loan under our previous credit agreement with U.S. Bank and provides us with senior secured revolving credit facilities (the “Revolving Loan Facility”) totaling $250 million. The Revolving Loan Facility includes a $10 million letter of credit subfacility and $25 million swingline subfacility. The Revolving Loan Facility has a five-year maturity date, maturing on April 30, 2027.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w:t>
      </w:r>
    </w:p>
    <w:p>
      <w:pPr>
        <w:pStyle w:val="TextBody"/>
        <w:bidi w:val="0"/>
        <w:spacing w:before="0" w:after="0"/>
        <w:jc w:val="left"/>
        <w:rPr/>
      </w:pPr>
      <w:r>
        <w:rPr/>
      </w:r>
    </w:p>
    <w:p>
      <w:pPr>
        <w:pStyle w:val="TextBody"/>
        <w:bidi w:val="0"/>
        <w:spacing w:lineRule="auto" w:line="276" w:before="0" w:after="0"/>
        <w:jc w:val="both"/>
        <w:rPr>
          <w:rFonts w:ascii="Calibri;sans-serif" w:hAnsi="Calibri;sans-serif"/>
          <w:b w:val="false"/>
          <w:color w:val="000000"/>
          <w:sz w:val="20"/>
        </w:rPr>
      </w:pPr>
      <w:r>
        <w:rPr>
          <w:rFonts w:ascii="Calibri;sans-serif" w:hAnsi="Calibri;sans-serif"/>
          <w:b w:val="false"/>
          <w:color w:val="000000"/>
          <w:sz w:val="20"/>
        </w:rPr>
        <w:t>Borrowings under the Revolving Loan Facility bear interest at a rate per annum equal to one of the following, plus, in both cases, an applicable margin based upon our leverage ratio: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0.85% and 1.35%, depending on our leverage ratio. The base rate margin is between 0.00% and 0.35%, depending on our leverage ratio. At July 2, 2023, the effective interest rate on our borrowings was 3.9%.</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In addition to paying interest on the outstanding principal under the Revolving Loan Facility, we are required to pay a commitment fee on the unutilized commitments thereunder. The commitment fee is between 0.15% and 0.25%, depending on our leverage ratio.</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Debt issuance costs paid to the Lenders are being amortized as interest expense over the term of the Credit Agreement. As of July 2, 2023, the unamortized balance of these costs was $0.3 million, and is reflected as a reduction of debt on our balance sheet.</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July 2, 2023 and expect to remain in compliance with all covenants for the next 12 months.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Critical Accounting Estimates</w:t>
      </w:r>
    </w:p>
    <w:p>
      <w:pPr>
        <w:pStyle w:val="TextBody"/>
        <w:bidi w:val="0"/>
        <w:spacing w:lineRule="auto" w:line="288" w:before="180" w:after="283"/>
        <w:jc w:val="left"/>
        <w:rPr/>
      </w:pPr>
      <w:r>
        <w:rPr>
          <w:rFonts w:ascii="Calibri;sans-serif" w:hAnsi="Calibri;sans-serif"/>
          <w:b w:val="false"/>
          <w:color w:val="000000"/>
          <w:sz w:val="20"/>
        </w:rPr>
        <w:t xml:space="preserve">There were no material changes in our critical accounting estimates since the filing of our </w:t>
      </w:r>
      <w:hyperlink r:id="rId6">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4940"/>
                <wp:effectExtent l="0" t="0" r="0" b="0"/>
                <wp:wrapNone/>
                <wp:docPr id="13" name="Frame1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Forward-Looking Statements</w:t>
      </w:r>
    </w:p>
    <w:p>
      <w:pPr>
        <w:pStyle w:val="TextBody"/>
        <w:bidi w:val="0"/>
        <w:spacing w:lineRule="auto" w:line="288" w:before="120" w:after="283"/>
        <w:jc w:val="left"/>
        <w:rPr/>
      </w:pPr>
      <w:r>
        <w:rPr>
          <w:rFonts w:ascii="Calibri;sans-serif" w:hAnsi="Calibri;sans-serif"/>
          <w:b w:val="false"/>
          <w:color w:val="000000"/>
          <w:sz w:val="20"/>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7">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4940"/>
                <wp:effectExtent l="0" t="0" r="0" b="0"/>
                <wp:wrapNone/>
                <wp:docPr id="14" name="Frame1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3.        QUANTITATIVE AND QUALITATIVE DISCLOSURES ABOUT MARKET RISK</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July 2, 2023, a 25-basis point change in interest rates on our unhedged variable-rate debt would potentially increase or decrease our annual interest expense by approximately $0.1 million. </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Other types of market risk, such as foreign currency risk, do not arise in the normal course of our business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4.        CONTROLS AND PROCEDURES</w:t>
      </w:r>
    </w:p>
    <w:p>
      <w:pPr>
        <w:pStyle w:val="TextBody"/>
        <w:bidi w:val="0"/>
        <w:spacing w:lineRule="auto" w:line="288" w:before="100" w:after="283"/>
        <w:jc w:val="left"/>
        <w:rPr>
          <w:rFonts w:ascii="Calibri;sans-serif" w:hAnsi="Calibri;sans-serif"/>
          <w:b/>
          <w:color w:val="000000"/>
          <w:sz w:val="20"/>
        </w:rPr>
      </w:pPr>
      <w:r>
        <w:rPr>
          <w:rFonts w:ascii="Calibri;sans-serif" w:hAnsi="Calibri;sans-serif"/>
          <w:b/>
          <w:color w:val="000000"/>
          <w:sz w:val="20"/>
        </w:rPr>
        <w:t>Evaluation of Disclosure Controls and Procedures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July 2, 2023.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pStyle w:val="TextBody"/>
        <w:bidi w:val="0"/>
        <w:spacing w:lineRule="auto" w:line="288" w:before="280" w:after="283"/>
        <w:jc w:val="left"/>
        <w:rPr>
          <w:rFonts w:ascii="Calibri;sans-serif" w:hAnsi="Calibri;sans-serif"/>
          <w:b/>
          <w:color w:val="000000"/>
          <w:sz w:val="20"/>
        </w:rPr>
      </w:pPr>
      <w:r>
        <w:rPr>
          <w:rFonts w:ascii="Calibri;sans-serif" w:hAnsi="Calibri;sans-serif"/>
          <w:b/>
          <w:color w:val="000000"/>
          <w:sz w:val="20"/>
        </w:rPr>
        <w:t>Changes in Internal Control</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There was no change in our internal control over financial reporting during the first quarter of fiscal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4940"/>
                <wp:effectExtent l="0" t="0" r="0" b="0"/>
                <wp:wrapNone/>
                <wp:docPr id="15" name="Frame1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1.        LEGAL PROCEEDINGS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There are no material pending legal proceedings, other than ordinary routine litigation incidental to the business, to which we or any of our subsidiaries are a party or of which any of our property is the subject.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1A.    RISK FACTORS</w:t>
      </w:r>
    </w:p>
    <w:p>
      <w:pPr>
        <w:pStyle w:val="TextBody"/>
        <w:bidi w:val="0"/>
        <w:spacing w:lineRule="auto" w:line="288" w:before="180" w:after="283"/>
        <w:jc w:val="left"/>
        <w:rPr/>
      </w:pPr>
      <w:r>
        <w:rPr>
          <w:rFonts w:ascii="Calibri;sans-serif" w:hAnsi="Calibri;sans-serif"/>
          <w:b w:val="false"/>
          <w:color w:val="000000"/>
          <w:sz w:val="20"/>
        </w:rPr>
        <w:t xml:space="preserve">There have been no material changes to our risk factors from those disclosed in our </w:t>
      </w:r>
      <w:hyperlink r:id="rId8">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Our Board has authorized the repurchase of up to 2.6 million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July 2, 2023:</w:t>
      </w:r>
    </w:p>
    <w:tbl>
      <w:tblPr>
        <w:tblW w:w="10205" w:type="dxa"/>
        <w:jc w:val="center"/>
        <w:tblInd w:w="0" w:type="dxa"/>
        <w:tblLayout w:type="fixed"/>
        <w:tblCellMar>
          <w:top w:w="28" w:type="dxa"/>
          <w:left w:w="28" w:type="dxa"/>
          <w:bottom w:w="28" w:type="dxa"/>
          <w:right w:w="28" w:type="dxa"/>
        </w:tblCellMar>
      </w:tblPr>
      <w:tblGrid>
        <w:gridCol w:w="698"/>
        <w:gridCol w:w="325"/>
        <w:gridCol w:w="332"/>
        <w:gridCol w:w="109"/>
        <w:gridCol w:w="109"/>
        <w:gridCol w:w="109"/>
        <w:gridCol w:w="449"/>
        <w:gridCol w:w="449"/>
        <w:gridCol w:w="450"/>
        <w:gridCol w:w="109"/>
        <w:gridCol w:w="109"/>
        <w:gridCol w:w="109"/>
        <w:gridCol w:w="331"/>
        <w:gridCol w:w="637"/>
        <w:gridCol w:w="171"/>
        <w:gridCol w:w="109"/>
        <w:gridCol w:w="109"/>
        <w:gridCol w:w="109"/>
        <w:gridCol w:w="791"/>
        <w:gridCol w:w="791"/>
        <w:gridCol w:w="793"/>
        <w:gridCol w:w="109"/>
        <w:gridCol w:w="109"/>
        <w:gridCol w:w="109"/>
        <w:gridCol w:w="1008"/>
        <w:gridCol w:w="689"/>
        <w:gridCol w:w="983"/>
      </w:tblGrid>
      <w:tr>
        <w:trPr/>
        <w:tc>
          <w:tcPr>
            <w:tcW w:w="6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 Number of Shares Purchased as Part of a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Maximum Number of Shares that May Yet be Purchased under Plans or Programs</w:t>
            </w:r>
          </w:p>
        </w:tc>
      </w:tr>
      <w:tr>
        <w:trPr/>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04/03/2023-04/30/2023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1,129,348 </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05/01/2023-05/28/2023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1,129,348 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05/29/2023-07/02/2023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1,129,348 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4940"/>
                <wp:effectExtent l="0" t="0" r="0" b="0"/>
                <wp:wrapNone/>
                <wp:docPr id="16" name="Frame16"/>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8"/>
        <w:gridCol w:w="193"/>
        <w:gridCol w:w="109"/>
        <w:gridCol w:w="109"/>
        <w:gridCol w:w="109"/>
        <w:gridCol w:w="2540"/>
        <w:gridCol w:w="2458"/>
        <w:gridCol w:w="2480"/>
        <w:gridCol w:w="109"/>
        <w:gridCol w:w="109"/>
        <w:gridCol w:w="109"/>
        <w:gridCol w:w="395"/>
        <w:gridCol w:w="395"/>
        <w:gridCol w:w="564"/>
      </w:tblGrid>
      <w:tr>
        <w:trPr/>
        <w:tc>
          <w:tcPr>
            <w:tcW w:w="2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u w:val="single"/>
              </w:rPr>
            </w:pPr>
            <w:r>
              <w:rPr>
                <w:rFonts w:ascii="Calibri;sans-serif" w:hAnsi="Calibri;sans-serif"/>
                <w:b w:val="false"/>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u w:val="single"/>
              </w:rPr>
            </w:pPr>
            <w:r>
              <w:rPr>
                <w:rFonts w:ascii="Calibri;sans-serif" w:hAnsi="Calibri;sans-serif"/>
                <w:b w:val="false"/>
                <w:color w:val="000000"/>
                <w:sz w:val="16"/>
                <w:u w:val="single"/>
              </w:rPr>
              <w:t>Method of Filing</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Calibri;sans-serif" w:hAnsi="Calibri;sans-serif"/>
                  <w:b w:val="false"/>
                  <w:color w:val="0000FF"/>
                  <w:sz w:val="20"/>
                  <w:u w:val="single"/>
                </w:rPr>
                <w:t>Restated Articles of Incorporation.</w:t>
              </w:r>
            </w:hyperlink>
            <w:r>
              <w:rPr>
                <w:color w:val="000000"/>
              </w:rPr>
              <w:t xml:space="preserve"> </w:t>
            </w:r>
            <w:r>
              <w:rPr>
                <w:rFonts w:ascii="Calibri;sans-serif" w:hAnsi="Calibri;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Incorporated by Reference</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Calibri;sans-serif" w:hAnsi="Calibri;sans-serif"/>
                  <w:b w:val="false"/>
                  <w:color w:val="0000FF"/>
                  <w:sz w:val="20"/>
                  <w:u w:val="single"/>
                </w:rPr>
                <w:t>Amended and Restated By-Laws.</w:t>
              </w:r>
            </w:hyperlink>
            <w:r>
              <w:rPr>
                <w:color w:val="000000"/>
              </w:rPr>
              <w:t xml:space="preserve"> </w:t>
            </w:r>
            <w:r>
              <w:rPr>
                <w:rFonts w:ascii="Calibri;sans-serif" w:hAnsi="Calibri;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Incorporated by Reference</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1070223ex311.htm">
              <w:r>
                <w:rPr>
                  <w:rStyle w:val="InternetLink"/>
                  <w:rFonts w:ascii="Calibri;sans-serif" w:hAnsi="Calibri;sans-serif"/>
                  <w:b w:val="false"/>
                  <w:color w:val="0000FF"/>
                  <w:sz w:val="20"/>
                  <w:u w:val="single"/>
                </w:rPr>
                <w:t>Certification by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1070223ex312.htm">
              <w:r>
                <w:rPr>
                  <w:rStyle w:val="InternetLink"/>
                  <w:rFonts w:ascii="Calibri;sans-serif" w:hAnsi="Calibri;sans-serif"/>
                  <w:b w:val="false"/>
                  <w:color w:val="0000FF"/>
                  <w:sz w:val="20"/>
                  <w:u w:val="single"/>
                </w:rPr>
                <w:t>Certification by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1070223ex321.htm">
              <w:r>
                <w:rPr>
                  <w:rStyle w:val="InternetLink"/>
                  <w:rFonts w:ascii="Calibri;sans-serif" w:hAnsi="Calibri;sans-serif"/>
                  <w:b w:val="false"/>
                  <w:color w:val="0000FF"/>
                  <w:sz w:val="20"/>
                  <w:u w:val="single"/>
                </w:rPr>
                <w:t>Section 1350 Certification by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1070223ex322.htm">
              <w:r>
                <w:rPr>
                  <w:rStyle w:val="InternetLink"/>
                  <w:rFonts w:ascii="Calibri;sans-serif" w:hAnsi="Calibri;sans-serif"/>
                  <w:b w:val="false"/>
                  <w:color w:val="0000FF"/>
                  <w:sz w:val="20"/>
                  <w:u w:val="single"/>
                </w:rPr>
                <w:t>Section 1350 Certification by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Financial statements from the Quarterly Report on Form 10-Q of Hawkins, Inc. for the period ended July 2, 2023 filed with the SEC on August 2, 2023 formatted in Inline Extensible Business Reporting Language (iXBRL); (i) the Condensed Consolidated Balance Sheets at July 2, 2023 and April 2, 2023, (ii) the Condensed Consolidated Statements of Income for the three months ended July 2, 2023 and July 3, 2022, (iii) the Condensed Consolidated Statements of Comprehensive Income for the three months ended July 2, 2023 and July 3, 2022, (iv) the Condensed Consolidated Statements of Shareholder's Equity for the three months ended July 2, 2023 and July 3, 2022, (v) the Condensed Consolidated Statements of Cash Flows for the three months ended July 2, 2023 and July 3, 2022, and (vi) 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(1)Incorporated by reference to Exhibit 3.2 to the Company’s Current Report on Form 8-K dated February 26, 2021 and filed March 2, 2021.</w:t>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(2)Incorporated by reference to Exhibit 3.1 to the Company’s Current Report on Form 8-K dated October 28, 2009 and filed November 3, 2009.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4940"/>
                <wp:effectExtent l="0" t="0" r="0" b="0"/>
                <wp:wrapNone/>
                <wp:docPr id="17" name="Frame17"/>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48" w:type="dxa"/>
        <w:jc w:val="left"/>
        <w:tblInd w:w="0" w:type="dxa"/>
        <w:tblLayout w:type="fixed"/>
        <w:tblCellMar>
          <w:top w:w="28" w:type="dxa"/>
          <w:left w:w="28" w:type="dxa"/>
          <w:bottom w:w="28" w:type="dxa"/>
          <w:right w:w="28" w:type="dxa"/>
        </w:tblCellMar>
      </w:tblPr>
      <w:tblGrid>
        <w:gridCol w:w="162"/>
        <w:gridCol w:w="142"/>
        <w:gridCol w:w="142"/>
        <w:gridCol w:w="142"/>
        <w:gridCol w:w="142"/>
        <w:gridCol w:w="142"/>
        <w:gridCol w:w="2033"/>
        <w:gridCol w:w="2033"/>
        <w:gridCol w:w="2038"/>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/s/ Jeffrey P. Oldenkamp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Jeffrey P. Oldenkamp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(On behalf of the registrant and as 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Dated: August 2,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302 OF</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THE SARBANES-OXLEY ACT OF 2002</w:t>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CERTIFICATIONS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I, Patrick H. Hawkins, certify that:</w:t>
      </w:r>
    </w:p>
    <w:p>
      <w:pPr>
        <w:pStyle w:val="TextBody"/>
        <w:bidi w:val="0"/>
        <w:spacing w:before="0" w:after="0"/>
        <w:jc w:val="left"/>
        <w:rPr/>
      </w:pPr>
      <w:r>
        <w:rPr/>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 August 2, 2023 </w:t>
      </w:r>
    </w:p>
    <w:p>
      <w:pPr>
        <w:pStyle w:val="TextBody"/>
        <w:bidi w:val="0"/>
        <w:spacing w:lineRule="auto" w:line="288" w:before="0" w:after="0"/>
        <w:jc w:val="left"/>
        <w:rPr>
          <w:color w:val="000000"/>
        </w:rPr>
      </w:pPr>
      <w:r>
        <w:rPr>
          <w:color w:val="000000"/>
        </w:rPr>
        <w:t> </w:t>
      </w:r>
    </w:p>
    <w:tbl>
      <w:tblPr>
        <w:tblW w:w="3387" w:type="dxa"/>
        <w:jc w:val="left"/>
        <w:tblInd w:w="0" w:type="dxa"/>
        <w:tblLayout w:type="fixed"/>
        <w:tblCellMar>
          <w:top w:w="28" w:type="dxa"/>
          <w:left w:w="28" w:type="dxa"/>
          <w:bottom w:w="28" w:type="dxa"/>
          <w:right w:w="28" w:type="dxa"/>
        </w:tblCellMar>
      </w:tblPr>
      <w:tblGrid>
        <w:gridCol w:w="124"/>
        <w:gridCol w:w="109"/>
        <w:gridCol w:w="109"/>
        <w:gridCol w:w="890"/>
        <w:gridCol w:w="890"/>
        <w:gridCol w:w="12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Patrick H. Hawkins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Patrick H.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302 OF</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THE SARBANES-OXLEY ACT OF 2002</w:t>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CERTIFICATIONS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I, Jeffrey P. Oldenkamp, certify that:</w:t>
      </w:r>
    </w:p>
    <w:p>
      <w:pPr>
        <w:pStyle w:val="TextBody"/>
        <w:bidi w:val="0"/>
        <w:spacing w:before="100" w:after="283"/>
        <w:jc w:val="left"/>
        <w:rPr/>
      </w:pPr>
      <w:r>
        <w:rPr/>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 August 2, 2023 </w:t>
      </w:r>
    </w:p>
    <w:p>
      <w:pPr>
        <w:pStyle w:val="TextBody"/>
        <w:bidi w:val="0"/>
        <w:spacing w:lineRule="auto" w:line="288" w:before="0" w:after="0"/>
        <w:jc w:val="left"/>
        <w:rPr>
          <w:color w:val="000000"/>
        </w:rPr>
      </w:pPr>
      <w:r>
        <w:rPr>
          <w:color w:val="000000"/>
        </w:rPr>
        <w:t> </w:t>
      </w:r>
    </w:p>
    <w:tbl>
      <w:tblPr>
        <w:tblW w:w="4482" w:type="dxa"/>
        <w:jc w:val="left"/>
        <w:tblInd w:w="0" w:type="dxa"/>
        <w:tblLayout w:type="fixed"/>
        <w:tblCellMar>
          <w:top w:w="28" w:type="dxa"/>
          <w:left w:w="28" w:type="dxa"/>
          <w:bottom w:w="28" w:type="dxa"/>
          <w:right w:w="28" w:type="dxa"/>
        </w:tblCellMar>
      </w:tblPr>
      <w:tblGrid>
        <w:gridCol w:w="124"/>
        <w:gridCol w:w="109"/>
        <w:gridCol w:w="109"/>
        <w:gridCol w:w="1212"/>
        <w:gridCol w:w="1212"/>
        <w:gridCol w:w="1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P. Oldenkamp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In connection with the Quarterly Report of Hawkins, Inc. (the Company) on Form 10-Q for the period ended July 2, 2023, as filed with the Securities and Exchange Commission on the date hereof (the Report), I, Patrick H. Hawkins, Chief Executive Officer and President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and</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060" w:type="dxa"/>
        <w:jc w:val="left"/>
        <w:tblInd w:w="0" w:type="dxa"/>
        <w:tblLayout w:type="fixed"/>
        <w:tblCellMar>
          <w:top w:w="28" w:type="dxa"/>
          <w:left w:w="28" w:type="dxa"/>
          <w:bottom w:w="28" w:type="dxa"/>
          <w:right w:w="28" w:type="dxa"/>
        </w:tblCellMar>
      </w:tblPr>
      <w:tblGrid>
        <w:gridCol w:w="978"/>
        <w:gridCol w:w="859"/>
        <w:gridCol w:w="1223"/>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Patrick H. Hawkins </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Patrick H. Hawkins</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 and President</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2, 2023</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In connection with the Quarterly Report of Hawkins, Inc. (the Company) on Form 10-Q for the period ended July 2, 2023, as filed with the Securities and Exchange Commission on the date hereof (the Report), I, Jeffrey P. Oldenkamp, Chief Financial Officer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and</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155" w:type="dxa"/>
        <w:jc w:val="left"/>
        <w:tblInd w:w="0" w:type="dxa"/>
        <w:tblLayout w:type="fixed"/>
        <w:tblCellMar>
          <w:top w:w="28" w:type="dxa"/>
          <w:left w:w="28" w:type="dxa"/>
          <w:bottom w:w="28" w:type="dxa"/>
          <w:right w:w="28" w:type="dxa"/>
        </w:tblCellMar>
      </w:tblPr>
      <w:tblGrid>
        <w:gridCol w:w="1330"/>
        <w:gridCol w:w="1168"/>
        <w:gridCol w:w="1657"/>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Jeffrey P. Oldenkamp </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2, 2023</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6250/000004625023000015/hwkn-20230402.htm" TargetMode="External"/><Relationship Id="rId3" Type="http://schemas.openxmlformats.org/officeDocument/2006/relationships/hyperlink" Target="http://www.sec.gov/ix?doc=/Archives/edgar/data/46250/000004625023000015/hwkn-20230402.htm" TargetMode="External"/><Relationship Id="rId4" Type="http://schemas.openxmlformats.org/officeDocument/2006/relationships/hyperlink" Target="http://www.sec.gov/ix?doc=/Archives/edgar/data/46250/000004625022000016/hwkn-20220403.htm" TargetMode="External"/><Relationship Id="rId5" Type="http://schemas.openxmlformats.org/officeDocument/2006/relationships/hyperlink" Target="http://www.sec.gov/ix?doc=/Archives/edgar/data/46250/000004625023000015/hwkn-20230402.htm" TargetMode="External"/><Relationship Id="rId6" Type="http://schemas.openxmlformats.org/officeDocument/2006/relationships/hyperlink" Target="http://www.sec.gov/ix?doc=/Archives/edgar/data/46250/000004625023000015/hwkn-20230402.htm" TargetMode="External"/><Relationship Id="rId7" Type="http://schemas.openxmlformats.org/officeDocument/2006/relationships/hyperlink" Target="http://www.sec.gov/ix?doc=/Archives/edgar/data/46250/000004625023000015/hwkn-20230402.htm" TargetMode="External"/><Relationship Id="rId8" Type="http://schemas.openxmlformats.org/officeDocument/2006/relationships/hyperlink" Target="http://www.sec.gov/ix?doc=/Archives/edgar/data/46250/000004625023000015/hwkn-20230402.htm" TargetMode="External"/><Relationship Id="rId9" Type="http://schemas.openxmlformats.org/officeDocument/2006/relationships/hyperlink" Target="http://www.sec.gov/Archives/edgar/data/46250/000004625021000012/exhibit32.htm" TargetMode="External"/><Relationship Id="rId10" Type="http://schemas.openxmlformats.org/officeDocument/2006/relationships/hyperlink" Target="http://www.sec.gov/Archives/edgar/data/46250/000089710109002205/hawkins095018_ex3-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9642</Words>
  <Characters>52313</Characters>
  <CharactersWithSpaces>61426</CharactersWithSpaces>
  <Paragraphs>1225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