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5"/>
          <w:szCs w:val="25"/>
          <w:b w:val="1"/>
          <w:bCs w:val="1"/>
          <w:color w:val="auto"/>
        </w:rPr>
        <w:t>UNITED STATES</w:t>
      </w:r>
    </w:p>
    <w:p>
      <w:pPr>
        <w:jc w:val="center"/>
        <w:ind w:right="-1100"/>
        <w:spacing w:after="0" w:line="233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46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32"/>
          <w:szCs w:val="32"/>
          <w:b w:val="1"/>
          <w:bCs w:val="1"/>
          <w:color w:val="auto"/>
        </w:rPr>
        <w:t>SCHEDULE 14A INFORMATION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b w:val="1"/>
          <w:bCs w:val="1"/>
          <w:color w:val="auto"/>
        </w:rPr>
        <w:t>Proxy Statement Pursuant to Secton 14(a) of the Securites</w:t>
      </w:r>
    </w:p>
    <w:p>
      <w:pPr>
        <w:jc w:val="center"/>
        <w:ind w:right="-1100"/>
        <w:spacing w:after="0" w:line="229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b w:val="1"/>
          <w:bCs w:val="1"/>
          <w:color w:val="auto"/>
        </w:rPr>
        <w:t>Exchange Act of 1934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22"/>
          <w:szCs w:val="22"/>
          <w:color w:val="auto"/>
        </w:rPr>
        <w:t>☑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22"/>
          <w:szCs w:val="22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Check the appropriate box: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0" w:hanging="654"/>
        <w:spacing w:after="0"/>
        <w:tabs>
          <w:tab w:leader="none" w:pos="6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Preliminary proxy statement.</w:t>
      </w:r>
    </w:p>
    <w:p>
      <w:pPr>
        <w:spacing w:after="0" w:line="6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80" w:hanging="654"/>
        <w:spacing w:after="0"/>
        <w:tabs>
          <w:tab w:leader="none" w:pos="6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Confdental, for use of the Commission only (as permited by Rule 14A-6(e)(2))</w:t>
      </w:r>
    </w:p>
    <w:p>
      <w:pPr>
        <w:spacing w:after="0" w:line="6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80" w:hanging="654"/>
        <w:spacing w:after="0"/>
        <w:tabs>
          <w:tab w:leader="none" w:pos="6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Defnitve proxy statement.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680" w:hanging="654"/>
        <w:spacing w:after="0"/>
        <w:tabs>
          <w:tab w:leader="none" w:pos="6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Defnitve additonal materials.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680" w:hanging="654"/>
        <w:spacing w:after="0"/>
        <w:tabs>
          <w:tab w:leader="none" w:pos="6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Solicitng material under § 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504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9"/>
          <w:szCs w:val="29"/>
          <w:b w:val="1"/>
          <w:bCs w:val="1"/>
          <w:u w:val="single" w:color="auto"/>
          <w:color w:val="auto"/>
        </w:rPr>
        <w:t>HAWKINS, INC.</w:t>
      </w:r>
    </w:p>
    <w:p>
      <w:pPr>
        <w:jc w:val="center"/>
        <w:ind w:right="-1100"/>
        <w:spacing w:after="0" w:line="237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(Name of Registrant as Specifed in its Charter)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250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1"/>
          <w:szCs w:val="21"/>
          <w:color w:val="auto"/>
        </w:rPr>
        <w:t>__________________________________________________________</w:t>
      </w:r>
    </w:p>
    <w:p>
      <w:pPr>
        <w:jc w:val="right"/>
        <w:ind w:right="1379"/>
        <w:spacing w:after="0" w:line="228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(Name of Person(s) Filing Proxy Statement, if Other Than the Registrant)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Payment of fling fee (check all boxes that apply):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580" w:hanging="554"/>
        <w:spacing w:after="0"/>
        <w:tabs>
          <w:tab w:leader="none" w:pos="58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No fee required.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580" w:hanging="554"/>
        <w:spacing w:after="0"/>
        <w:tabs>
          <w:tab w:leader="none" w:pos="5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Fee paid previously with preliminary materials.</w:t>
      </w:r>
    </w:p>
    <w:p>
      <w:pPr>
        <w:spacing w:after="0" w:line="6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80" w:hanging="554"/>
        <w:spacing w:after="0"/>
        <w:tabs>
          <w:tab w:leader="none" w:pos="5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Fee computed on table in exhibit required by item 25(b) per Exchange Act Rules 14a-6(i) (1) and 0-11.</w:t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tbl>
      <w:tblPr>
        <w:tblLayout w:type="fixed"/>
        <w:tblInd w:w="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25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43"/>
                <w:szCs w:val="43"/>
                <w:color w:val="00527C"/>
              </w:rPr>
              <w:t xml:space="preserve">Your </w:t>
            </w:r>
            <w:r>
              <w:rPr>
                <w:rFonts w:ascii="Calibri" w:cs="Calibri" w:eastAsia="Calibri" w:hAnsi="Calibri"/>
                <w:sz w:val="43"/>
                <w:szCs w:val="43"/>
                <w:b w:val="1"/>
                <w:bCs w:val="1"/>
                <w:color w:val="00527C"/>
              </w:rPr>
              <w:t>Vote</w:t>
            </w:r>
            <w:r>
              <w:rPr>
                <w:rFonts w:ascii="Calibri" w:cs="Calibri" w:eastAsia="Calibri" w:hAnsi="Calibri"/>
                <w:sz w:val="43"/>
                <w:szCs w:val="43"/>
                <w:color w:val="00527C"/>
              </w:rPr>
              <w:t xml:space="preserve"> Counts!</w:t>
            </w:r>
          </w:p>
        </w:tc>
      </w:tr>
      <w:tr>
        <w:trPr>
          <w:trHeight w:val="233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jc w:val="right"/>
              <w:ind w:righ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00527C"/>
              </w:rPr>
              <w:t>HAWKINS, INC.</w:t>
            </w:r>
          </w:p>
        </w:tc>
      </w:tr>
      <w:tr>
        <w:trPr>
          <w:trHeight w:val="378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00" w:type="dxa"/>
            <w:vAlign w:val="bottom"/>
          </w:tcPr>
          <w:p>
            <w:pPr>
              <w:jc w:val="right"/>
              <w:ind w:righ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00527C"/>
              </w:rPr>
              <w:t>2024 Annual Meetng</w:t>
            </w:r>
          </w:p>
        </w:tc>
      </w:tr>
      <w:tr>
        <w:trPr>
          <w:trHeight w:val="202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3"/>
                <w:szCs w:val="13"/>
                <w:color w:val="00527C"/>
              </w:rPr>
              <w:t>HAWKINS, INC.</w:t>
            </w:r>
          </w:p>
        </w:tc>
        <w:tc>
          <w:tcPr>
            <w:tcW w:w="5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4"/>
                <w:szCs w:val="14"/>
                <w:color w:val="00527C"/>
              </w:rPr>
              <w:t>Vote by July 30, 2024 11:59 PM ET. For shares held in a</w:t>
            </w:r>
          </w:p>
        </w:tc>
      </w:tr>
      <w:tr>
        <w:trPr>
          <w:trHeight w:val="203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3"/>
                <w:szCs w:val="13"/>
                <w:color w:val="00527C"/>
              </w:rPr>
              <w:t>2381 ROSEGATE</w:t>
            </w:r>
          </w:p>
        </w:tc>
        <w:tc>
          <w:tcPr>
            <w:tcW w:w="5100" w:type="dxa"/>
            <w:vAlign w:val="bottom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4"/>
                <w:szCs w:val="14"/>
                <w:color w:val="00527C"/>
              </w:rPr>
              <w:t>Plan, vote by July 27, 2024 11:59 PM ET.</w:t>
            </w:r>
          </w:p>
        </w:tc>
      </w:tr>
      <w:tr>
        <w:trPr>
          <w:trHeight w:val="176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3"/>
                <w:szCs w:val="13"/>
                <w:color w:val="00527C"/>
              </w:rPr>
              <w:t>ROSEVILLE, MN 55113</w:t>
            </w:r>
          </w:p>
        </w:tc>
        <w:tc>
          <w:tcPr>
            <w:tcW w:w="5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4"/>
          <w:szCs w:val="14"/>
          <w:color w:val="auto"/>
        </w:rPr>
        <w:t>V53131-P14932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7"/>
          <w:szCs w:val="27"/>
          <w:b w:val="1"/>
          <w:bCs w:val="1"/>
          <w:color w:val="00527C"/>
        </w:rPr>
        <w:t>You invested in HAWKINS, INC. and it’s tme to vote!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 w:right="2120"/>
        <w:spacing w:after="0" w:line="263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6"/>
          <w:szCs w:val="16"/>
          <w:color w:val="00527C"/>
        </w:rPr>
        <w:t xml:space="preserve">You have the right to vote on proposals being presented at the Annual Meetng. </w:t>
      </w:r>
      <w:r>
        <w:rPr>
          <w:rFonts w:ascii="Calibri" w:cs="Calibri" w:eastAsia="Calibri" w:hAnsi="Calibri"/>
          <w:sz w:val="16"/>
          <w:szCs w:val="16"/>
          <w:b w:val="1"/>
          <w:bCs w:val="1"/>
          <w:color w:val="00527C"/>
        </w:rPr>
        <w:t>This is an important notce regarding the</w:t>
      </w:r>
      <w:r>
        <w:rPr>
          <w:rFonts w:ascii="Calibri" w:cs="Calibri" w:eastAsia="Calibri" w:hAnsi="Calibri"/>
          <w:sz w:val="16"/>
          <w:szCs w:val="16"/>
          <w:color w:val="00527C"/>
        </w:rPr>
        <w:t xml:space="preserve"> </w:t>
      </w:r>
      <w:r>
        <w:rPr>
          <w:rFonts w:ascii="Calibri" w:cs="Calibri" w:eastAsia="Calibri" w:hAnsi="Calibri"/>
          <w:sz w:val="16"/>
          <w:szCs w:val="16"/>
          <w:b w:val="1"/>
          <w:bCs w:val="1"/>
          <w:color w:val="00527C"/>
        </w:rPr>
        <w:t>availability of proxy material for the shareholder meetng to be held on July 31, 2024.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7"/>
          <w:szCs w:val="27"/>
          <w:b w:val="1"/>
          <w:bCs w:val="1"/>
          <w:color w:val="00527C"/>
        </w:rPr>
        <w:t>Get informed before you vote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6"/>
          <w:szCs w:val="16"/>
          <w:color w:val="00527C"/>
        </w:rPr>
        <w:t>View the Notce and Proxy Statement and Annual Report online OR you can receive a free paper or email copy of the material(s) by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 w:right="1560"/>
        <w:spacing w:after="0" w:line="218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6"/>
          <w:szCs w:val="16"/>
          <w:color w:val="00527C"/>
        </w:rPr>
        <w:t>requestng prior to July 17, 2024. If you would like to request a copy of the material(s) for this and/or future shareholder meetngs, you may (1) visit www.ProxyVote.com, (2) call 1-800-579-1639 or (3) send an email to sendmaterial@proxyvote.com. If sending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6"/>
          <w:szCs w:val="16"/>
          <w:color w:val="00527C"/>
        </w:rPr>
        <w:t>an email, please include your control number (indicated below) in the subject line. Unless requested, you will not otherwise receive a paper or email copy.</w:t>
      </w:r>
    </w:p>
    <w:p>
      <w:pPr>
        <w:sectPr>
          <w:pgSz w:w="11900" w:h="16838" w:orient="portrait"/>
          <w:cols w:equalWidth="0" w:num="1">
            <w:col w:w="10160"/>
          </w:cols>
          <w:pgMar w:left="980" w:top="1440" w:right="75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8"/>
          <w:szCs w:val="18"/>
          <w:b w:val="1"/>
          <w:bCs w:val="1"/>
          <w:color w:val="00527C"/>
        </w:rPr>
        <w:t>Smartphone users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center"/>
        <w:ind w:left="112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6"/>
          <w:szCs w:val="16"/>
          <w:color w:val="00527C"/>
        </w:rPr>
        <w:t>Point your camera here and vote</w:t>
      </w:r>
    </w:p>
    <w:p>
      <w:pPr>
        <w:jc w:val="center"/>
        <w:ind w:left="1080"/>
        <w:spacing w:after="0" w:line="199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6"/>
          <w:szCs w:val="16"/>
          <w:color w:val="00527C"/>
        </w:rPr>
        <w:t>without entering a</w:t>
      </w:r>
    </w:p>
    <w:p>
      <w:pPr>
        <w:ind w:left="2480"/>
        <w:spacing w:after="0" w:line="199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6"/>
          <w:szCs w:val="16"/>
          <w:color w:val="00527C"/>
        </w:rPr>
        <w:t>control number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1"/>
          <w:szCs w:val="21"/>
          <w:b w:val="1"/>
          <w:bCs w:val="1"/>
          <w:color w:val="00527C"/>
        </w:rPr>
        <w:t>Vote Virtually at the Meetng*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6"/>
          <w:szCs w:val="16"/>
          <w:color w:val="00527C"/>
        </w:rPr>
        <w:t>July 31, 2024</w:t>
      </w:r>
    </w:p>
    <w:p>
      <w:pPr>
        <w:ind w:left="1300"/>
        <w:spacing w:after="0" w:line="199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6"/>
          <w:szCs w:val="16"/>
          <w:color w:val="00527C"/>
        </w:rPr>
        <w:t>8:00 am CDT</w:t>
      </w: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6"/>
          <w:szCs w:val="16"/>
          <w:color w:val="00527C"/>
        </w:rPr>
        <w:t>Virtually at: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6"/>
          <w:szCs w:val="16"/>
          <w:color w:val="00527C"/>
        </w:rPr>
        <w:t>www.virtualshareholdermeetng.com/HWKN2024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860" w:space="720"/>
            <w:col w:w="4580"/>
          </w:cols>
          <w:pgMar w:left="980" w:top="1440" w:right="759" w:bottom="144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4"/>
          <w:szCs w:val="14"/>
          <w:color w:val="00527C"/>
        </w:rPr>
        <w:t>*Please check the meetng materials for any special requirements for meetng atendance.</w:t>
      </w:r>
    </w:p>
    <w:p>
      <w:pPr>
        <w:sectPr>
          <w:pgSz w:w="11900" w:h="16838" w:orient="portrait"/>
          <w:cols w:equalWidth="0" w:num="1">
            <w:col w:w="10160"/>
          </w:cols>
          <w:pgMar w:left="980" w:top="1440" w:right="759" w:bottom="1440" w:gutter="0" w:footer="0" w:header="0"/>
          <w:type w:val="continuous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7"/>
          <w:szCs w:val="27"/>
          <w:b w:val="1"/>
          <w:bCs w:val="1"/>
          <w:color w:val="007FB7"/>
        </w:rPr>
        <w:t>Vote at www.ProxyVote.com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-208915</wp:posOffset>
            </wp:positionH>
            <wp:positionV relativeFrom="paragraph">
              <wp:posOffset>180975</wp:posOffset>
            </wp:positionV>
            <wp:extent cx="637794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794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9"/>
          <w:szCs w:val="29"/>
          <w:b w:val="1"/>
          <w:bCs w:val="1"/>
          <w:color w:val="00527C"/>
        </w:rPr>
        <w:t>THIS IS NOT A VOTABLE BALLOT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8"/>
          <w:szCs w:val="18"/>
          <w:color w:val="00527C"/>
        </w:rPr>
        <w:t>This is an overview of the proposals being presented at the upcoming</w:t>
      </w:r>
    </w:p>
    <w:p>
      <w:pPr>
        <w:spacing w:after="0" w:line="235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8"/>
          <w:szCs w:val="18"/>
          <w:color w:val="00527C"/>
        </w:rPr>
        <w:t>shareholder meetng. Please follow the instructons on the reverse side</w:t>
      </w:r>
    </w:p>
    <w:p>
      <w:pPr>
        <w:spacing w:after="0" w:line="236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8"/>
          <w:szCs w:val="18"/>
          <w:color w:val="00527C"/>
        </w:rPr>
        <w:t>to vote these important maters.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ind w:left="918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6"/>
          <w:szCs w:val="16"/>
          <w:b w:val="1"/>
          <w:bCs w:val="1"/>
          <w:color w:val="00527C"/>
        </w:rPr>
        <w:t>Board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20"/>
        <w:spacing w:after="0"/>
        <w:tabs>
          <w:tab w:leader="none" w:pos="8840" w:val="left"/>
        </w:tabs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6"/>
          <w:szCs w:val="16"/>
          <w:b w:val="1"/>
          <w:bCs w:val="1"/>
          <w:color w:val="00527C"/>
        </w:rPr>
        <w:t>Votng Items</w:t>
      </w:r>
      <w:r>
        <w:rPr>
          <w:sz w:val="20"/>
          <w:szCs w:val="20"/>
          <w:color w:val="auto"/>
        </w:rPr>
        <w:tab/>
      </w:r>
      <w:r>
        <w:rPr>
          <w:rFonts w:ascii="Calibri" w:cs="Calibri" w:eastAsia="Calibri" w:hAnsi="Calibri"/>
          <w:sz w:val="16"/>
          <w:szCs w:val="16"/>
          <w:b w:val="1"/>
          <w:bCs w:val="1"/>
          <w:color w:val="00527C"/>
        </w:rPr>
        <w:t>Recommends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420" w:hanging="408"/>
        <w:spacing w:after="0"/>
        <w:tabs>
          <w:tab w:leader="none" w:pos="420" w:val="left"/>
        </w:tabs>
        <w:numPr>
          <w:ilvl w:val="0"/>
          <w:numId w:val="6"/>
        </w:numPr>
        <w:rPr>
          <w:rFonts w:ascii="Calibri" w:cs="Calibri" w:eastAsia="Calibri" w:hAnsi="Calibri"/>
          <w:sz w:val="18"/>
          <w:szCs w:val="18"/>
          <w:color w:val="00527C"/>
        </w:rPr>
      </w:pPr>
      <w:r>
        <w:rPr>
          <w:rFonts w:ascii="Calibri" w:cs="Calibri" w:eastAsia="Calibri" w:hAnsi="Calibri"/>
          <w:sz w:val="18"/>
          <w:szCs w:val="18"/>
          <w:color w:val="00527C"/>
        </w:rPr>
        <w:t>Electon of Directors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-130175</wp:posOffset>
            </wp:positionV>
            <wp:extent cx="6806565" cy="1414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6565" cy="141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00527C"/>
              </w:rPr>
              <w:t>Nominees:</w:t>
            </w:r>
          </w:p>
        </w:tc>
        <w:tc>
          <w:tcPr>
            <w:tcW w:w="5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00527C"/>
              </w:rPr>
              <w:t>01) James A. Faulconbridge</w:t>
            </w:r>
          </w:p>
        </w:tc>
        <w:tc>
          <w:tcPr>
            <w:tcW w:w="5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00527C"/>
              </w:rPr>
              <w:t>05) Daniel J. Stauber</w:t>
            </w:r>
          </w:p>
        </w:tc>
        <w:tc>
          <w:tcPr>
            <w:tcW w:w="1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00527C"/>
              </w:rPr>
              <w:t xml:space="preserve">R </w:t>
            </w:r>
            <w:r>
              <w:rPr>
                <w:rFonts w:ascii="Calibri" w:cs="Calibri" w:eastAsia="Calibri" w:hAnsi="Calibri"/>
                <w:sz w:val="21"/>
                <w:szCs w:val="21"/>
                <w:b w:val="1"/>
                <w:bCs w:val="1"/>
                <w:color w:val="00527C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00527C"/>
              </w:rPr>
              <w:t>02) Patrick H. Hawkins</w:t>
            </w:r>
          </w:p>
        </w:tc>
        <w:tc>
          <w:tcPr>
            <w:tcW w:w="5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00527C"/>
              </w:rPr>
              <w:t>06) James T. Thompson</w:t>
            </w: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00527C"/>
              </w:rPr>
              <w:t>03) Yi “Faith” Tang</w:t>
            </w:r>
          </w:p>
        </w:tc>
        <w:tc>
          <w:tcPr>
            <w:tcW w:w="5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00527C"/>
              </w:rPr>
              <w:t>07) Jefrey L. Wright</w:t>
            </w: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00527C"/>
              </w:rPr>
              <w:t>04) Mary J. Schumacher</w:t>
            </w:r>
          </w:p>
        </w:tc>
        <w:tc>
          <w:tcPr>
            <w:tcW w:w="5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00527C"/>
              </w:rPr>
              <w:t>08) Jefrey E. Spethmann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80" w:type="dxa"/>
            <w:vAlign w:val="bottom"/>
            <w:tcBorders>
              <w:bottom w:val="single" w:sz="8" w:color="00527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560" w:type="dxa"/>
            <w:vAlign w:val="bottom"/>
            <w:tcBorders>
              <w:bottom w:val="single" w:sz="8" w:color="00527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527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80" w:type="dxa"/>
            <w:vAlign w:val="bottom"/>
          </w:tcPr>
          <w:p>
            <w:pPr>
              <w:ind w:left="2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7"/>
                <w:szCs w:val="17"/>
                <w:color w:val="00527C"/>
              </w:rPr>
              <w:t>2.</w:t>
            </w:r>
          </w:p>
        </w:tc>
        <w:tc>
          <w:tcPr>
            <w:tcW w:w="8560" w:type="dxa"/>
            <w:vAlign w:val="bottom"/>
            <w:gridSpan w:val="2"/>
          </w:tcPr>
          <w:p>
            <w:pPr>
              <w:ind w:left="14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7"/>
                <w:szCs w:val="17"/>
                <w:color w:val="00527C"/>
              </w:rPr>
              <w:t>Ratfcaton of the appointment of Grant Thornton LLP to serve as our independent registered public accountng frm</w:t>
            </w:r>
          </w:p>
        </w:tc>
        <w:tc>
          <w:tcPr>
            <w:tcW w:w="1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00527C"/>
              </w:rPr>
              <w:t xml:space="preserve">R </w:t>
            </w:r>
            <w:r>
              <w:rPr>
                <w:rFonts w:ascii="Calibri" w:cs="Calibri" w:eastAsia="Calibri" w:hAnsi="Calibri"/>
                <w:sz w:val="21"/>
                <w:szCs w:val="21"/>
                <w:b w:val="1"/>
                <w:bCs w:val="1"/>
                <w:color w:val="00527C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80" w:type="dxa"/>
            <w:vAlign w:val="bottom"/>
            <w:tcBorders>
              <w:bottom w:val="single" w:sz="8" w:color="00527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00527C"/>
            </w:tcBorders>
          </w:tcPr>
          <w:p>
            <w:pPr>
              <w:ind w:left="1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00527C"/>
              </w:rPr>
              <w:t>for the fscal year ending March 30, 2025.</w:t>
            </w:r>
          </w:p>
        </w:tc>
        <w:tc>
          <w:tcPr>
            <w:tcW w:w="5240" w:type="dxa"/>
            <w:vAlign w:val="bottom"/>
            <w:tcBorders>
              <w:bottom w:val="single" w:sz="8" w:color="00527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527C"/>
            </w:tcBorders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80" w:type="dxa"/>
            <w:vAlign w:val="bottom"/>
          </w:tcPr>
          <w:p>
            <w:pPr>
              <w:ind w:left="2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00527C"/>
              </w:rPr>
              <w:t>3</w:t>
            </w:r>
          </w:p>
        </w:tc>
        <w:tc>
          <w:tcPr>
            <w:tcW w:w="8560" w:type="dxa"/>
            <w:vAlign w:val="bottom"/>
            <w:gridSpan w:val="2"/>
          </w:tcPr>
          <w:p>
            <w:pPr>
              <w:ind w:left="14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color w:val="00527C"/>
              </w:rPr>
              <w:t>Non-binding advisory vote to approve executve compensaton (“say-on-pay”).</w:t>
            </w:r>
          </w:p>
        </w:tc>
        <w:tc>
          <w:tcPr>
            <w:tcW w:w="1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00527C"/>
              </w:rPr>
              <w:t xml:space="preserve">R </w:t>
            </w:r>
            <w:r>
              <w:rPr>
                <w:rFonts w:ascii="Calibri" w:cs="Calibri" w:eastAsia="Calibri" w:hAnsi="Calibri"/>
                <w:sz w:val="21"/>
                <w:szCs w:val="21"/>
                <w:b w:val="1"/>
                <w:bCs w:val="1"/>
                <w:color w:val="00527C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20" w:right="740"/>
        <w:spacing w:after="0" w:line="193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8"/>
          <w:szCs w:val="18"/>
          <w:b w:val="1"/>
          <w:bCs w:val="1"/>
          <w:color w:val="00527C"/>
        </w:rPr>
        <w:t>NOTE</w:t>
      </w:r>
      <w:r>
        <w:rPr>
          <w:rFonts w:ascii="Calibri" w:cs="Calibri" w:eastAsia="Calibri" w:hAnsi="Calibri"/>
          <w:sz w:val="18"/>
          <w:szCs w:val="18"/>
          <w:color w:val="00527C"/>
        </w:rPr>
        <w:t>: If any other maters properly come before the meetng or any adjournment thereof calling for a vote of shareholders, then the shares</w:t>
      </w:r>
      <w:r>
        <w:rPr>
          <w:rFonts w:ascii="Calibri" w:cs="Calibri" w:eastAsia="Calibri" w:hAnsi="Calibri"/>
          <w:sz w:val="18"/>
          <w:szCs w:val="18"/>
          <w:b w:val="1"/>
          <w:bCs w:val="1"/>
          <w:color w:val="00527C"/>
        </w:rPr>
        <w:t xml:space="preserve"> </w:t>
      </w:r>
      <w:r>
        <w:rPr>
          <w:rFonts w:ascii="Calibri" w:cs="Calibri" w:eastAsia="Calibri" w:hAnsi="Calibri"/>
          <w:sz w:val="18"/>
          <w:szCs w:val="18"/>
          <w:color w:val="00527C"/>
        </w:rPr>
        <w:t>represented by this proxy will be voted by the persons named herein in accordance with their best judgment.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24130</wp:posOffset>
            </wp:positionV>
            <wp:extent cx="680656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6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>Prefer to receive an email instead? While voting on www.ProxyVote.com, be sure to click “Delivery Settings”.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-127635</wp:posOffset>
            </wp:positionV>
            <wp:extent cx="6566535" cy="145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6535" cy="145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3"/>
          <w:szCs w:val="13"/>
          <w:color w:val="363435"/>
        </w:rPr>
        <w:t>V53132-P14932</w:t>
      </w:r>
    </w:p>
    <w:sectPr>
      <w:pgSz w:w="11900" w:h="16838" w:orient="portrait"/>
      <w:cols w:equalWidth="0" w:num="1">
        <w:col w:w="10720"/>
      </w:cols>
      <w:pgMar w:left="820" w:top="632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☑"/>
      <w:numFmt w:val="bullet"/>
      <w:start w:val="1"/>
    </w:lvl>
  </w:abstractNum>
  <w:abstractNum w:abstractNumId="2">
    <w:nsid w:val="238E1F29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46E87CCD"/>
    <w:multiLevelType w:val="hybridMultilevel"/>
    <w:lvl w:ilvl="0">
      <w:lvlJc w:val="left"/>
      <w:lvlText w:val="☑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☐"/>
      <w:numFmt w:val="bullet"/>
      <w:start w:val="1"/>
    </w:lvl>
  </w:abstractNum>
  <w:abstractNum w:abstractNumId="5">
    <w:nsid w:val="507ED7AB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2024-06-21T05:18:36Z</dcterms:created>
  <dcterms:modified xsi:type="dcterms:W3CDTF">2024-06-21T05:18:36Z</dcterms:modified>
</cp:coreProperties>
</file>