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1"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36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 INFORMATION</w:t>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Proxy Statement Pursuant to Secton 14(a) of the Securites</w:t>
      </w:r>
    </w:p>
    <w:p>
      <w:pPr>
        <w:spacing w:after="0" w:line="6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Exchange Act of 1934</w:t>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Confdental, for use of the Commission only (as permited by Rule 14A-6(e)(2))</w:t>
      </w:r>
    </w:p>
    <w:p>
      <w:pPr>
        <w:spacing w:after="0" w:line="77"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Defnitve proxy statement.</w:t>
      </w:r>
    </w:p>
    <w:p>
      <w:pPr>
        <w:spacing w:after="0" w:line="90" w:lineRule="exact"/>
        <w:rPr>
          <w:sz w:val="24"/>
          <w:szCs w:val="24"/>
          <w:color w:val="auto"/>
        </w:rPr>
      </w:pPr>
    </w:p>
    <w:p>
      <w:pPr>
        <w:ind w:left="700" w:hanging="674"/>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Defnitve additonal materials.</w:t>
      </w:r>
    </w:p>
    <w:p>
      <w:pPr>
        <w:spacing w:after="0" w:line="76" w:lineRule="exact"/>
        <w:rPr>
          <w:rFonts w:ascii="MS PGothic" w:cs="MS PGothic" w:eastAsia="MS PGothic" w:hAnsi="MS PGothic"/>
          <w:sz w:val="18"/>
          <w:szCs w:val="18"/>
          <w:color w:val="auto"/>
        </w:rPr>
      </w:pPr>
    </w:p>
    <w:p>
      <w:pPr>
        <w:ind w:left="700" w:hanging="674"/>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Solicitng material under § 240.14a-12</w:t>
      </w:r>
    </w:p>
    <w:p>
      <w:pPr>
        <w:spacing w:after="0" w:line="200" w:lineRule="exact"/>
        <w:rPr>
          <w:sz w:val="24"/>
          <w:szCs w:val="24"/>
          <w:color w:val="auto"/>
        </w:rPr>
      </w:pPr>
    </w:p>
    <w:p>
      <w:pPr>
        <w:spacing w:after="0" w:line="292" w:lineRule="exact"/>
        <w:rPr>
          <w:sz w:val="24"/>
          <w:szCs w:val="24"/>
          <w:color w:val="auto"/>
        </w:rPr>
      </w:pPr>
    </w:p>
    <w:p>
      <w:pPr>
        <w:ind w:left="5040"/>
        <w:spacing w:after="0"/>
        <w:rPr>
          <w:sz w:val="20"/>
          <w:szCs w:val="20"/>
          <w:color w:val="auto"/>
        </w:rPr>
      </w:pPr>
      <w:r>
        <w:rPr>
          <w:rFonts w:ascii="Arial" w:cs="Arial" w:eastAsia="Arial" w:hAnsi="Arial"/>
          <w:sz w:val="29"/>
          <w:szCs w:val="29"/>
          <w:b w:val="1"/>
          <w:bCs w:val="1"/>
          <w:u w:val="single" w:color="auto"/>
          <w:color w:val="auto"/>
        </w:rPr>
        <w:t>HAWKINS, INC.</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Specifed in its Charter)</w:t>
      </w:r>
    </w:p>
    <w:p>
      <w:pPr>
        <w:spacing w:after="0" w:line="88"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__________________________________________________________</w:t>
      </w:r>
    </w:p>
    <w:p>
      <w:pPr>
        <w:spacing w:after="0" w:line="43"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Payment of fling fee (check all boxes that apply):</w:t>
      </w:r>
    </w:p>
    <w:p>
      <w:pPr>
        <w:spacing w:after="0" w:line="50"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20" w:hanging="594"/>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620" w:hanging="594"/>
        <w:spacing w:after="0"/>
        <w:tabs>
          <w:tab w:leader="none" w:pos="6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 (1)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6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637540</wp:posOffset>
            </wp:positionV>
            <wp:extent cx="1637030"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HAWKINS,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2381 Rosegate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 55113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August 2,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Annual Meetng of Shareholders of Hawkins, Inc. will be held on Wednesday, August 2, 2023, at 8:00 a.m., Central Time. The meetng will be completely virtual, incorporatng technology designed to increase efciency and provide greater opportunity for shareholder partcipaton. In additon to on-line atendance, shareholders will have an opportunity to hear all portons of the ofcial meetng, submit writen questons during the meetng, vote on-line during the open poll porton of the meetng, and listen to live responses to shareholder questons immediately following the formal meetng.</w:t>
      </w:r>
    </w:p>
    <w:p>
      <w:pPr>
        <w:spacing w:after="0" w:line="20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 xml:space="preserve">You may atend the meetng, vote your shares, and submit questons electronically during the meetng via live webcast by logging in using your control number at: </w:t>
      </w:r>
      <w:r>
        <w:rPr>
          <w:rFonts w:ascii="Arial" w:cs="Arial" w:eastAsia="Arial" w:hAnsi="Arial"/>
          <w:sz w:val="18"/>
          <w:szCs w:val="18"/>
          <w:b w:val="1"/>
          <w:bCs w:val="1"/>
          <w:color w:val="auto"/>
        </w:rPr>
        <w:t>www.virtualshareholdermeetng.com/HWKN2023</w:t>
      </w:r>
      <w:r>
        <w:rPr>
          <w:rFonts w:ascii="Arial" w:cs="Arial" w:eastAsia="Arial" w:hAnsi="Arial"/>
          <w:sz w:val="18"/>
          <w:szCs w:val="18"/>
          <w:color w:val="auto"/>
        </w:rPr>
        <w:t>.</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476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6500" cy="8255"/>
                    </a:xfrm>
                    <a:prstGeom prst="rect">
                      <a:avLst/>
                    </a:prstGeom>
                    <a:noFill/>
                  </pic:spPr>
                </pic:pic>
              </a:graphicData>
            </a:graphic>
          </wp:anchor>
        </w:drawing>
      </w:r>
    </w:p>
    <w:p>
      <w:pPr>
        <w:spacing w:after="0" w:line="90" w:lineRule="exact"/>
        <w:rPr>
          <w:sz w:val="20"/>
          <w:szCs w:val="20"/>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103" w:lineRule="exact"/>
        <w:rPr>
          <w:rFonts w:ascii="Arial" w:cs="Arial" w:eastAsia="Arial" w:hAnsi="Arial"/>
          <w:sz w:val="18"/>
          <w:szCs w:val="18"/>
          <w:color w:val="auto"/>
        </w:rPr>
      </w:pPr>
    </w:p>
    <w:p>
      <w:pPr>
        <w:ind w:left="500" w:right="60" w:hanging="168"/>
        <w:spacing w:after="0" w:line="273" w:lineRule="auto"/>
        <w:tabs>
          <w:tab w:leader="none" w:pos="5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ratfy the appointment of Grant Thornton LLP to serve as our independent registered public accountng frm for the fscal year ending March 31, 2024.</w:t>
      </w:r>
    </w:p>
    <w:p>
      <w:pPr>
        <w:spacing w:after="0" w:line="42" w:lineRule="exact"/>
        <w:rPr>
          <w:rFonts w:ascii="Arial" w:cs="Arial" w:eastAsia="Arial" w:hAnsi="Arial"/>
          <w:sz w:val="18"/>
          <w:szCs w:val="18"/>
          <w:color w:val="auto"/>
        </w:rPr>
      </w:pPr>
    </w:p>
    <w:p>
      <w:pPr>
        <w:ind w:left="500" w:right="100" w:hanging="168"/>
        <w:spacing w:after="0" w:line="273" w:lineRule="auto"/>
        <w:tabs>
          <w:tab w:leader="none" w:pos="5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compensaton of our executve ofcers as disclosed in the atached proxy statement, or a “say-on-pay” vote.</w:t>
      </w:r>
    </w:p>
    <w:p>
      <w:pPr>
        <w:spacing w:after="0" w:line="5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advise in a non-binding vote to recommend the frequency of future say-on-pay votes, or a "say when-on-pay" vote.</w:t>
      </w:r>
    </w:p>
    <w:p>
      <w:pPr>
        <w:spacing w:after="0" w:line="103"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meetng or any adjournment thereof.</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03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fxed the close of business on June 7, 2023 as the record date for determining the shareholders enttled to vote at the meetng.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Accordingly, only shareholders of record at the close of business on that date will be enttled to vote. Our transfer books will not be closed.</w:t>
      </w:r>
    </w:p>
    <w:p>
      <w:pPr>
        <w:spacing w:after="0" w:line="3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206375</wp:posOffset>
            </wp:positionV>
            <wp:extent cx="1885950"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20, 2023</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IMPORTANT: To assure the necessary representaton at the meetng, you are urged to VOTE YOUR SHARES PROMPTLY to save the company the expense of additonal solicitaton. You may revoke your proxy at any tme prior to the meetng, and votng in advance will not afect your right to vote by atending the virtual meetng via the website identfed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Proxy Statement</w:t>
            </w:r>
          </w:p>
        </w:tc>
        <w:tc>
          <w:tcPr>
            <w:tcW w:w="300" w:type="dxa"/>
            <w:vAlign w:val="bottom"/>
          </w:tcPr>
          <w:p>
            <w:pPr>
              <w:spacing w:after="0"/>
              <w:rPr>
                <w:sz w:val="19"/>
                <w:szCs w:val="19"/>
                <w:color w:val="auto"/>
              </w:rPr>
            </w:pPr>
          </w:p>
        </w:tc>
        <w:tc>
          <w:tcPr>
            <w:tcW w:w="24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0000FF"/>
                <w:w w:val="99"/>
              </w:rPr>
              <w:t>1</w:t>
            </w:r>
          </w:p>
        </w:tc>
        <w:tc>
          <w:tcPr>
            <w:tcW w:w="120" w:type="dxa"/>
            <w:vAlign w:val="bottom"/>
            <w:tcBorders>
              <w:top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About the Annual Meetng</w:t>
            </w:r>
          </w:p>
        </w:tc>
        <w:tc>
          <w:tcPr>
            <w:tcW w:w="4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540" w:type="dxa"/>
            <w:vAlign w:val="bottom"/>
            <w:gridSpan w:val="3"/>
          </w:tcPr>
          <w:p>
            <w:pPr>
              <w:jc w:val="center"/>
              <w:ind w:left="350"/>
              <w:spacing w:after="0"/>
              <w:rPr>
                <w:sz w:val="20"/>
                <w:szCs w:val="20"/>
                <w:color w:val="auto"/>
              </w:rPr>
            </w:pPr>
            <w:r>
              <w:rPr>
                <w:rFonts w:ascii="Arial" w:cs="Arial" w:eastAsia="Arial" w:hAnsi="Arial"/>
                <w:sz w:val="18"/>
                <w:szCs w:val="18"/>
                <w:color w:val="0000FF"/>
                <w:w w:val="99"/>
              </w:rPr>
              <w:t>2</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 One – Electon of Directors</w:t>
            </w:r>
          </w:p>
        </w:tc>
        <w:tc>
          <w:tcPr>
            <w:tcW w:w="4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40" w:type="dxa"/>
            <w:vAlign w:val="bottom"/>
            <w:gridSpan w:val="3"/>
          </w:tcPr>
          <w:p>
            <w:pPr>
              <w:jc w:val="center"/>
              <w:ind w:left="350"/>
              <w:spacing w:after="0"/>
              <w:rPr>
                <w:sz w:val="20"/>
                <w:szCs w:val="20"/>
                <w:color w:val="auto"/>
              </w:rPr>
            </w:pPr>
            <w:r>
              <w:rPr>
                <w:rFonts w:ascii="Arial" w:cs="Arial" w:eastAsia="Arial" w:hAnsi="Arial"/>
                <w:sz w:val="18"/>
                <w:szCs w:val="18"/>
                <w:color w:val="0000FF"/>
                <w:w w:val="99"/>
              </w:rPr>
              <w:t>4</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Governance</w:t>
            </w:r>
          </w:p>
        </w:tc>
        <w:tc>
          <w:tcPr>
            <w:tcW w:w="4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540" w:type="dxa"/>
            <w:vAlign w:val="bottom"/>
            <w:gridSpan w:val="3"/>
          </w:tcPr>
          <w:p>
            <w:pPr>
              <w:jc w:val="center"/>
              <w:ind w:left="350"/>
              <w:spacing w:after="0"/>
              <w:rPr>
                <w:sz w:val="20"/>
                <w:szCs w:val="20"/>
                <w:color w:val="auto"/>
              </w:rPr>
            </w:pPr>
            <w:r>
              <w:rPr>
                <w:rFonts w:ascii="Arial" w:cs="Arial" w:eastAsia="Arial" w:hAnsi="Arial"/>
                <w:sz w:val="18"/>
                <w:szCs w:val="18"/>
                <w:color w:val="0000FF"/>
                <w:w w:val="99"/>
              </w:rPr>
              <w:t>7</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Environmental, Social and Governance Principles</w:t>
            </w:r>
          </w:p>
        </w:tc>
        <w:tc>
          <w:tcPr>
            <w:tcW w:w="4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10</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 Two - Ratfcaton of Appointment of Independent Registered Public Accountng Firm</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Compensaton of Executve Ofcers and Directors</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12</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ind w:left="400"/>
              <w:spacing w:after="0"/>
              <w:rPr>
                <w:sz w:val="20"/>
                <w:szCs w:val="20"/>
                <w:color w:val="auto"/>
              </w:rPr>
            </w:pPr>
            <w:r>
              <w:rPr>
                <w:rFonts w:ascii="Arial" w:cs="Arial" w:eastAsia="Arial" w:hAnsi="Arial"/>
                <w:sz w:val="18"/>
                <w:szCs w:val="18"/>
                <w:color w:val="auto"/>
              </w:rPr>
              <w:t>Compensaton Discussion and Analysis</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12</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400"/>
              <w:spacing w:after="0"/>
              <w:rPr>
                <w:sz w:val="20"/>
                <w:szCs w:val="20"/>
                <w:color w:val="auto"/>
              </w:rPr>
            </w:pPr>
            <w:r>
              <w:rPr>
                <w:rFonts w:ascii="Arial" w:cs="Arial" w:eastAsia="Arial" w:hAnsi="Arial"/>
                <w:sz w:val="18"/>
                <w:szCs w:val="18"/>
                <w:color w:val="auto"/>
              </w:rPr>
              <w:t>Compensaton Commitee Report</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19</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400"/>
              <w:spacing w:after="0"/>
              <w:rPr>
                <w:sz w:val="20"/>
                <w:szCs w:val="20"/>
                <w:color w:val="auto"/>
              </w:rPr>
            </w:pPr>
            <w:r>
              <w:rPr>
                <w:rFonts w:ascii="Arial" w:cs="Arial" w:eastAsia="Arial" w:hAnsi="Arial"/>
                <w:sz w:val="18"/>
                <w:szCs w:val="18"/>
                <w:color w:val="auto"/>
              </w:rPr>
              <w:t>Summary Compensaton Table</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20</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400"/>
              <w:spacing w:after="0"/>
              <w:rPr>
                <w:sz w:val="20"/>
                <w:szCs w:val="20"/>
                <w:color w:val="auto"/>
              </w:rPr>
            </w:pPr>
            <w:r>
              <w:rPr>
                <w:rFonts w:ascii="Arial" w:cs="Arial" w:eastAsia="Arial" w:hAnsi="Arial"/>
                <w:sz w:val="18"/>
                <w:szCs w:val="18"/>
                <w:color w:val="auto"/>
              </w:rPr>
              <w:t>Grants of Plan-Based Awards</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21</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ind w:left="400"/>
              <w:spacing w:after="0"/>
              <w:rPr>
                <w:sz w:val="20"/>
                <w:szCs w:val="20"/>
                <w:color w:val="auto"/>
              </w:rPr>
            </w:pPr>
            <w:r>
              <w:rPr>
                <w:rFonts w:ascii="Arial" w:cs="Arial" w:eastAsia="Arial" w:hAnsi="Arial"/>
                <w:sz w:val="18"/>
                <w:szCs w:val="18"/>
                <w:color w:val="auto"/>
              </w:rPr>
              <w:t>Outstanding Equity Awards at 2023 Fiscal Year-End</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22</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400"/>
              <w:spacing w:after="0"/>
              <w:rPr>
                <w:sz w:val="20"/>
                <w:szCs w:val="20"/>
                <w:color w:val="auto"/>
              </w:rPr>
            </w:pPr>
            <w:r>
              <w:rPr>
                <w:rFonts w:ascii="Arial" w:cs="Arial" w:eastAsia="Arial" w:hAnsi="Arial"/>
                <w:sz w:val="18"/>
                <w:szCs w:val="18"/>
                <w:color w:val="auto"/>
              </w:rPr>
              <w:t>Stock Vested</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23</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ind w:left="400"/>
              <w:spacing w:after="0"/>
              <w:rPr>
                <w:sz w:val="20"/>
                <w:szCs w:val="20"/>
                <w:color w:val="auto"/>
              </w:rPr>
            </w:pPr>
            <w:r>
              <w:rPr>
                <w:rFonts w:ascii="Arial" w:cs="Arial" w:eastAsia="Arial" w:hAnsi="Arial"/>
                <w:sz w:val="18"/>
                <w:szCs w:val="18"/>
                <w:color w:val="auto"/>
              </w:rPr>
              <w:t>Nonqualifed Deferred Compensaton</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23</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400"/>
              <w:spacing w:after="0"/>
              <w:rPr>
                <w:sz w:val="20"/>
                <w:szCs w:val="20"/>
                <w:color w:val="auto"/>
              </w:rPr>
            </w:pPr>
            <w:r>
              <w:rPr>
                <w:rFonts w:ascii="Arial" w:cs="Arial" w:eastAsia="Arial" w:hAnsi="Arial"/>
                <w:sz w:val="18"/>
                <w:szCs w:val="18"/>
                <w:color w:val="auto"/>
              </w:rPr>
              <w:t>Potental Payments Upon Terminaton or Change in Control</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23</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400"/>
              <w:spacing w:after="0"/>
              <w:rPr>
                <w:sz w:val="20"/>
                <w:szCs w:val="20"/>
                <w:color w:val="auto"/>
              </w:rPr>
            </w:pPr>
            <w:r>
              <w:rPr>
                <w:rFonts w:ascii="Arial" w:cs="Arial" w:eastAsia="Arial" w:hAnsi="Arial"/>
                <w:sz w:val="18"/>
                <w:szCs w:val="18"/>
                <w:color w:val="auto"/>
              </w:rPr>
              <w:t>CEO Pay Rato</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27</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400"/>
              <w:spacing w:after="0"/>
              <w:rPr>
                <w:sz w:val="20"/>
                <w:szCs w:val="20"/>
                <w:color w:val="auto"/>
              </w:rPr>
            </w:pPr>
            <w:r>
              <w:rPr>
                <w:rFonts w:ascii="Arial" w:cs="Arial" w:eastAsia="Arial" w:hAnsi="Arial"/>
                <w:sz w:val="18"/>
                <w:szCs w:val="18"/>
                <w:color w:val="auto"/>
              </w:rPr>
              <w:t>Director Compensaton for Fiscal 2023</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27</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400"/>
              <w:spacing w:after="0"/>
              <w:rPr>
                <w:sz w:val="20"/>
                <w:szCs w:val="20"/>
                <w:color w:val="auto"/>
              </w:rPr>
            </w:pPr>
            <w:r>
              <w:rPr>
                <w:rFonts w:ascii="Arial" w:cs="Arial" w:eastAsia="Arial" w:hAnsi="Arial"/>
                <w:sz w:val="18"/>
                <w:szCs w:val="18"/>
                <w:color w:val="auto"/>
              </w:rPr>
              <w:t>Compensaton Commitee Interlocks and Insider Partcipaton</w:t>
            </w: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28</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 Versus Performance</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28</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Compensaton Plan Informaton</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32</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Security Ownership of Management and Benefcial Ownership</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33</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Delinquent Secton 16(a) Reports</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34</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Related Party Transactons</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34</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 Three – Advisory Vote to Approve Executve Compensaton</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35</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0"/>
              </w:rPr>
              <w:t>Proposal Four – Advisory Vote to Recommend the Frequency of Advisory Votes to Approve our Executve Ofcer</w:t>
            </w:r>
          </w:p>
        </w:tc>
        <w:tc>
          <w:tcPr>
            <w:tcW w:w="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40" w:type="dxa"/>
            <w:vAlign w:val="bottom"/>
            <w:gridSpan w:val="3"/>
            <w:vMerge w:val="restart"/>
          </w:tcPr>
          <w:p>
            <w:pPr>
              <w:jc w:val="center"/>
              <w:ind w:left="270"/>
              <w:spacing w:after="0"/>
              <w:rPr>
                <w:sz w:val="20"/>
                <w:szCs w:val="20"/>
                <w:color w:val="auto"/>
              </w:rPr>
            </w:pPr>
            <w:r>
              <w:rPr>
                <w:rFonts w:ascii="Arial" w:cs="Arial" w:eastAsia="Arial" w:hAnsi="Arial"/>
                <w:sz w:val="18"/>
                <w:szCs w:val="18"/>
                <w:color w:val="0000FF"/>
                <w:w w:val="89"/>
              </w:rPr>
              <w:t>36</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Compensaton Practces</w:t>
            </w:r>
          </w:p>
        </w:tc>
        <w:tc>
          <w:tcPr>
            <w:tcW w:w="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Maters</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37</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Proposals by Shareholders</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37</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Form 10-K</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37</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Householding</w:t>
            </w:r>
          </w:p>
        </w:tc>
        <w:tc>
          <w:tcPr>
            <w:tcW w:w="4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Arial" w:cs="Arial" w:eastAsia="Arial" w:hAnsi="Arial"/>
                <w:sz w:val="18"/>
                <w:szCs w:val="18"/>
                <w:color w:val="0000FF"/>
                <w:w w:val="89"/>
              </w:rPr>
              <w:t>37</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6"/>
        </w:trPr>
        <w:tc>
          <w:tcPr>
            <w:tcW w:w="8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HAWKINS, INC.</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2381 Rosegate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Roseville, Minnesota 55113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20, 2023</w:t>
      </w:r>
    </w:p>
    <w:p>
      <w:pPr>
        <w:spacing w:after="0" w:line="2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proxy statement is furnished in connecton with the solicitaton of proxies by the Board of Directors (the “Board”) of Hawkins, Inc. to be voted at its Annual Meetng of Shareholders (the “Annual Meetng”) to be held on Wednesday, August 2, 2023, commencing at 8:00 a.m., Central Time. The Annual Meetng will be completely virtual, incorporatng technology designed to increase efciency and provide greater opportunites for shareholder partcipaton. In additon to on-line atendance, shareholders will have an opportunity to hear all portons of the ofcial Annual Meetng and vote on-line during the open poll porton of the meetng.</w:t>
      </w:r>
    </w:p>
    <w:p>
      <w:pPr>
        <w:spacing w:after="0" w:line="213"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b w:val="1"/>
          <w:bCs w:val="1"/>
          <w:color w:val="auto"/>
        </w:rPr>
        <w:t>IMPORTANT NOTICE REGARDING THE AVAILABILITY OF PROXY MATERIALS FOR THE SHAREHOLDER MEETING TO BE HELD ON AUGUST 2, 2023</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mail to our shareholders a Notce of Internet Availability of Proxy Materials (the "Notce") on or about June 20, 2023. You may not receive a printed copy of our proxy statement, annual report or a proxy card. Instead, the Notce or another votng instructon form from your broker or nominee (a "VIF") will instruct you as to how you may access and review our proxy statement and annual report electronically. The Notce or VIF will also provide instructons on how to vote online or by telephone or request a full set of printed materials and a physical proxy card for votng by mail. This proxy statement and our annual report can be accessed directly at the Internet address htps://materials.proxyvote.com/420261 or at www.proxyvote.com using the 16-digit control number located on your proxy card.</w:t>
      </w:r>
    </w:p>
    <w:p>
      <w:pPr>
        <w:spacing w:after="0" w:line="21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You may atend the Annual Meetng, vote your shares and submit questons electronically during the meetng via live webcast by logging in at: </w:t>
      </w:r>
      <w:r>
        <w:rPr>
          <w:rFonts w:ascii="Arial" w:cs="Arial" w:eastAsia="Arial" w:hAnsi="Arial"/>
          <w:sz w:val="18"/>
          <w:szCs w:val="18"/>
          <w:b w:val="1"/>
          <w:bCs w:val="1"/>
          <w:color w:val="auto"/>
        </w:rPr>
        <w:t>www.virtualshareholdermeetng.com/HWKN2023</w:t>
      </w:r>
      <w:r>
        <w:rPr>
          <w:rFonts w:ascii="Arial" w:cs="Arial" w:eastAsia="Arial" w:hAnsi="Arial"/>
          <w:sz w:val="18"/>
          <w:szCs w:val="18"/>
          <w:color w:val="auto"/>
        </w:rPr>
        <w:t>. You will need the 16-digit control number included on your proxy card or on the Notce to join the</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Annual Meetng. We recommend that you log in at least ffeen minutes before the Annual Meetng to ensure you are logged in when the meetng starts.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5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cost of solicitng proxies and of the notces of the meetng, including the preparaton, assembly and mailing of proxies and this proxy statement, will be borne by us. In additon to the use of the mail, proxies may be solicited personally or by telephone, mail or electronic mail by our directors, ofcers and regular employees. Furthermore, arrangements may be made with brokers, banks and similar organizatons to send proxies and proxy materials to benefcial owners for votng instructons. We will reimburse such organizatons for their reasonable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ABOUT THE ANNUAL MEETING</w:t>
      </w:r>
    </w:p>
    <w:p>
      <w:pPr>
        <w:spacing w:after="0" w:line="27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Our Board is solicitng your proxy to vote at the meetng because you were a shareholder of Hawkins, Inc. as of June 7, 2023, or the “record date,” and are enttled to vote. This proxy statement summarizes informaton you need to know to cast a vote at the meetng.</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votng 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You are votng on four items:</w:t>
      </w:r>
    </w:p>
    <w:p>
      <w:pPr>
        <w:spacing w:after="0" w:line="2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Electon of eight directors named in this proxy statement;</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Ratfcaton of the appointment of Grant Thornton, LLP to serve as our independent registered public accountng frm for the fscal year ending March 31, 2024;</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by non-binding advisory vote, of the compensaton of our named executve ofcers; and,</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Advise in a non-binding vote to recommend the frequency of future say-on-pay votes, or a “say when-on-pay” vote.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there are four ways to vote:</w:t>
      </w:r>
    </w:p>
    <w:p>
      <w:pPr>
        <w:spacing w:after="0" w:line="2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1-800-690-6903</w:t>
      </w:r>
    </w:p>
    <w:p>
      <w:pPr>
        <w:spacing w:after="0" w:line="9" w:lineRule="exact"/>
        <w:rPr>
          <w:rFonts w:ascii="Arial" w:cs="Arial" w:eastAsia="Arial" w:hAnsi="Arial"/>
          <w:sz w:val="18"/>
          <w:szCs w:val="18"/>
          <w:color w:val="auto"/>
        </w:rPr>
      </w:pPr>
    </w:p>
    <w:p>
      <w:pPr>
        <w:ind w:left="660" w:hanging="328"/>
        <w:spacing w:after="0" w:line="22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ind w:left="660" w:hanging="328"/>
        <w:spacing w:after="0" w:line="20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Mail: Complete and return the physical proxy card, if any, you received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During the Annual Meetng: </w:t>
      </w:r>
      <w:r>
        <w:rPr>
          <w:rFonts w:ascii="Arial" w:cs="Arial" w:eastAsia="Arial" w:hAnsi="Arial"/>
          <w:sz w:val="18"/>
          <w:szCs w:val="18"/>
          <w:b w:val="1"/>
          <w:bCs w:val="1"/>
          <w:color w:val="auto"/>
        </w:rPr>
        <w:t>www.virtualshareholdermeetng.com/HWKN2023</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spacing w:after="0" w:line="48" w:lineRule="exact"/>
        <w:rPr>
          <w:rFonts w:ascii="Arial" w:cs="Arial" w:eastAsia="Arial" w:hAnsi="Arial"/>
          <w:sz w:val="18"/>
          <w:szCs w:val="18"/>
          <w:color w:val="auto"/>
        </w:rPr>
      </w:pPr>
    </w:p>
    <w:p>
      <w:pPr>
        <w:ind w:left="900" w:hanging="244"/>
        <w:spacing w:after="0" w:line="273" w:lineRule="auto"/>
        <w:tabs>
          <w:tab w:leader="none" w:pos="898"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will need the 16-digit control number included on your proxy card, Notce, or other instructons that accompanied your proxy materials to vote on-line or to join the online Annual Meetng</w:t>
      </w:r>
    </w:p>
    <w:p>
      <w:pPr>
        <w:spacing w:after="0" w:line="204"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If your shares are held in a brokerage account or by another nominee, your shares are said to be held in “street name” and you are considered the benefcial owner of the shares. Technically, the bank or broker is the shareholder of record with respect to those shares. Your bank or broker will collect the votng instructons from all their respectve customers who hold our shares, including you, and then submit those votes to us.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votng recommendatons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940425" cy="122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0425" cy="122555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00" w:type="dxa"/>
            <w:vAlign w:val="bottom"/>
            <w:shd w:val="clear" w:color="auto" w:fill="000000"/>
          </w:tcPr>
          <w:p>
            <w:pPr>
              <w:ind w:left="40"/>
              <w:spacing w:after="0"/>
              <w:rPr>
                <w:sz w:val="20"/>
                <w:szCs w:val="20"/>
                <w:color w:val="auto"/>
              </w:rPr>
            </w:pPr>
            <w:r>
              <w:rPr>
                <w:rFonts w:ascii="Arial" w:cs="Arial" w:eastAsia="Arial" w:hAnsi="Arial"/>
                <w:sz w:val="20"/>
                <w:szCs w:val="20"/>
                <w:b w:val="1"/>
                <w:bCs w:val="1"/>
                <w:color w:val="FFFFFF"/>
              </w:rPr>
              <w:t>Mater</w:t>
            </w:r>
          </w:p>
        </w:tc>
        <w:tc>
          <w:tcPr>
            <w:tcW w:w="3660" w:type="dxa"/>
            <w:vAlign w:val="bottom"/>
            <w:shd w:val="clear" w:color="auto" w:fill="000000"/>
          </w:tcPr>
          <w:p>
            <w:pPr>
              <w:ind w:left="1060"/>
              <w:spacing w:after="0"/>
              <w:rPr>
                <w:sz w:val="20"/>
                <w:szCs w:val="20"/>
                <w:color w:val="auto"/>
              </w:rPr>
            </w:pPr>
            <w:r>
              <w:rPr>
                <w:rFonts w:ascii="Arial" w:cs="Arial" w:eastAsia="Arial" w:hAnsi="Arial"/>
                <w:sz w:val="20"/>
                <w:szCs w:val="20"/>
                <w:b w:val="1"/>
                <w:bCs w:val="1"/>
                <w:color w:val="FFFFFF"/>
              </w:rPr>
              <w:t>Board Recommendaton</w:t>
            </w:r>
          </w:p>
        </w:tc>
      </w:tr>
      <w:tr>
        <w:trPr>
          <w:trHeight w:val="231"/>
        </w:trPr>
        <w:tc>
          <w:tcPr>
            <w:tcW w:w="5700" w:type="dxa"/>
            <w:vAlign w:val="bottom"/>
          </w:tcPr>
          <w:p>
            <w:pPr>
              <w:ind w:left="40"/>
              <w:spacing w:after="0"/>
              <w:rPr>
                <w:sz w:val="20"/>
                <w:szCs w:val="20"/>
                <w:color w:val="auto"/>
              </w:rPr>
            </w:pPr>
            <w:r>
              <w:rPr>
                <w:rFonts w:ascii="Arial" w:cs="Arial" w:eastAsia="Arial" w:hAnsi="Arial"/>
                <w:sz w:val="18"/>
                <w:szCs w:val="18"/>
                <w:color w:val="auto"/>
              </w:rPr>
              <w:t>1. Electon of the eight directors named in this proxy statement</w:t>
            </w:r>
          </w:p>
        </w:tc>
        <w:tc>
          <w:tcPr>
            <w:tcW w:w="3660" w:type="dxa"/>
            <w:vAlign w:val="bottom"/>
          </w:tcPr>
          <w:p>
            <w:pPr>
              <w:ind w:left="1580"/>
              <w:spacing w:after="0"/>
              <w:rPr>
                <w:sz w:val="20"/>
                <w:szCs w:val="20"/>
                <w:color w:val="auto"/>
              </w:rPr>
            </w:pPr>
            <w:r>
              <w:rPr>
                <w:rFonts w:ascii="Arial" w:cs="Arial" w:eastAsia="Arial" w:hAnsi="Arial"/>
                <w:sz w:val="18"/>
                <w:szCs w:val="18"/>
                <w:b w:val="1"/>
                <w:bCs w:val="1"/>
                <w:color w:val="auto"/>
              </w:rPr>
              <w:t>FOR EACH NOMINEE</w:t>
            </w:r>
          </w:p>
        </w:tc>
      </w:tr>
    </w:tbl>
    <w:p>
      <w:pPr>
        <w:ind w:left="40" w:right="5460" w:hanging="1"/>
        <w:spacing w:after="0" w:line="249" w:lineRule="auto"/>
        <w:tabs>
          <w:tab w:leader="none" w:pos="217"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Ratfcaton of appointment of Grant Thornton LLP to serve as our independent registered public accountng frm for our fscal year ending March</w:t>
      </w:r>
    </w:p>
    <w:tbl>
      <w:tblPr>
        <w:tblLayout w:type="fixed"/>
        <w:tblInd w:w="20" w:type="dxa"/>
        <w:tblCellMar>
          <w:top w:w="0" w:type="dxa"/>
          <w:left w:w="0" w:type="dxa"/>
          <w:bottom w:w="0" w:type="dxa"/>
          <w:right w:w="0" w:type="dxa"/>
        </w:tblCellMar>
      </w:tblPr>
      <w:tr>
        <w:trPr>
          <w:trHeight w:val="192"/>
        </w:trPr>
        <w:tc>
          <w:tcPr>
            <w:tcW w:w="6600" w:type="dxa"/>
            <w:vAlign w:val="bottom"/>
          </w:tcPr>
          <w:p>
            <w:pPr>
              <w:ind w:left="20"/>
              <w:spacing w:after="0" w:line="192" w:lineRule="exact"/>
              <w:rPr>
                <w:sz w:val="20"/>
                <w:szCs w:val="20"/>
                <w:color w:val="auto"/>
              </w:rPr>
            </w:pPr>
            <w:r>
              <w:rPr>
                <w:rFonts w:ascii="Arial" w:cs="Arial" w:eastAsia="Arial" w:hAnsi="Arial"/>
                <w:sz w:val="18"/>
                <w:szCs w:val="18"/>
                <w:color w:val="auto"/>
              </w:rPr>
              <w:t>31, 2024</w:t>
            </w:r>
          </w:p>
        </w:tc>
        <w:tc>
          <w:tcPr>
            <w:tcW w:w="2740" w:type="dxa"/>
            <w:vAlign w:val="bottom"/>
          </w:tcPr>
          <w:p>
            <w:pPr>
              <w:jc w:val="center"/>
              <w:ind w:left="30"/>
              <w:spacing w:after="0" w:line="192" w:lineRule="exact"/>
              <w:rPr>
                <w:sz w:val="20"/>
                <w:szCs w:val="20"/>
                <w:color w:val="auto"/>
              </w:rPr>
            </w:pPr>
            <w:r>
              <w:rPr>
                <w:rFonts w:ascii="Arial" w:cs="Arial" w:eastAsia="Arial" w:hAnsi="Arial"/>
                <w:sz w:val="18"/>
                <w:szCs w:val="18"/>
                <w:b w:val="1"/>
                <w:bCs w:val="1"/>
                <w:color w:val="auto"/>
                <w:w w:val="78"/>
              </w:rPr>
              <w:t>FOR</w:t>
            </w:r>
          </w:p>
        </w:tc>
        <w:tc>
          <w:tcPr>
            <w:tcW w:w="0" w:type="dxa"/>
            <w:vAlign w:val="bottom"/>
          </w:tcPr>
          <w:p>
            <w:pPr>
              <w:spacing w:after="0"/>
              <w:rPr>
                <w:sz w:val="1"/>
                <w:szCs w:val="1"/>
                <w:color w:val="auto"/>
              </w:rPr>
            </w:pPr>
          </w:p>
        </w:tc>
      </w:tr>
      <w:tr>
        <w:trPr>
          <w:trHeight w:val="181"/>
        </w:trPr>
        <w:tc>
          <w:tcPr>
            <w:tcW w:w="6600" w:type="dxa"/>
            <w:vAlign w:val="bottom"/>
          </w:tcPr>
          <w:p>
            <w:pPr>
              <w:ind w:left="20"/>
              <w:spacing w:after="0" w:line="181" w:lineRule="exact"/>
              <w:rPr>
                <w:sz w:val="20"/>
                <w:szCs w:val="20"/>
                <w:color w:val="auto"/>
              </w:rPr>
            </w:pPr>
            <w:r>
              <w:rPr>
                <w:rFonts w:ascii="Arial" w:cs="Arial" w:eastAsia="Arial" w:hAnsi="Arial"/>
                <w:sz w:val="18"/>
                <w:szCs w:val="18"/>
                <w:color w:val="auto"/>
              </w:rPr>
              <w:t>3. Advisory vote to approve executve compensaton disclosed in the proxy</w:t>
            </w:r>
          </w:p>
        </w:tc>
        <w:tc>
          <w:tcPr>
            <w:tcW w:w="27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78"/>
              </w:rPr>
              <w:t>FOR</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Arial" w:cs="Arial" w:eastAsia="Arial" w:hAnsi="Arial"/>
                <w:sz w:val="18"/>
                <w:szCs w:val="18"/>
                <w:color w:val="auto"/>
              </w:rPr>
              <w:t>statement</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0" w:type="dxa"/>
            <w:vAlign w:val="bottom"/>
            <w:shd w:val="clear" w:color="auto" w:fill="DBDBDB"/>
          </w:tcPr>
          <w:p>
            <w:pPr>
              <w:ind w:left="20"/>
              <w:spacing w:after="0" w:line="162" w:lineRule="exact"/>
              <w:rPr>
                <w:sz w:val="20"/>
                <w:szCs w:val="20"/>
                <w:color w:val="auto"/>
              </w:rPr>
            </w:pPr>
            <w:r>
              <w:rPr>
                <w:rFonts w:ascii="Arial" w:cs="Arial" w:eastAsia="Arial" w:hAnsi="Arial"/>
                <w:sz w:val="18"/>
                <w:szCs w:val="18"/>
                <w:color w:val="auto"/>
              </w:rPr>
              <w:t>4. Advisory vote on frequency of advisory vote to approve executve</w:t>
            </w:r>
          </w:p>
        </w:tc>
        <w:tc>
          <w:tcPr>
            <w:tcW w:w="2740" w:type="dxa"/>
            <w:vAlign w:val="bottom"/>
            <w:vMerge w:val="restart"/>
            <w:shd w:val="clear" w:color="auto" w:fill="DBDBDB"/>
          </w:tcPr>
          <w:p>
            <w:pPr>
              <w:jc w:val="center"/>
              <w:ind w:left="10"/>
              <w:spacing w:after="0"/>
              <w:rPr>
                <w:sz w:val="20"/>
                <w:szCs w:val="20"/>
                <w:color w:val="auto"/>
              </w:rPr>
            </w:pPr>
            <w:r>
              <w:rPr>
                <w:rFonts w:ascii="Arial" w:cs="Arial" w:eastAsia="Arial" w:hAnsi="Arial"/>
                <w:sz w:val="18"/>
                <w:szCs w:val="18"/>
                <w:b w:val="1"/>
                <w:bCs w:val="1"/>
                <w:color w:val="auto"/>
                <w:w w:val="79"/>
              </w:rPr>
              <w:t>1 YEAR</w:t>
            </w:r>
          </w:p>
        </w:tc>
        <w:tc>
          <w:tcPr>
            <w:tcW w:w="0" w:type="dxa"/>
            <w:vAlign w:val="bottom"/>
          </w:tcPr>
          <w:p>
            <w:pPr>
              <w:spacing w:after="0"/>
              <w:rPr>
                <w:sz w:val="1"/>
                <w:szCs w:val="1"/>
                <w:color w:val="auto"/>
              </w:rPr>
            </w:pPr>
          </w:p>
        </w:tc>
      </w:tr>
      <w:tr>
        <w:trPr>
          <w:trHeight w:val="22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compensaton.</w:t>
            </w:r>
          </w:p>
        </w:tc>
        <w:tc>
          <w:tcPr>
            <w:tcW w:w="274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0" w:type="dxa"/>
            <w:vAlign w:val="bottom"/>
            <w:shd w:val="clear" w:color="auto" w:fill="DBDBDB"/>
          </w:tcPr>
          <w:p>
            <w:pPr>
              <w:spacing w:after="0"/>
              <w:rPr>
                <w:sz w:val="2"/>
                <w:szCs w:val="2"/>
                <w:color w:val="auto"/>
              </w:rPr>
            </w:pPr>
          </w:p>
        </w:tc>
        <w:tc>
          <w:tcPr>
            <w:tcW w:w="27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color w:val="auto"/>
        </w:rPr>
        <w:t>If you return a properly executed proxy card without instructons, the persons named as proxy holders will vote your shares in accordance with the recommendatons of the Board.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any other maters be voted on?</w:t>
      </w:r>
    </w:p>
    <w:p>
      <w:pPr>
        <w:spacing w:after="0" w:line="124"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We do not know of any other maters that will be brought before the shareholders for a vote at the Annual Meetng. If any other maters properly come before the Annual Meetng calling for a vote of shareholders, proxies in the enclosed form returned to us will be voted in accordance with the recommendaton of the Board or, in the absence of such a recommendaton, in accordance with the judgment of the proxy holders.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enttled to vote at the Annual Meetng?</w:t>
      </w:r>
    </w:p>
    <w:p>
      <w:pPr>
        <w:spacing w:after="0" w:line="124" w:lineRule="exact"/>
        <w:rPr>
          <w:sz w:val="20"/>
          <w:szCs w:val="20"/>
          <w:color w:val="auto"/>
        </w:rPr>
      </w:pPr>
    </w:p>
    <w:p>
      <w:pPr>
        <w:ind w:right="420"/>
        <w:spacing w:after="0" w:line="273" w:lineRule="auto"/>
        <w:rPr>
          <w:sz w:val="20"/>
          <w:szCs w:val="20"/>
          <w:color w:val="auto"/>
        </w:rPr>
      </w:pPr>
      <w:r>
        <w:rPr>
          <w:rFonts w:ascii="Arial" w:cs="Arial" w:eastAsia="Arial" w:hAnsi="Arial"/>
          <w:sz w:val="18"/>
          <w:szCs w:val="18"/>
          <w:color w:val="auto"/>
        </w:rPr>
        <w:t>Only shareholders of record at the close of business on the record date of June 7, 2023 are enttled to receive notce of and partcipate in the Annual Meetng. If you were a shareholder of record on that date, you will be enttled to vote all of the shares you held on that date.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do I have?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each share of our common stock you owned as of the close of business on the record date.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can be cast by all shareholders?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On the record date there were 21,065,618 outstanding shares of our common stock, each of which is enttled to one vote at the Annual Meetng. There is no cumulatve votng for directors.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Meetng?</w:t>
      </w:r>
    </w:p>
    <w:p>
      <w:pPr>
        <w:spacing w:after="0" w:line="137"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holders of a majority of the aggregate votng power of our common stock outstanding and enttled to vote on the record date, must be present in person, or by proxy, at the Annual Meetng to consttute a quorum necessary to conduct the meetng.</w:t>
      </w:r>
    </w:p>
    <w:p>
      <w:pPr>
        <w:spacing w:after="0" w:line="204" w:lineRule="exact"/>
        <w:rPr>
          <w:sz w:val="20"/>
          <w:szCs w:val="20"/>
          <w:color w:val="auto"/>
        </w:rPr>
      </w:pPr>
    </w:p>
    <w:p>
      <w:pPr>
        <w:ind w:right="380"/>
        <w:spacing w:after="0" w:line="303" w:lineRule="auto"/>
        <w:rPr>
          <w:sz w:val="20"/>
          <w:szCs w:val="20"/>
          <w:color w:val="auto"/>
        </w:rPr>
      </w:pPr>
      <w:r>
        <w:rPr>
          <w:rFonts w:ascii="Arial" w:cs="Arial" w:eastAsia="Arial" w:hAnsi="Arial"/>
          <w:sz w:val="17"/>
          <w:szCs w:val="17"/>
          <w:color w:val="auto"/>
        </w:rPr>
        <w:t>Abstentons will be counted as present for purposes of determining the existence of a quorum at the meetng. However, shares of a shareholder who abstains or does not otherwise vote online at the Annual Meetng or by proxy will not be counted for purposes of establishing a quorum.</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 broker submits a proxy which indicates that the broker does not have discretonary authority as to certain shares to vote on proposals at the Annual Meetng, such “broker non-votes” will be counted for purposes of determining the presence of a quorum at the Annual Meetng, but will not be considered as present in person or by proxy and enttled to vote for purposes of determining the approval or disapproval of any proposal that requires the afrmatve vote of the holders of a majority of the number of shares of common stock present in person or by proxy at the Annual Meetng and enttled to vote.</w:t>
      </w:r>
    </w:p>
    <w:p>
      <w:pPr>
        <w:spacing w:after="0" w:line="219"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We urge you to vote in advance even if you plan to atend the virtual Annual Meetng so that we will know as soon as possible that a quorum has been achieved.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respect to Proposal One, </w:t>
      </w:r>
      <w:r>
        <w:rPr>
          <w:rFonts w:ascii="Arial" w:cs="Arial" w:eastAsia="Arial" w:hAnsi="Arial"/>
          <w:sz w:val="17"/>
          <w:szCs w:val="17"/>
          <w:i w:val="1"/>
          <w:iCs w:val="1"/>
          <w:color w:val="auto"/>
        </w:rPr>
        <w:t>Electon of Directors</w:t>
      </w:r>
      <w:r>
        <w:rPr>
          <w:rFonts w:ascii="Arial" w:cs="Arial" w:eastAsia="Arial" w:hAnsi="Arial"/>
          <w:sz w:val="17"/>
          <w:szCs w:val="17"/>
          <w:color w:val="auto"/>
        </w:rPr>
        <w:t>, directors are elected by a plurality of the votes cast. A plurality means that the nominees with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greatest number of “for” votes are elected as directors, up to the maximum number of directors to be chosen at the Annual Meetng. Accordingly,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abstenton or failure to vote on this proposal (including a broker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non-vote) will have no efect on the votng for the electon of directors.</w:t>
      </w: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With respect to Proposal Two, </w:t>
      </w:r>
      <w:r>
        <w:rPr>
          <w:rFonts w:ascii="Arial" w:cs="Arial" w:eastAsia="Arial" w:hAnsi="Arial"/>
          <w:sz w:val="18"/>
          <w:szCs w:val="18"/>
          <w:i w:val="1"/>
          <w:iCs w:val="1"/>
          <w:color w:val="auto"/>
        </w:rPr>
        <w:t>Ratfcaton of Appointment of Independent Registered Public Accountng Firm</w:t>
      </w:r>
      <w:r>
        <w:rPr>
          <w:rFonts w:ascii="Arial" w:cs="Arial" w:eastAsia="Arial" w:hAnsi="Arial"/>
          <w:sz w:val="18"/>
          <w:szCs w:val="18"/>
          <w:color w:val="auto"/>
        </w:rPr>
        <w:t>, the shareholders will have ratfed the appointment of our independent registered public accountng frm upon the afrmatve vote of the holders of a majority of the shares of common stock present or represented by proxy at the meetng and enttled to vote. Accordingly, an abstenton will have the same efect as a vote “against” the proposal. Brokers and nominees normally have discreton to vote on routne maters such as this proposal. Notwithstanding that, we urge you to direct the votng of your shares by following the instructons provided to you by your broker or nominee.</w:t>
      </w:r>
    </w:p>
    <w:p>
      <w:pPr>
        <w:spacing w:after="0" w:line="219" w:lineRule="exact"/>
        <w:rPr>
          <w:sz w:val="20"/>
          <w:szCs w:val="20"/>
          <w:color w:val="auto"/>
        </w:rPr>
      </w:pPr>
    </w:p>
    <w:p>
      <w:pPr>
        <w:jc w:val="both"/>
        <w:ind w:right="360"/>
        <w:spacing w:after="0" w:line="284" w:lineRule="auto"/>
        <w:rPr>
          <w:sz w:val="20"/>
          <w:szCs w:val="20"/>
          <w:color w:val="auto"/>
        </w:rPr>
      </w:pPr>
      <w:r>
        <w:rPr>
          <w:rFonts w:ascii="Arial" w:cs="Arial" w:eastAsia="Arial" w:hAnsi="Arial"/>
          <w:sz w:val="17"/>
          <w:szCs w:val="17"/>
          <w:color w:val="auto"/>
        </w:rPr>
        <w:t xml:space="preserve">With respect to Proposal Three, </w:t>
      </w:r>
      <w:r>
        <w:rPr>
          <w:rFonts w:ascii="Arial" w:cs="Arial" w:eastAsia="Arial" w:hAnsi="Arial"/>
          <w:sz w:val="17"/>
          <w:szCs w:val="17"/>
          <w:i w:val="1"/>
          <w:iCs w:val="1"/>
          <w:color w:val="auto"/>
        </w:rPr>
        <w:t>Advisory Vote to Approve Executve Compensaton</w:t>
      </w:r>
      <w:r>
        <w:rPr>
          <w:rFonts w:ascii="Arial" w:cs="Arial" w:eastAsia="Arial" w:hAnsi="Arial"/>
          <w:sz w:val="17"/>
          <w:szCs w:val="17"/>
          <w:color w:val="auto"/>
        </w:rPr>
        <w:t>, we will consider our shareholders to have approved our executve compensaton if the number of votes cast “for” this proposal exceeds the number of votes cast “against” this proposal. Accordingly, an abstenton or failure to vote on this proposal (including a broker non-vote) will have no efect on the outcome of this proposal.</w:t>
      </w:r>
    </w:p>
    <w:p>
      <w:pPr>
        <w:spacing w:after="0" w:line="19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With respect to Proposal Four, </w:t>
      </w:r>
      <w:r>
        <w:rPr>
          <w:rFonts w:ascii="Arial" w:cs="Arial" w:eastAsia="Arial" w:hAnsi="Arial"/>
          <w:sz w:val="18"/>
          <w:szCs w:val="18"/>
          <w:i w:val="1"/>
          <w:iCs w:val="1"/>
          <w:color w:val="auto"/>
        </w:rPr>
        <w:t>Advisory Vote on Frequency of Advisory Vote to Approve Executve Compensaton</w:t>
      </w:r>
      <w:r>
        <w:rPr>
          <w:rFonts w:ascii="Arial" w:cs="Arial" w:eastAsia="Arial" w:hAnsi="Arial"/>
          <w:sz w:val="18"/>
          <w:szCs w:val="18"/>
          <w:color w:val="auto"/>
        </w:rPr>
        <w:t>, we will consider the opinion that obtains a plurality of the votes cast to have received the advisory approval of our shareholders. Accordingly, an abstenton or failure to vote on this proposal (including a broker non-vote) will have no efect on the outcome of this proposal.</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124"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Any proxy given pursuant to this solicitaton and received in tme for the Annual Meetng will be voted in accordance with the instructons in that proxy unless the proxy is properly revoked prior to the meetng. Any shareholder giving a proxy may revoke it prior to its exercise at the meetng by: (1) delivering a writen notce expressly revoking the proxy to our Secretary at our principal executve ofces, (2) signing and forwarding to us at our principal executve ofces a later dated proxy, or (3) atending the Annual Meetng via the Internet and votng during the Annual Meetng.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 xml:space="preserve">PROPOSAL ONE </w:t>
      </w:r>
      <w:r>
        <w:rPr>
          <w:rFonts w:ascii="Arial" w:cs="Arial" w:eastAsia="Arial" w:hAnsi="Arial"/>
          <w:sz w:val="25"/>
          <w:szCs w:val="25"/>
          <w:color w:val="auto"/>
        </w:rPr>
        <w:t>—</w:t>
      </w:r>
      <w:r>
        <w:rPr>
          <w:rFonts w:ascii="Arial" w:cs="Arial" w:eastAsia="Arial" w:hAnsi="Arial"/>
          <w:sz w:val="25"/>
          <w:szCs w:val="25"/>
          <w:b w:val="1"/>
          <w:bCs w:val="1"/>
          <w:color w:val="auto"/>
        </w:rPr>
        <w:t xml:space="preserve"> ELECTION OF DIRECTORS</w:t>
      </w:r>
    </w:p>
    <w:p>
      <w:pPr>
        <w:spacing w:after="0" w:line="274"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The Board has fxed at eight the number of directors to be elected at the Annual Meetng. Our Amended and Restated By-Laws (our "By-Laws") provide for a Board of not fewer than three and not more than eleven directors. Our Board currently consists of eight directors.</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Board has nominated James A. Faulconbridge, Patrick H. Hawkins, Mary J. Schumacher, Jefrey E. Spethmann, Daniel J. Stauber, Yi "Faith" Tang, James T. Thompson and Jefrey L. Wright for electon to the Board, each to hold ofce for the ensuing year and untl his or her successor is duly elected and qualifed.</w:t>
      </w:r>
    </w:p>
    <w:p>
      <w:pPr>
        <w:spacing w:after="0" w:line="213"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Executed and delivered proxies, including any submited electronically, will be voted for the electon of all nominees unless you direct otherwise. Should any nominee decline or be unable to accept such nominaton or to serve as a director (an event which our management does not expect to occur), proxies will be voted for a substtute nominee or nominees in accordance with the best judgment of the person or persons actng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151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OUR BOARD RECOMMENDS THAT SHAREHOLDERS VOTE “FOR” THE ELECTION OF EACH NOMINEE FOR DIRECTOR.</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Informaton About Our Directors</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Our directors have served as our directors contnuously since the years indicated below. The following informaton, including the principal occupaton or employment of each director nominee, has been furnished to us by the respectve director nominees.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relatonships among any of our directors, executve ofcers, or director nominees.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director nominee brings unique capabilites to our Board. The Board believes the nominees as a group have the experience and skills in areas such as general business management, corporate governance, manufacturing, fnance, strategic planning and risk management that are necessary to efectvely oversee our company. In additon, the Board believes that each of our directors possesses high standards of ethics, integrity and professionalism, sound judgment and a commitment to representng the long-term interests of our shareholders. Set forth below for each director nominee are the name, age, principal occupaton, and the year of their frst electon as a director of our Board.</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left w:val="single" w:sz="8" w:color="auto"/>
              <w:right w:val="single" w:sz="8" w:color="auto"/>
            </w:tcBorders>
            <w:shd w:val="clear" w:color="auto" w:fill="000000"/>
          </w:tcPr>
          <w:p>
            <w:pPr>
              <w:spacing w:after="0"/>
              <w:rPr>
                <w:sz w:val="21"/>
                <w:szCs w:val="21"/>
                <w:color w:val="auto"/>
              </w:rPr>
            </w:pPr>
          </w:p>
        </w:tc>
        <w:tc>
          <w:tcPr>
            <w:tcW w:w="820" w:type="dxa"/>
            <w:vAlign w:val="bottom"/>
            <w:tcBorders>
              <w:right w:val="single" w:sz="8" w:color="auto"/>
            </w:tcBorders>
            <w:shd w:val="clear" w:color="auto" w:fill="000000"/>
          </w:tcPr>
          <w:p>
            <w:pPr>
              <w:spacing w:after="0"/>
              <w:rPr>
                <w:sz w:val="21"/>
                <w:szCs w:val="21"/>
                <w:color w:val="auto"/>
              </w:rPr>
            </w:pPr>
          </w:p>
        </w:tc>
        <w:tc>
          <w:tcPr>
            <w:tcW w:w="6460" w:type="dxa"/>
            <w:vAlign w:val="bottom"/>
            <w:tcBorders>
              <w:right w:val="single" w:sz="8" w:color="auto"/>
            </w:tcBorders>
            <w:shd w:val="clear" w:color="auto" w:fill="000000"/>
          </w:tcPr>
          <w:p>
            <w:pPr>
              <w:spacing w:after="0"/>
              <w:rPr>
                <w:sz w:val="21"/>
                <w:szCs w:val="21"/>
                <w:color w:val="auto"/>
              </w:rPr>
            </w:pP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7"/>
              </w:rPr>
              <w:t>Director</w:t>
            </w:r>
          </w:p>
        </w:tc>
      </w:tr>
      <w:tr>
        <w:trPr>
          <w:trHeight w:val="308"/>
        </w:trPr>
        <w:tc>
          <w:tcPr>
            <w:tcW w:w="27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Name of Nominee</w:t>
            </w:r>
          </w:p>
        </w:tc>
        <w:tc>
          <w:tcPr>
            <w:tcW w:w="82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1"/>
              </w:rPr>
              <w:t>Age</w:t>
            </w:r>
          </w:p>
        </w:tc>
        <w:tc>
          <w:tcPr>
            <w:tcW w:w="6460" w:type="dxa"/>
            <w:vAlign w:val="bottom"/>
            <w:tcBorders>
              <w:bottom w:val="single" w:sz="8" w:color="auto"/>
              <w:right w:val="single" w:sz="8" w:color="auto"/>
            </w:tcBorders>
            <w:shd w:val="clear" w:color="auto" w:fill="000000"/>
          </w:tcPr>
          <w:p>
            <w:pPr>
              <w:ind w:left="2280"/>
              <w:spacing w:after="0"/>
              <w:rPr>
                <w:sz w:val="20"/>
                <w:szCs w:val="20"/>
                <w:color w:val="auto"/>
              </w:rPr>
            </w:pPr>
            <w:r>
              <w:rPr>
                <w:rFonts w:ascii="Arial" w:cs="Arial" w:eastAsia="Arial" w:hAnsi="Arial"/>
                <w:sz w:val="22"/>
                <w:szCs w:val="22"/>
                <w:b w:val="1"/>
                <w:bCs w:val="1"/>
                <w:color w:val="FFFFFF"/>
              </w:rPr>
              <w:t>Principal Occupaton</w:t>
            </w:r>
          </w:p>
        </w:tc>
        <w:tc>
          <w:tcPr>
            <w:tcW w:w="11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78"/>
              </w:rPr>
              <w:t>Since</w:t>
            </w:r>
          </w:p>
        </w:tc>
      </w:tr>
      <w:tr>
        <w:trPr>
          <w:trHeight w:val="22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Karges-Faulconbridge,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2006</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 Chief Executve Ofcer, Hawkins,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2011</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66</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Retred Executve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2012</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Jefrey E. Spethmann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58</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Former Senior Vice President of Industrial Products of Donaldson Company,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2021</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Brand Ofcer, Stauber Performance Ingredients,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2016</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Global Chief Informaton Ofcer, MiTek,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Retred Executve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2009</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Jefrey L. Wright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Retred Executve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2009</w:t>
            </w: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certain additonal informaton regarding each director nominee.</w:t>
      </w:r>
    </w:p>
    <w:p>
      <w:pPr>
        <w:spacing w:after="0" w:line="250" w:lineRule="exact"/>
        <w:rPr>
          <w:sz w:val="20"/>
          <w:szCs w:val="20"/>
          <w:color w:val="auto"/>
        </w:rPr>
      </w:pPr>
    </w:p>
    <w:p>
      <w:pPr>
        <w:ind w:left="340"/>
        <w:spacing w:after="0" w:line="311" w:lineRule="auto"/>
        <w:rPr>
          <w:sz w:val="20"/>
          <w:szCs w:val="20"/>
          <w:color w:val="auto"/>
        </w:rPr>
      </w:pPr>
      <w:r>
        <w:rPr>
          <w:rFonts w:ascii="Arial" w:cs="Arial" w:eastAsia="Arial" w:hAnsi="Arial"/>
          <w:sz w:val="16"/>
          <w:szCs w:val="16"/>
          <w:b w:val="1"/>
          <w:bCs w:val="1"/>
          <w:i w:val="1"/>
          <w:iCs w:val="1"/>
          <w:color w:val="auto"/>
        </w:rPr>
        <w:t xml:space="preserve">James A. Faulconbridge </w:t>
      </w:r>
      <w:r>
        <w:rPr>
          <w:rFonts w:ascii="Arial" w:cs="Arial" w:eastAsia="Arial" w:hAnsi="Arial"/>
          <w:sz w:val="16"/>
          <w:szCs w:val="16"/>
          <w:color w:val="auto"/>
        </w:rPr>
        <w:t>has been a member of our Board since 2006. Mr. Faulconbridge has been President of Karges-Faulconbridge, Inc.,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technical services frm that services a broad variety of industries, including the ethanol industry, since 2006. His background provides the company with technical expertse and insight into various industries we serve, and in capital planning and carbon footprint techniques.</w:t>
      </w:r>
    </w:p>
    <w:p>
      <w:pPr>
        <w:spacing w:after="0" w:line="176" w:lineRule="exact"/>
        <w:rPr>
          <w:sz w:val="20"/>
          <w:szCs w:val="20"/>
          <w:color w:val="auto"/>
        </w:rPr>
      </w:pPr>
    </w:p>
    <w:p>
      <w:pPr>
        <w:ind w:left="340" w:right="20"/>
        <w:spacing w:after="0" w:line="258" w:lineRule="auto"/>
        <w:rPr>
          <w:sz w:val="20"/>
          <w:szCs w:val="20"/>
          <w:color w:val="auto"/>
        </w:rPr>
      </w:pPr>
      <w:r>
        <w:rPr>
          <w:rFonts w:ascii="Arial" w:cs="Arial" w:eastAsia="Arial" w:hAnsi="Arial"/>
          <w:sz w:val="18"/>
          <w:szCs w:val="18"/>
          <w:b w:val="1"/>
          <w:bCs w:val="1"/>
          <w:i w:val="1"/>
          <w:iCs w:val="1"/>
          <w:color w:val="auto"/>
        </w:rPr>
        <w:t xml:space="preserve">Patrick H. Hawkins </w:t>
      </w:r>
      <w:r>
        <w:rPr>
          <w:rFonts w:ascii="Arial" w:cs="Arial" w:eastAsia="Arial" w:hAnsi="Arial"/>
          <w:sz w:val="18"/>
          <w:szCs w:val="18"/>
          <w:color w:val="auto"/>
        </w:rPr>
        <w:t>has been a member of our Board and has served as our Chief Executve Ofcer, both since 2011. Mr. Hawkins has been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since 1992 having served as President since 2010; Business Director - Food and Pharmaceutcals from 2009 to 2010; Business Manager - Food and Co-Extrusion Products from 2007 to 2009; Sales Representatve - Food Ingredients from 2002 to 2009; and, various other positons with the company from 1992 to 2002.</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7" w:name="page8"/>
    <w:bookmarkEnd w:id="7"/>
    <w:p>
      <w:pPr>
        <w:ind w:right="440"/>
        <w:spacing w:after="0" w:line="273" w:lineRule="auto"/>
        <w:rPr>
          <w:sz w:val="20"/>
          <w:szCs w:val="20"/>
          <w:color w:val="auto"/>
        </w:rPr>
      </w:pPr>
      <w:r>
        <w:rPr>
          <w:rFonts w:ascii="Arial" w:cs="Arial" w:eastAsia="Arial" w:hAnsi="Arial"/>
          <w:sz w:val="18"/>
          <w:szCs w:val="18"/>
          <w:color w:val="auto"/>
        </w:rPr>
        <w:t>Mr. Hawkins hold a bachelor's degree in chemistry from the University of Saint Thomas. His vast experience with our company has given him an intmate knowledge of our company and its business and a deep passion for our contnued success.</w:t>
      </w:r>
    </w:p>
    <w:p>
      <w:pPr>
        <w:spacing w:after="0" w:line="20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 xml:space="preserve">Mary J. Schumacher </w:t>
      </w:r>
      <w:r>
        <w:rPr>
          <w:rFonts w:ascii="Arial" w:cs="Arial" w:eastAsia="Arial" w:hAnsi="Arial"/>
          <w:sz w:val="16"/>
          <w:szCs w:val="16"/>
          <w:color w:val="auto"/>
        </w:rPr>
        <w:t>has been a member of our Board since 2012. Ms. Schumacher served as Chief Operatng Ofcer of Twin Cites Habitat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Humanity from 2010 to 2016; Senior Vice President and General Manager at Andersen Corporaton from 2008 to 2010 and Senior Vice President, Research, Technology, Quality and Engineering from 2003 to 2008; various positons at Ecolab Inc. from 1992 to 2003; and, various positons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Jefrey E. Spethmann </w:t>
      </w:r>
      <w:r>
        <w:rPr>
          <w:rFonts w:ascii="Arial" w:cs="Arial" w:eastAsia="Arial" w:hAnsi="Arial"/>
          <w:sz w:val="17"/>
          <w:szCs w:val="17"/>
          <w:color w:val="auto"/>
        </w:rPr>
        <w:t>has been a member of our Board since October 2021. Mr. Spethmann served as Senior Vice President of Industrial Products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Donaldson Company, Inc. from April 2016 through October 2023, and held various positons at Donaldson Company since joining the company in 2013, including Vice President, Exhaust and Emissions and Vice President, Global Industrial Air Filtraton. Prior to joining Donaldson, Mr. Spethmann held the positons of General Manager and President of Blow Molded Specialtes, Inc., from 1999 to 2012. Mr. Spethmann has a bachelor’s degree in mechanical engineering and an M.B.A. from the University of Minnesota. His experience and knowledge in sales and manufacturing processes at a large corporaton adds valuable insight to our Board.</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Daniel J. Stauber </w:t>
      </w:r>
      <w:r>
        <w:rPr>
          <w:rFonts w:ascii="Arial" w:cs="Arial" w:eastAsia="Arial" w:hAnsi="Arial"/>
          <w:sz w:val="18"/>
          <w:szCs w:val="18"/>
          <w:color w:val="auto"/>
        </w:rPr>
        <w:t>has been a member of our Board since 2016 and has served as Chief Brand Ofcer of Stauber Performance Ingredients,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(“Stauber”), a wholly owned subsidiary of the company, since March 2019. Mr. Stauber served as Vice President - Health and Nutriton and as President of Stauber, from February 2018 through March 2019 and as Chief Brand Ofcer for Stauber since our acquisiton of Stauber in 2015 through January 2018; Chief Executve Ofcer of Stauber from 1998 untl its acquisiton in 2015; President from 1994 to 1998 and various other positons with Stauber from 1984 to 1994. His extensive knowledge of the health and nutriton industry is valuable in formulatng and executng our business plans and growth strategies for this segment of our business.</w:t>
      </w:r>
    </w:p>
    <w:p>
      <w:pPr>
        <w:spacing w:after="0" w:line="21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Yi "Faith" Tang </w:t>
      </w:r>
      <w:r>
        <w:rPr>
          <w:rFonts w:ascii="Arial" w:cs="Arial" w:eastAsia="Arial" w:hAnsi="Arial"/>
          <w:sz w:val="17"/>
          <w:szCs w:val="17"/>
          <w:color w:val="auto"/>
        </w:rPr>
        <w:t>has been a member of our Board since 2020. Ms. Tang has been Global Chief Informaton Ofcer and Chief Digital Ofcer of MiTek,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since September 2021, and previously served at H.B. Fuller Company as Global Chief Informaton Ofcer from 2017 to September 2021, and as Director of Global Informaton Technology, Governance and Project Management Oversight from 2013 to 2017 and as Director of Asia Pacifc Informaton Technology from 2010 to 2012. Prior to that, Ms. Tang held various positons at Baxter, Johnson &amp; Johnson and Eli Lilly. Ms. Tang holds a bachelor’s degree in Computer Sofware from Shanghai University of China and an M.B.A. from Renmin University of China. Her experience in informaton technology at a large industrial manufacturing company adds valuable insight to our Board.</w:t>
      </w:r>
    </w:p>
    <w:p>
      <w:pPr>
        <w:spacing w:after="0" w:line="20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 xml:space="preserve">James T. Thompson </w:t>
      </w:r>
      <w:r>
        <w:rPr>
          <w:rFonts w:ascii="Arial" w:cs="Arial" w:eastAsia="Arial" w:hAnsi="Arial"/>
          <w:sz w:val="16"/>
          <w:szCs w:val="16"/>
          <w:color w:val="auto"/>
        </w:rPr>
        <w:t>has been a member of our Board since 2009. Mr. Thompson served as Executve Vice President - Commercial of The Mosaic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from 2004 to 2007, and held various positons at Cargill, Inc. from 1974 to 2004, most recently as President of Cargill Steel from 1996 to 2004. His experience with major manufacturing and commodity companies is valuable to us in our commodity chemicals business.</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Jefrey L. Wright </w:t>
      </w:r>
      <w:r>
        <w:rPr>
          <w:rFonts w:ascii="Arial" w:cs="Arial" w:eastAsia="Arial" w:hAnsi="Arial"/>
          <w:sz w:val="17"/>
          <w:szCs w:val="17"/>
          <w:color w:val="auto"/>
        </w:rPr>
        <w:t>has been a member of our Board since 2009. Mr. Wright served as Chief Financial Ofcer of G&amp;K Services, Inc. from 1999 to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Executve Vice President and Director from 2009 to 2014, Senior Vice President from 2004 to 2009, and Treasurer and Secretary from 1999 to 2003; Treasurer at BMC Industries, Inc. from 1998 to 1999 and Controller from 1996 to 1998; various positons at Employee Beneft Plans, Inc. from 1993 to 1996; and was employed by Arthur Andersen &amp; Co. from 1984 to 1993. His extensive public company fnance and audit experience provides us with valuable fnancial and accountng experience as well as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877"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Board Diversity Matrix (as of June 7, 2023)</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chart summarizes certain self-identfed personal characteristcs of our directors, in accordance with Nasdaq Listng Rule 5605(f). Each term used in the table has the meaning given to it in the rule and related instructons</w:t>
      </w:r>
      <w:r>
        <w:rPr>
          <w:rFonts w:ascii="Arial" w:cs="Arial" w:eastAsia="Arial" w:hAnsi="Arial"/>
          <w:sz w:val="21"/>
          <w:szCs w:val="21"/>
          <w:color w:val="auto"/>
        </w:rPr>
        <w:t>.</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220" w:type="dxa"/>
            <w:vAlign w:val="bottom"/>
            <w:tcBorders>
              <w:top w:val="single" w:sz="8" w:color="auto"/>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22"/>
                <w:szCs w:val="22"/>
                <w:b w:val="1"/>
                <w:bCs w:val="1"/>
                <w:color w:val="auto"/>
              </w:rPr>
              <w:t>Total Number of Directors</w:t>
            </w:r>
          </w:p>
        </w:tc>
        <w:tc>
          <w:tcPr>
            <w:tcW w:w="1340" w:type="dxa"/>
            <w:vAlign w:val="bottom"/>
            <w:tcBorders>
              <w:top w:val="single" w:sz="8" w:color="auto"/>
              <w:bottom w:val="single" w:sz="8" w:color="auto"/>
            </w:tcBorders>
            <w:shd w:val="clear" w:color="auto" w:fill="DBDBDB"/>
          </w:tcPr>
          <w:p>
            <w:pPr>
              <w:spacing w:after="0"/>
              <w:rPr>
                <w:sz w:val="24"/>
                <w:szCs w:val="24"/>
                <w:color w:val="auto"/>
              </w:rPr>
            </w:pPr>
          </w:p>
        </w:tc>
        <w:tc>
          <w:tcPr>
            <w:tcW w:w="1940" w:type="dxa"/>
            <w:vAlign w:val="bottom"/>
            <w:tcBorders>
              <w:top w:val="single" w:sz="8" w:color="auto"/>
              <w:bottom w:val="single" w:sz="8" w:color="auto"/>
              <w:right w:val="single" w:sz="8" w:color="auto"/>
            </w:tcBorders>
            <w:gridSpan w:val="2"/>
            <w:shd w:val="clear" w:color="auto" w:fill="DBDBDB"/>
          </w:tcPr>
          <w:p>
            <w:pPr>
              <w:jc w:val="right"/>
              <w:ind w:right="1507"/>
              <w:spacing w:after="0"/>
              <w:rPr>
                <w:sz w:val="20"/>
                <w:szCs w:val="20"/>
                <w:color w:val="auto"/>
              </w:rPr>
            </w:pPr>
            <w:r>
              <w:rPr>
                <w:rFonts w:ascii="Arial" w:cs="Arial" w:eastAsia="Arial" w:hAnsi="Arial"/>
                <w:sz w:val="22"/>
                <w:szCs w:val="22"/>
                <w:b w:val="1"/>
                <w:bCs w:val="1"/>
                <w:color w:val="auto"/>
              </w:rPr>
              <w:t>8</w:t>
            </w:r>
          </w:p>
        </w:tc>
      </w:tr>
      <w:tr>
        <w:trPr>
          <w:trHeight w:val="252"/>
        </w:trPr>
        <w:tc>
          <w:tcPr>
            <w:tcW w:w="422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center"/>
              <w:ind w:left="168"/>
              <w:spacing w:after="0"/>
              <w:rPr>
                <w:sz w:val="20"/>
                <w:szCs w:val="20"/>
                <w:color w:val="auto"/>
              </w:rPr>
            </w:pPr>
            <w:r>
              <w:rPr>
                <w:rFonts w:ascii="Arial" w:cs="Arial" w:eastAsia="Arial" w:hAnsi="Arial"/>
                <w:sz w:val="20"/>
                <w:szCs w:val="20"/>
                <w:b w:val="1"/>
                <w:bCs w:val="1"/>
                <w:color w:val="auto"/>
                <w:w w:val="86"/>
              </w:rPr>
              <w:t>Female</w:t>
            </w:r>
          </w:p>
        </w:tc>
        <w:tc>
          <w:tcPr>
            <w:tcW w:w="30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Male</w:t>
            </w:r>
          </w:p>
        </w:tc>
      </w:tr>
      <w:tr>
        <w:trPr>
          <w:trHeight w:val="45"/>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82"/>
        </w:trPr>
        <w:tc>
          <w:tcPr>
            <w:tcW w:w="4220" w:type="dxa"/>
            <w:vAlign w:val="bottom"/>
            <w:tcBorders>
              <w:left w:val="single" w:sz="8" w:color="auto"/>
              <w:bottom w:val="single" w:sz="8" w:color="DBDBDB"/>
              <w:right w:val="single" w:sz="8" w:color="auto"/>
            </w:tcBorders>
            <w:shd w:val="clear" w:color="auto" w:fill="DBDBDB"/>
          </w:tcPr>
          <w:p>
            <w:pPr>
              <w:ind w:left="40"/>
              <w:spacing w:after="0"/>
              <w:rPr>
                <w:sz w:val="20"/>
                <w:szCs w:val="20"/>
                <w:color w:val="auto"/>
              </w:rPr>
            </w:pPr>
            <w:r>
              <w:rPr>
                <w:rFonts w:ascii="Arial" w:cs="Arial" w:eastAsia="Arial" w:hAnsi="Arial"/>
                <w:sz w:val="20"/>
                <w:szCs w:val="20"/>
                <w:b w:val="1"/>
                <w:bCs w:val="1"/>
                <w:color w:val="auto"/>
              </w:rPr>
              <w:t>Part I: Gender Identty</w:t>
            </w:r>
          </w:p>
        </w:tc>
        <w:tc>
          <w:tcPr>
            <w:tcW w:w="13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right w:val="single" w:sz="8" w:color="auto"/>
            </w:tcBorders>
            <w:shd w:val="clear" w:color="auto" w:fill="DBDBDB"/>
          </w:tcPr>
          <w:p>
            <w:pPr>
              <w:spacing w:after="0"/>
              <w:rPr>
                <w:sz w:val="24"/>
                <w:szCs w:val="24"/>
                <w:color w:val="auto"/>
              </w:rPr>
            </w:pPr>
          </w:p>
        </w:tc>
        <w:tc>
          <w:tcPr>
            <w:tcW w:w="164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20"/>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1340" w:type="dxa"/>
            <w:vAlign w:val="bottom"/>
            <w:tcBorders>
              <w:top w:val="single" w:sz="8" w:color="auto"/>
            </w:tcBorders>
          </w:tcPr>
          <w:p>
            <w:pPr>
              <w:jc w:val="center"/>
              <w:ind w:left="168"/>
              <w:spacing w:after="0"/>
              <w:rPr>
                <w:sz w:val="20"/>
                <w:szCs w:val="20"/>
                <w:color w:val="auto"/>
              </w:rPr>
            </w:pPr>
            <w:r>
              <w:rPr>
                <w:rFonts w:ascii="Arial" w:cs="Arial" w:eastAsia="Arial" w:hAnsi="Arial"/>
                <w:sz w:val="18"/>
                <w:szCs w:val="18"/>
                <w:color w:val="auto"/>
                <w:w w:val="79"/>
              </w:rPr>
              <w:t>2</w:t>
            </w:r>
          </w:p>
        </w:tc>
        <w:tc>
          <w:tcPr>
            <w:tcW w:w="30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43"/>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96"/>
        </w:trPr>
        <w:tc>
          <w:tcPr>
            <w:tcW w:w="4220" w:type="dxa"/>
            <w:vAlign w:val="bottom"/>
            <w:tcBorders>
              <w:left w:val="single" w:sz="8" w:color="auto"/>
              <w:bottom w:val="single" w:sz="8" w:color="DBDBDB"/>
              <w:right w:val="single" w:sz="8" w:color="auto"/>
            </w:tcBorders>
            <w:shd w:val="clear" w:color="auto" w:fill="DBDBDB"/>
          </w:tcPr>
          <w:p>
            <w:pPr>
              <w:ind w:left="40"/>
              <w:spacing w:after="0"/>
              <w:rPr>
                <w:sz w:val="20"/>
                <w:szCs w:val="20"/>
                <w:color w:val="auto"/>
              </w:rPr>
            </w:pPr>
            <w:r>
              <w:rPr>
                <w:rFonts w:ascii="Arial" w:cs="Arial" w:eastAsia="Arial" w:hAnsi="Arial"/>
                <w:sz w:val="20"/>
                <w:szCs w:val="20"/>
                <w:b w:val="1"/>
                <w:bCs w:val="1"/>
                <w:color w:val="auto"/>
              </w:rPr>
              <w:t>Part II: Demographic Background</w:t>
            </w:r>
          </w:p>
        </w:tc>
        <w:tc>
          <w:tcPr>
            <w:tcW w:w="13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right w:val="single" w:sz="8" w:color="auto"/>
            </w:tcBorders>
            <w:shd w:val="clear" w:color="auto" w:fill="DBDBDB"/>
          </w:tcPr>
          <w:p>
            <w:pPr>
              <w:spacing w:after="0"/>
              <w:rPr>
                <w:sz w:val="24"/>
                <w:szCs w:val="24"/>
                <w:color w:val="auto"/>
              </w:rPr>
            </w:pPr>
          </w:p>
        </w:tc>
        <w:tc>
          <w:tcPr>
            <w:tcW w:w="164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20"/>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Asian</w:t>
            </w:r>
          </w:p>
        </w:tc>
        <w:tc>
          <w:tcPr>
            <w:tcW w:w="1340" w:type="dxa"/>
            <w:vAlign w:val="bottom"/>
            <w:tcBorders>
              <w:top w:val="single" w:sz="8" w:color="auto"/>
            </w:tcBorders>
          </w:tcPr>
          <w:p>
            <w:pPr>
              <w:jc w:val="center"/>
              <w:ind w:left="168"/>
              <w:spacing w:after="0"/>
              <w:rPr>
                <w:sz w:val="20"/>
                <w:szCs w:val="20"/>
                <w:color w:val="auto"/>
              </w:rPr>
            </w:pPr>
            <w:r>
              <w:rPr>
                <w:rFonts w:ascii="Arial" w:cs="Arial" w:eastAsia="Arial" w:hAnsi="Arial"/>
                <w:sz w:val="18"/>
                <w:szCs w:val="18"/>
                <w:color w:val="auto"/>
                <w:w w:val="79"/>
              </w:rPr>
              <w:t>1</w:t>
            </w:r>
          </w:p>
        </w:tc>
        <w:tc>
          <w:tcPr>
            <w:tcW w:w="30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r>
      <w:tr>
        <w:trPr>
          <w:trHeight w:val="43"/>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2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w:t>
            </w:r>
          </w:p>
        </w:tc>
        <w:tc>
          <w:tcPr>
            <w:tcW w:w="1340" w:type="dxa"/>
            <w:vAlign w:val="bottom"/>
          </w:tcPr>
          <w:p>
            <w:pPr>
              <w:jc w:val="center"/>
              <w:ind w:left="168"/>
              <w:spacing w:after="0"/>
              <w:rPr>
                <w:sz w:val="20"/>
                <w:szCs w:val="20"/>
                <w:color w:val="auto"/>
              </w:rPr>
            </w:pPr>
            <w:r>
              <w:rPr>
                <w:rFonts w:ascii="Arial" w:cs="Arial" w:eastAsia="Arial" w:hAnsi="Arial"/>
                <w:sz w:val="18"/>
                <w:szCs w:val="18"/>
                <w:color w:val="auto"/>
                <w:w w:val="79"/>
              </w:rPr>
              <w:t>1</w:t>
            </w:r>
          </w:p>
        </w:tc>
        <w:tc>
          <w:tcPr>
            <w:tcW w:w="30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43"/>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Board has determined that, of the director nominees, each of Messrs. Faulconbridge, Spethmann, Thompson and Wright, and Mmes. Schumacher and Tang, are “Independent Directors” as that term is defned under the applicable listng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64" w:right="41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CORPORATE GOVERNANCE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Meetngs of the Board of Directors</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held fve meetngs during the fscal year ended April 2, 2023 (“fscal 2023”). All directors atended at least 75% of the meetngs of our Board and the commitees on which they served. All directors atended our Annual Meetng of Shareholders virtually in 2022. Our Board encourages, but does not require, director atendance at annual meetngs of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of the Board of Directors</w:t>
      </w:r>
    </w:p>
    <w:p>
      <w:pPr>
        <w:spacing w:after="0" w:line="124"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Our Board does not have a policy regarding the separaton of the roles of Chief Executve Ofcer and Chair of the Board, as the Board believes it is in the best interests of the company to make that determinaton based on the positon and directon of the company and the membership of the Board. The positons of Chief Executve Ofcer and Chair of the Board are not currently held by the same person. This structure allows us to more fully utlize the skills of Mr. Thompson and ensures a greater actve partcipaton of the directors in setng agendas and establishing Board priorites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Commitees</w:t>
      </w:r>
    </w:p>
    <w:p>
      <w:pPr>
        <w:spacing w:after="0" w:line="124"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Board has an Audit Commitee, Compensaton Commitee and Governance and Nominatng Commitee, each of which is described in more detail below. The current members of each of the commitees of the Board are as follows:</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160" w:type="dxa"/>
            <w:vAlign w:val="bottom"/>
            <w:tcBorders>
              <w:left w:val="single" w:sz="8" w:color="auto"/>
              <w:right w:val="single" w:sz="8" w:color="auto"/>
            </w:tcBorders>
            <w:shd w:val="clear" w:color="auto" w:fill="000000"/>
          </w:tcPr>
          <w:p>
            <w:pPr>
              <w:spacing w:after="0"/>
              <w:rPr>
                <w:sz w:val="21"/>
                <w:szCs w:val="21"/>
                <w:color w:val="auto"/>
              </w:rPr>
            </w:pPr>
          </w:p>
        </w:tc>
        <w:tc>
          <w:tcPr>
            <w:tcW w:w="2460" w:type="dxa"/>
            <w:vAlign w:val="bottom"/>
            <w:tcBorders>
              <w:right w:val="single" w:sz="8" w:color="auto"/>
            </w:tcBorders>
            <w:shd w:val="clear" w:color="auto" w:fill="000000"/>
          </w:tcPr>
          <w:p>
            <w:pPr>
              <w:spacing w:after="0"/>
              <w:rPr>
                <w:sz w:val="21"/>
                <w:szCs w:val="21"/>
                <w:color w:val="auto"/>
              </w:rPr>
            </w:pPr>
          </w:p>
        </w:tc>
        <w:tc>
          <w:tcPr>
            <w:tcW w:w="380" w:type="dxa"/>
            <w:vAlign w:val="bottom"/>
            <w:tcBorders>
              <w:right w:val="single" w:sz="8" w:color="auto"/>
            </w:tcBorders>
            <w:shd w:val="clear" w:color="auto" w:fill="000000"/>
          </w:tcPr>
          <w:p>
            <w:pPr>
              <w:spacing w:after="0"/>
              <w:rPr>
                <w:sz w:val="21"/>
                <w:szCs w:val="21"/>
                <w:color w:val="auto"/>
              </w:rPr>
            </w:pPr>
          </w:p>
        </w:tc>
        <w:tc>
          <w:tcPr>
            <w:tcW w:w="2580" w:type="dxa"/>
            <w:vAlign w:val="bottom"/>
            <w:tcBorders>
              <w:right w:val="single" w:sz="8" w:color="auto"/>
            </w:tcBorders>
            <w:shd w:val="clear" w:color="auto" w:fill="000000"/>
          </w:tcPr>
          <w:p>
            <w:pPr>
              <w:spacing w:after="0"/>
              <w:rPr>
                <w:sz w:val="21"/>
                <w:szCs w:val="21"/>
                <w:color w:val="auto"/>
              </w:rPr>
            </w:pPr>
          </w:p>
        </w:tc>
        <w:tc>
          <w:tcPr>
            <w:tcW w:w="26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7"/>
              </w:rPr>
              <w:t>Governance and Nominatng</w:t>
            </w:r>
          </w:p>
        </w:tc>
      </w:tr>
      <w:tr>
        <w:trPr>
          <w:trHeight w:val="322"/>
        </w:trPr>
        <w:tc>
          <w:tcPr>
            <w:tcW w:w="31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Board Member</w:t>
            </w:r>
          </w:p>
        </w:tc>
        <w:tc>
          <w:tcPr>
            <w:tcW w:w="2460" w:type="dxa"/>
            <w:vAlign w:val="bottom"/>
            <w:tcBorders>
              <w:bottom w:val="single" w:sz="8" w:color="auto"/>
              <w:right w:val="single" w:sz="8" w:color="auto"/>
            </w:tcBorders>
            <w:shd w:val="clear" w:color="auto" w:fill="000000"/>
          </w:tcPr>
          <w:p>
            <w:pPr>
              <w:jc w:val="center"/>
              <w:ind w:left="266"/>
              <w:spacing w:after="0"/>
              <w:rPr>
                <w:sz w:val="20"/>
                <w:szCs w:val="20"/>
                <w:color w:val="auto"/>
              </w:rPr>
            </w:pPr>
            <w:r>
              <w:rPr>
                <w:rFonts w:ascii="Arial" w:cs="Arial" w:eastAsia="Arial" w:hAnsi="Arial"/>
                <w:sz w:val="22"/>
                <w:szCs w:val="22"/>
                <w:b w:val="1"/>
                <w:bCs w:val="1"/>
                <w:color w:val="FFFFFF"/>
                <w:w w:val="91"/>
              </w:rPr>
              <w:t>Audit Commitee</w:t>
            </w: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0"/>
              </w:rPr>
              <w:t>Compensaton Commitee</w:t>
            </w:r>
          </w:p>
        </w:tc>
        <w:tc>
          <w:tcPr>
            <w:tcW w:w="26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3"/>
              </w:rPr>
              <w:t>Commitee</w:t>
            </w:r>
          </w:p>
        </w:tc>
      </w:tr>
      <w:tr>
        <w:trPr>
          <w:trHeight w:val="270"/>
        </w:trPr>
        <w:tc>
          <w:tcPr>
            <w:tcW w:w="3160" w:type="dxa"/>
            <w:vAlign w:val="bottom"/>
            <w:tcBorders>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Patrick H. Hawkins</w:t>
            </w:r>
          </w:p>
        </w:tc>
        <w:tc>
          <w:tcPr>
            <w:tcW w:w="24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r>
      <w:tr>
        <w:trPr>
          <w:trHeight w:val="264"/>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A. Faulconbridge (I)</w:t>
            </w:r>
          </w:p>
        </w:tc>
        <w:tc>
          <w:tcPr>
            <w:tcW w:w="2460" w:type="dxa"/>
            <w:vAlign w:val="bottom"/>
            <w:tcBorders>
              <w:top w:val="single" w:sz="8" w:color="auto"/>
            </w:tcBorders>
          </w:tcPr>
          <w:p>
            <w:pPr>
              <w:jc w:val="center"/>
              <w:ind w:left="266"/>
              <w:spacing w:after="0"/>
              <w:rPr>
                <w:sz w:val="20"/>
                <w:szCs w:val="20"/>
                <w:color w:val="auto"/>
              </w:rPr>
            </w:pPr>
            <w:r>
              <w:rPr>
                <w:rFonts w:ascii="Arial" w:cs="Arial" w:eastAsia="Arial" w:hAnsi="Arial"/>
                <w:sz w:val="18"/>
                <w:szCs w:val="18"/>
                <w:color w:val="auto"/>
                <w:w w:val="93"/>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3"/>
              </w:rPr>
              <w:t>C</w:t>
            </w:r>
          </w:p>
        </w:tc>
      </w:tr>
      <w:tr>
        <w:trPr>
          <w:trHeight w:val="263"/>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Mary J. Schumacher (I)</w:t>
            </w:r>
          </w:p>
        </w:tc>
        <w:tc>
          <w:tcPr>
            <w:tcW w:w="2460" w:type="dxa"/>
            <w:vAlign w:val="bottom"/>
            <w:tcBorders>
              <w:top w:val="single" w:sz="8" w:color="auto"/>
            </w:tcBorders>
          </w:tcPr>
          <w:p>
            <w:pPr>
              <w:jc w:val="center"/>
              <w:ind w:left="266"/>
              <w:spacing w:after="0"/>
              <w:rPr>
                <w:sz w:val="20"/>
                <w:szCs w:val="20"/>
                <w:color w:val="auto"/>
              </w:rPr>
            </w:pPr>
            <w:r>
              <w:rPr>
                <w:rFonts w:ascii="Arial" w:cs="Arial" w:eastAsia="Arial" w:hAnsi="Arial"/>
                <w:sz w:val="18"/>
                <w:szCs w:val="18"/>
                <w:color w:val="auto"/>
                <w:w w:val="93"/>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6"/>
              </w:rPr>
              <w:t>C</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63"/>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Jefrey E. Spethmann (I)</w:t>
            </w:r>
          </w:p>
        </w:tc>
        <w:tc>
          <w:tcPr>
            <w:tcW w:w="2460" w:type="dxa"/>
            <w:vAlign w:val="bottom"/>
            <w:tcBorders>
              <w:top w:val="single" w:sz="8" w:color="auto"/>
            </w:tcBorders>
          </w:tcPr>
          <w:p>
            <w:pPr>
              <w:jc w:val="center"/>
              <w:ind w:left="266"/>
              <w:spacing w:after="0"/>
              <w:rPr>
                <w:sz w:val="20"/>
                <w:szCs w:val="20"/>
                <w:color w:val="auto"/>
              </w:rPr>
            </w:pPr>
            <w:r>
              <w:rPr>
                <w:rFonts w:ascii="Arial" w:cs="Arial" w:eastAsia="Arial" w:hAnsi="Arial"/>
                <w:sz w:val="18"/>
                <w:szCs w:val="18"/>
                <w:color w:val="auto"/>
                <w:w w:val="93"/>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r>
      <w:tr>
        <w:trPr>
          <w:trHeight w:val="264"/>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Daniel J. Stauber</w:t>
            </w:r>
          </w:p>
        </w:tc>
        <w:tc>
          <w:tcPr>
            <w:tcW w:w="246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r>
      <w:tr>
        <w:trPr>
          <w:trHeight w:val="263"/>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Yi "Faith" Tang (I)</w:t>
            </w:r>
          </w:p>
        </w:tc>
        <w:tc>
          <w:tcPr>
            <w:tcW w:w="246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spacing w:after="0"/>
              <w:rPr>
                <w:sz w:val="22"/>
                <w:szCs w:val="22"/>
                <w:color w:val="auto"/>
              </w:rPr>
            </w:pPr>
          </w:p>
        </w:tc>
      </w:tr>
      <w:tr>
        <w:trPr>
          <w:trHeight w:val="263"/>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T. Thompson, Chair (I)</w:t>
            </w:r>
          </w:p>
        </w:tc>
        <w:tc>
          <w:tcPr>
            <w:tcW w:w="246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64"/>
        </w:trPr>
        <w:tc>
          <w:tcPr>
            <w:tcW w:w="316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Jefrey L. Wright (I)</w:t>
            </w:r>
          </w:p>
        </w:tc>
        <w:tc>
          <w:tcPr>
            <w:tcW w:w="2460" w:type="dxa"/>
            <w:vAlign w:val="bottom"/>
            <w:tcBorders>
              <w:top w:val="single" w:sz="8" w:color="auto"/>
            </w:tcBorders>
          </w:tcPr>
          <w:p>
            <w:pPr>
              <w:jc w:val="center"/>
              <w:ind w:left="266"/>
              <w:spacing w:after="0"/>
              <w:rPr>
                <w:sz w:val="20"/>
                <w:szCs w:val="20"/>
                <w:color w:val="auto"/>
              </w:rPr>
            </w:pPr>
            <w:r>
              <w:rPr>
                <w:rFonts w:ascii="Arial" w:cs="Arial" w:eastAsia="Arial" w:hAnsi="Arial"/>
                <w:sz w:val="18"/>
                <w:szCs w:val="18"/>
                <w:color w:val="auto"/>
                <w:w w:val="76"/>
              </w:rPr>
              <w:t>C</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501"/>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 Independent Director</w:t>
            </w:r>
          </w:p>
        </w:tc>
        <w:tc>
          <w:tcPr>
            <w:tcW w:w="2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 Chair</w:t>
            </w:r>
          </w:p>
        </w:tc>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27"/>
        </w:trPr>
        <w:tc>
          <w:tcPr>
            <w:tcW w:w="3160" w:type="dxa"/>
            <w:vAlign w:val="bottom"/>
          </w:tcPr>
          <w:p>
            <w:pPr>
              <w:spacing w:after="0"/>
              <w:rPr>
                <w:sz w:val="20"/>
                <w:szCs w:val="20"/>
                <w:color w:val="auto"/>
              </w:rPr>
            </w:pPr>
            <w:r>
              <w:rPr>
                <w:rFonts w:ascii="Arial" w:cs="Arial" w:eastAsia="Arial" w:hAnsi="Arial"/>
                <w:sz w:val="18"/>
                <w:szCs w:val="18"/>
                <w:color w:val="auto"/>
              </w:rPr>
              <w:t>M: Member</w:t>
            </w:r>
          </w:p>
        </w:tc>
        <w:tc>
          <w:tcPr>
            <w:tcW w:w="2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92"/>
        </w:trPr>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8"/>
        </w:trPr>
        <w:tc>
          <w:tcPr>
            <w:tcW w:w="31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AUDIT COMMITTEE</w:t>
            </w:r>
          </w:p>
        </w:tc>
        <w:tc>
          <w:tcPr>
            <w:tcW w:w="2460" w:type="dxa"/>
            <w:vAlign w:val="bottom"/>
            <w:tcBorders>
              <w:bottom w:val="single" w:sz="8" w:color="auto"/>
              <w:right w:val="single" w:sz="8" w:color="auto"/>
            </w:tcBorders>
            <w:shd w:val="clear" w:color="auto" w:fill="000000"/>
          </w:tcPr>
          <w:p>
            <w:pPr>
              <w:spacing w:after="0"/>
              <w:rPr>
                <w:sz w:val="24"/>
                <w:szCs w:val="24"/>
                <w:color w:val="auto"/>
              </w:rPr>
            </w:pP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bottom w:val="single" w:sz="8" w:color="auto"/>
              <w:right w:val="single" w:sz="8" w:color="auto"/>
            </w:tcBorders>
            <w:shd w:val="clear" w:color="auto" w:fill="000000"/>
          </w:tcPr>
          <w:p>
            <w:pPr>
              <w:spacing w:after="0"/>
              <w:rPr>
                <w:sz w:val="24"/>
                <w:szCs w:val="24"/>
                <w:color w:val="auto"/>
              </w:rPr>
            </w:pPr>
          </w:p>
        </w:tc>
        <w:tc>
          <w:tcPr>
            <w:tcW w:w="2640" w:type="dxa"/>
            <w:vAlign w:val="bottom"/>
            <w:tcBorders>
              <w:bottom w:val="single" w:sz="8" w:color="auto"/>
              <w:right w:val="single" w:sz="8" w:color="auto"/>
            </w:tcBorders>
            <w:shd w:val="clear" w:color="auto" w:fill="000000"/>
          </w:tcPr>
          <w:p>
            <w:pPr>
              <w:spacing w:after="0"/>
              <w:rPr>
                <w:sz w:val="24"/>
                <w:szCs w:val="24"/>
                <w:color w:val="auto"/>
              </w:rPr>
            </w:pPr>
          </w:p>
        </w:tc>
      </w:tr>
      <w:tr>
        <w:trPr>
          <w:trHeight w:val="290"/>
        </w:trPr>
        <w:tc>
          <w:tcPr>
            <w:tcW w:w="3160" w:type="dxa"/>
            <w:vAlign w:val="bottom"/>
            <w:tcBorders>
              <w:left w:val="single" w:sz="8" w:color="auto"/>
              <w:bottom w:val="single" w:sz="8" w:color="auto"/>
              <w:right w:val="single" w:sz="8" w:color="DBDBDB"/>
            </w:tcBorders>
            <w:shd w:val="clear" w:color="auto" w:fill="DBDBDB"/>
          </w:tcPr>
          <w:p>
            <w:pPr>
              <w:ind w:left="40"/>
              <w:spacing w:after="0"/>
              <w:rPr>
                <w:sz w:val="20"/>
                <w:szCs w:val="20"/>
                <w:color w:val="auto"/>
              </w:rPr>
            </w:pPr>
            <w:r>
              <w:rPr>
                <w:rFonts w:ascii="Arial" w:cs="Arial" w:eastAsia="Arial" w:hAnsi="Arial"/>
                <w:sz w:val="22"/>
                <w:szCs w:val="22"/>
                <w:b w:val="1"/>
                <w:bCs w:val="1"/>
                <w:color w:val="auto"/>
              </w:rPr>
              <w:t>Audit Commitee Members</w:t>
            </w:r>
          </w:p>
        </w:tc>
        <w:tc>
          <w:tcPr>
            <w:tcW w:w="2460" w:type="dxa"/>
            <w:vAlign w:val="bottom"/>
            <w:tcBorders>
              <w:bottom w:val="single" w:sz="8" w:color="auto"/>
              <w:right w:val="single" w:sz="8" w:color="auto"/>
            </w:tcBorders>
            <w:shd w:val="clear" w:color="auto" w:fill="DBDBDB"/>
          </w:tcPr>
          <w:p>
            <w:pPr>
              <w:spacing w:after="0"/>
              <w:rPr>
                <w:sz w:val="24"/>
                <w:szCs w:val="24"/>
                <w:color w:val="auto"/>
              </w:rPr>
            </w:pPr>
          </w:p>
        </w:tc>
        <w:tc>
          <w:tcPr>
            <w:tcW w:w="5600" w:type="dxa"/>
            <w:vAlign w:val="bottom"/>
            <w:tcBorders>
              <w:bottom w:val="single" w:sz="8" w:color="auto"/>
              <w:right w:val="single" w:sz="8" w:color="auto"/>
            </w:tcBorders>
            <w:gridSpan w:val="3"/>
            <w:shd w:val="clear" w:color="auto" w:fill="DBDBDB"/>
          </w:tcPr>
          <w:p>
            <w:pPr>
              <w:ind w:left="20"/>
              <w:spacing w:after="0"/>
              <w:rPr>
                <w:sz w:val="20"/>
                <w:szCs w:val="20"/>
                <w:color w:val="auto"/>
              </w:rPr>
            </w:pPr>
            <w:r>
              <w:rPr>
                <w:rFonts w:ascii="Arial" w:cs="Arial" w:eastAsia="Arial" w:hAnsi="Arial"/>
                <w:sz w:val="22"/>
                <w:szCs w:val="22"/>
                <w:b w:val="1"/>
                <w:bCs w:val="1"/>
                <w:color w:val="auto"/>
              </w:rPr>
              <w:t>Representatve Functons of the Audit Commitee</w:t>
            </w:r>
          </w:p>
        </w:tc>
      </w:tr>
      <w:tr>
        <w:trPr>
          <w:trHeight w:val="211"/>
        </w:trPr>
        <w:tc>
          <w:tcPr>
            <w:tcW w:w="3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246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Select and appoint our independent auditors and meet with the</w:t>
            </w:r>
          </w:p>
        </w:tc>
      </w:tr>
      <w:tr>
        <w:trPr>
          <w:trHeight w:val="203"/>
        </w:trPr>
        <w:tc>
          <w:tcPr>
            <w:tcW w:w="31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24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independent auditors and fnancial management to review the</w:t>
            </w:r>
          </w:p>
        </w:tc>
      </w:tr>
      <w:tr>
        <w:trPr>
          <w:trHeight w:val="203"/>
        </w:trPr>
        <w:tc>
          <w:tcPr>
            <w:tcW w:w="316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Jefrey E. Spethmann</w:t>
            </w:r>
          </w:p>
        </w:tc>
        <w:tc>
          <w:tcPr>
            <w:tcW w:w="24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scope of the audit and the audit procedures.</w:t>
            </w:r>
          </w:p>
        </w:tc>
      </w:tr>
      <w:tr>
        <w:trPr>
          <w:trHeight w:val="216"/>
        </w:trPr>
        <w:tc>
          <w:tcPr>
            <w:tcW w:w="3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Jefrey L. Wright, Chair</w:t>
            </w:r>
          </w:p>
        </w:tc>
        <w:tc>
          <w:tcPr>
            <w:tcW w:w="246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Provide independent, objectve oversight with respect to our</w:t>
            </w:r>
          </w:p>
        </w:tc>
      </w:tr>
      <w:tr>
        <w:trPr>
          <w:trHeight w:val="203"/>
        </w:trPr>
        <w:tc>
          <w:tcPr>
            <w:tcW w:w="3160" w:type="dxa"/>
            <w:vAlign w:val="bottom"/>
            <w:tcBorders>
              <w:lef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w w:val="99"/>
              </w:rPr>
              <w:t>company’s accountng and fnancial reportng functons, internal</w:t>
            </w:r>
          </w:p>
        </w:tc>
      </w:tr>
      <w:tr>
        <w:trPr>
          <w:trHeight w:val="203"/>
        </w:trPr>
        <w:tc>
          <w:tcPr>
            <w:tcW w:w="3160" w:type="dxa"/>
            <w:vAlign w:val="bottom"/>
            <w:tcBorders>
              <w:lef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w w:val="93"/>
              </w:rPr>
              <w:t>and external audit functons, systems of internal controls regarding</w:t>
            </w:r>
          </w:p>
        </w:tc>
      </w:tr>
      <w:tr>
        <w:trPr>
          <w:trHeight w:val="216"/>
        </w:trPr>
        <w:tc>
          <w:tcPr>
            <w:tcW w:w="3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6"/>
              </w:rPr>
              <w:t>Number of meetngs during fscal 2023: 4</w:t>
            </w:r>
          </w:p>
        </w:tc>
        <w:tc>
          <w:tcPr>
            <w:tcW w:w="24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2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fnancial maters, and compliance.</w:t>
            </w:r>
          </w:p>
        </w:tc>
      </w:tr>
      <w:tr>
        <w:trPr>
          <w:trHeight w:val="203"/>
        </w:trPr>
        <w:tc>
          <w:tcPr>
            <w:tcW w:w="3160" w:type="dxa"/>
            <w:vAlign w:val="bottom"/>
            <w:tcBorders>
              <w:lef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Provide oversight with respect to maters of cybersecurity</w:t>
            </w:r>
          </w:p>
        </w:tc>
      </w:tr>
      <w:tr>
        <w:trPr>
          <w:trHeight w:val="227"/>
        </w:trPr>
        <w:tc>
          <w:tcPr>
            <w:tcW w:w="3160" w:type="dxa"/>
            <w:vAlign w:val="bottom"/>
            <w:tcBorders>
              <w:lef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impactng the company.</w:t>
            </w:r>
          </w:p>
        </w:tc>
        <w:tc>
          <w:tcPr>
            <w:tcW w:w="2640" w:type="dxa"/>
            <w:vAlign w:val="bottom"/>
            <w:tcBorders>
              <w:right w:val="single" w:sz="8" w:color="auto"/>
            </w:tcBorders>
          </w:tcPr>
          <w:p>
            <w:pPr>
              <w:spacing w:after="0"/>
              <w:rPr>
                <w:sz w:val="19"/>
                <w:szCs w:val="19"/>
                <w:color w:val="auto"/>
              </w:rPr>
            </w:pPr>
          </w:p>
        </w:tc>
      </w:tr>
      <w:tr>
        <w:trPr>
          <w:trHeight w:val="35"/>
        </w:trPr>
        <w:tc>
          <w:tcPr>
            <w:tcW w:w="3160" w:type="dxa"/>
            <w:vAlign w:val="bottom"/>
            <w:tcBorders>
              <w:left w:val="single" w:sz="8" w:color="auto"/>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0" w:name="page11"/>
    <w:bookmarkEnd w:id="10"/>
    <w:p>
      <w:pPr>
        <w:ind w:left="660" w:right="20" w:hanging="328"/>
        <w:spacing w:after="0" w:line="27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has determined that all members of the Audit Commitee are “independent” as that term is used in Secton 10A(m) of the Securites Exchange Act of 1934, as amended (the "Exchange Act"), and “Independent Directors” as that term is defned under the applicable listng standards of Nasdaq. Our Board has determined that Messrs. Faulconbridge, Spethmann and Wright, and Ms. Schumacher, are “audit commitee fnancial experts,” as the term is defned by regulatons promulgated by the Securites and Exchange Commission ("SEC").</w:t>
      </w:r>
    </w:p>
    <w:p>
      <w:pPr>
        <w:spacing w:after="0" w:line="201" w:lineRule="exact"/>
        <w:rPr>
          <w:rFonts w:ascii="Arial" w:cs="Arial" w:eastAsia="Arial" w:hAnsi="Arial"/>
          <w:sz w:val="17"/>
          <w:szCs w:val="17"/>
          <w:color w:val="auto"/>
        </w:rPr>
      </w:pPr>
    </w:p>
    <w:p>
      <w:pPr>
        <w:ind w:left="660" w:right="580" w:hanging="328"/>
        <w:spacing w:after="0" w:line="27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responsibilites of the Audit Commitee are set forth in the Audit Commitee Charter. A current copy of the charter is available on our website (www.hawkinsinc.com).</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1243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4333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22"/>
                <w:szCs w:val="22"/>
                <w:b w:val="1"/>
                <w:bCs w:val="1"/>
                <w:color w:val="auto"/>
              </w:rPr>
              <w:t>Compensaton Commitee Members</w:t>
            </w:r>
          </w:p>
        </w:tc>
        <w:tc>
          <w:tcPr>
            <w:tcW w:w="55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22"/>
                <w:szCs w:val="22"/>
                <w:b w:val="1"/>
                <w:bCs w:val="1"/>
                <w:color w:val="auto"/>
                <w:w w:val="94"/>
              </w:rPr>
              <w:t>Representatve Functons of the Compensaton Commitee</w:t>
            </w:r>
          </w:p>
        </w:tc>
        <w:tc>
          <w:tcPr>
            <w:tcW w:w="20" w:type="dxa"/>
            <w:vAlign w:val="bottom"/>
            <w:tcBorders>
              <w:bottom w:val="single" w:sz="8" w:color="auto"/>
            </w:tcBorders>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560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Mary J. Schumacher, Chair</w:t>
            </w:r>
          </w:p>
        </w:tc>
        <w:tc>
          <w:tcPr>
            <w:tcW w:w="5580" w:type="dxa"/>
            <w:vAlign w:val="bottom"/>
          </w:tcPr>
          <w:p>
            <w:pPr>
              <w:ind w:left="340"/>
              <w:spacing w:after="0" w:line="197" w:lineRule="exact"/>
              <w:rPr>
                <w:sz w:val="20"/>
                <w:szCs w:val="20"/>
                <w:color w:val="auto"/>
              </w:rPr>
            </w:pPr>
            <w:r>
              <w:rPr>
                <w:rFonts w:ascii="Arial" w:cs="Arial" w:eastAsia="Arial" w:hAnsi="Arial"/>
                <w:sz w:val="18"/>
                <w:szCs w:val="18"/>
                <w:color w:val="auto"/>
                <w:w w:val="97"/>
              </w:rPr>
              <w:t>•   Review compensaton policies and beneft plans for our company.</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Yi "Faith" Tang</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Review and set compensaton for our executve ofcers.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James T. Thompson</w:t>
            </w: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Jefrey L. Wright</w:t>
            </w:r>
          </w:p>
        </w:tc>
        <w:tc>
          <w:tcPr>
            <w:tcW w:w="5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Number of meetngs during fscal 2023: 4</w:t>
            </w: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bl>
    <w:p>
      <w:pPr>
        <w:spacing w:after="0" w:line="292" w:lineRule="exact"/>
        <w:rPr>
          <w:sz w:val="20"/>
          <w:szCs w:val="20"/>
          <w:color w:val="auto"/>
        </w:rPr>
      </w:pPr>
    </w:p>
    <w:p>
      <w:pPr>
        <w:ind w:left="660" w:right="80" w:hanging="328"/>
        <w:spacing w:after="0" w:line="33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Board has determined that all members of the Compensaton Commitee are “Independent Directors” as that term is defned under the applicable listng standards of Nasdaq and “non-employee directors” as that term is defned in Rule 16b-3 promulgated under the Exchange Act.</w:t>
      </w:r>
    </w:p>
    <w:p>
      <w:pPr>
        <w:spacing w:after="0" w:line="158" w:lineRule="exact"/>
        <w:rPr>
          <w:rFonts w:ascii="Arial" w:cs="Arial" w:eastAsia="Arial" w:hAnsi="Arial"/>
          <w:sz w:val="16"/>
          <w:szCs w:val="16"/>
          <w:color w:val="auto"/>
        </w:rPr>
      </w:pPr>
    </w:p>
    <w:p>
      <w:pPr>
        <w:ind w:left="660" w:right="120" w:hanging="328"/>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Compensaton Commitee retained independent compensaton consultant McLagan, which is part of Aon plc, to provide the Compensaton Commitee with independent advice regarding industry practces for fscal 2023. No member of the Board or any executve ofcer has any afliaton with McLagan. McLagan provides no other services to the company, and reports to the chair of the Compensaton Commitee. The Compensaton Commitee has assessed the independence of McLagan in accordance with SEC and Nasdaq rules and regulatons and has concluded that no confict of interest exists that will prevent them from being independent consultants to the Compensaton Commitee. McLagan advised the Compensaton Commitee on the principal aspects of our executve compensaton components and best practces in executve compensaton and provided market informaton and analysis regarding the compettveness of levels and components of total compensaton for the company’s named executve ofcers for fscal 2023. In determining the compettveness of such compensaton, the Compensaton Commitee reviewed survey data. The company does not benchmark its compensaton. The Compensaton Commitee reviews and considers the informaton provided by McLagan to understand current compensaton practces, levels and structures and to inform its compensaton decisions, but not to establish specifc compensaton parameters based on such data.</w:t>
      </w:r>
    </w:p>
    <w:p>
      <w:pPr>
        <w:spacing w:after="0" w:line="208" w:lineRule="exact"/>
        <w:rPr>
          <w:rFonts w:ascii="Arial" w:cs="Arial" w:eastAsia="Arial" w:hAnsi="Arial"/>
          <w:sz w:val="17"/>
          <w:szCs w:val="17"/>
          <w:color w:val="auto"/>
        </w:rPr>
      </w:pPr>
    </w:p>
    <w:p>
      <w:pPr>
        <w:ind w:left="660" w:right="4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Compensaton Commitee also regularly consults with our Chief Executve Ofcer, who makes recommendatons to the Compensaton Commitee regarding compensaton of our executve ofcers other than the Chief Executve Ofcer, but the Chief Executve Ofcer is not present during votng or deliberatons relatng to his own compensaton. Additonal informaton on the role of the compensaton consultants and management in the Compensaton Commitee’s processes and procedures can be found in the Compensaton Discussion and Analysis secton below.</w:t>
      </w:r>
    </w:p>
    <w:p>
      <w:pPr>
        <w:spacing w:after="0" w:line="219" w:lineRule="exact"/>
        <w:rPr>
          <w:rFonts w:ascii="Arial" w:cs="Arial" w:eastAsia="Arial" w:hAnsi="Arial"/>
          <w:sz w:val="18"/>
          <w:szCs w:val="18"/>
          <w:color w:val="auto"/>
        </w:rPr>
      </w:pPr>
    </w:p>
    <w:p>
      <w:pPr>
        <w:ind w:left="660" w:right="460" w:hanging="328"/>
        <w:spacing w:after="0" w:line="27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responsibilites of the Compensaton Commitee are set forth in the Compensaton Commitee Charter. A current copy of the charter is available on our website (www.hawkinsinc.com).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 w:name="page12"/>
    <w:bookmarkEnd w:id="11"/>
    <w:p>
      <w:pPr>
        <w:ind w:left="40"/>
        <w:spacing w:after="0"/>
        <w:rPr>
          <w:sz w:val="20"/>
          <w:szCs w:val="20"/>
          <w:color w:val="auto"/>
        </w:rPr>
      </w:pPr>
      <w:r>
        <w:rPr>
          <w:rFonts w:ascii="Arial" w:cs="Arial" w:eastAsia="Arial" w:hAnsi="Arial"/>
          <w:sz w:val="22"/>
          <w:szCs w:val="22"/>
          <w:b w:val="1"/>
          <w:bCs w:val="1"/>
          <w:color w:val="FFFFFF"/>
        </w:rPr>
        <w:t>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92024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22"/>
                <w:szCs w:val="22"/>
                <w:b w:val="1"/>
                <w:bCs w:val="1"/>
                <w:color w:val="auto"/>
              </w:rPr>
              <w:t>Governance and Nominatng Commitee Members</w:t>
            </w:r>
          </w:p>
        </w:tc>
        <w:tc>
          <w:tcPr>
            <w:tcW w:w="5580" w:type="dxa"/>
            <w:vAlign w:val="bottom"/>
            <w:shd w:val="clear" w:color="auto" w:fill="DBDBDB"/>
          </w:tcPr>
          <w:p>
            <w:pPr>
              <w:ind w:left="20"/>
              <w:spacing w:after="0"/>
              <w:rPr>
                <w:sz w:val="20"/>
                <w:szCs w:val="20"/>
                <w:color w:val="auto"/>
              </w:rPr>
            </w:pPr>
            <w:r>
              <w:rPr>
                <w:rFonts w:ascii="Arial" w:cs="Arial" w:eastAsia="Arial" w:hAnsi="Arial"/>
                <w:sz w:val="22"/>
                <w:szCs w:val="22"/>
                <w:b w:val="1"/>
                <w:bCs w:val="1"/>
                <w:color w:val="auto"/>
                <w:w w:val="89"/>
              </w:rPr>
              <w:t>Representatve Functons of the Governance and Nominatng</w:t>
            </w:r>
          </w:p>
        </w:tc>
        <w:tc>
          <w:tcPr>
            <w:tcW w:w="20" w:type="dxa"/>
            <w:vAlign w:val="bottom"/>
          </w:tcPr>
          <w:p>
            <w:pPr>
              <w:spacing w:after="0"/>
              <w:rPr>
                <w:sz w:val="21"/>
                <w:szCs w:val="21"/>
                <w:color w:val="auto"/>
              </w:rPr>
            </w:pPr>
          </w:p>
        </w:tc>
      </w:tr>
      <w:tr>
        <w:trPr>
          <w:trHeight w:val="314"/>
        </w:trPr>
        <w:tc>
          <w:tcPr>
            <w:tcW w:w="20" w:type="dxa"/>
            <w:vAlign w:val="bottom"/>
          </w:tcPr>
          <w:p>
            <w:pPr>
              <w:spacing w:after="0"/>
              <w:rPr>
                <w:sz w:val="24"/>
                <w:szCs w:val="24"/>
                <w:color w:val="auto"/>
              </w:rPr>
            </w:pPr>
          </w:p>
        </w:tc>
        <w:tc>
          <w:tcPr>
            <w:tcW w:w="5600" w:type="dxa"/>
            <w:vAlign w:val="bottom"/>
            <w:tcBorders>
              <w:bottom w:val="single" w:sz="8" w:color="DBDBDB"/>
              <w:right w:val="single" w:sz="8" w:color="auto"/>
            </w:tcBorders>
            <w:shd w:val="clear" w:color="auto" w:fill="DBDBDB"/>
          </w:tcPr>
          <w:p>
            <w:pPr>
              <w:spacing w:after="0"/>
              <w:rPr>
                <w:sz w:val="24"/>
                <w:szCs w:val="24"/>
                <w:color w:val="auto"/>
              </w:rPr>
            </w:pPr>
          </w:p>
        </w:tc>
        <w:tc>
          <w:tcPr>
            <w:tcW w:w="5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22"/>
                <w:szCs w:val="22"/>
                <w:b w:val="1"/>
                <w:bCs w:val="1"/>
                <w:color w:val="auto"/>
              </w:rPr>
              <w:t>Commitee</w:t>
            </w:r>
          </w:p>
        </w:tc>
        <w:tc>
          <w:tcPr>
            <w:tcW w:w="20" w:type="dxa"/>
            <w:vAlign w:val="bottom"/>
          </w:tcPr>
          <w:p>
            <w:pPr>
              <w:spacing w:after="0"/>
              <w:rPr>
                <w:sz w:val="24"/>
                <w:szCs w:val="24"/>
                <w:color w:val="auto"/>
              </w:rPr>
            </w:pPr>
          </w:p>
        </w:tc>
      </w:tr>
      <w:tr>
        <w:trPr>
          <w:trHeight w:val="204"/>
        </w:trPr>
        <w:tc>
          <w:tcPr>
            <w:tcW w:w="20" w:type="dxa"/>
            <w:vAlign w:val="bottom"/>
            <w:tcBorders>
              <w:top w:val="single" w:sz="8" w:color="auto"/>
            </w:tcBorders>
          </w:tcPr>
          <w:p>
            <w:pPr>
              <w:spacing w:after="0"/>
              <w:rPr>
                <w:sz w:val="17"/>
                <w:szCs w:val="17"/>
                <w:color w:val="auto"/>
              </w:rPr>
            </w:pPr>
          </w:p>
        </w:tc>
        <w:tc>
          <w:tcPr>
            <w:tcW w:w="5600" w:type="dxa"/>
            <w:vAlign w:val="bottom"/>
            <w:tcBorders>
              <w:top w:val="single" w:sz="8" w:color="auto"/>
              <w:right w:val="single" w:sz="8" w:color="auto"/>
            </w:tcBorders>
          </w:tcPr>
          <w:p>
            <w:pPr>
              <w:ind w:left="20"/>
              <w:spacing w:after="0" w:line="204" w:lineRule="exact"/>
              <w:rPr>
                <w:sz w:val="20"/>
                <w:szCs w:val="20"/>
                <w:color w:val="auto"/>
              </w:rPr>
            </w:pPr>
            <w:r>
              <w:rPr>
                <w:rFonts w:ascii="Arial" w:cs="Arial" w:eastAsia="Arial" w:hAnsi="Arial"/>
                <w:sz w:val="18"/>
                <w:szCs w:val="18"/>
                <w:color w:val="auto"/>
              </w:rPr>
              <w:t>James A. Faulconbridge, Chair</w:t>
            </w:r>
          </w:p>
        </w:tc>
        <w:tc>
          <w:tcPr>
            <w:tcW w:w="5580" w:type="dxa"/>
            <w:vAlign w:val="bottom"/>
            <w:tcBorders>
              <w:top w:val="single" w:sz="8" w:color="auto"/>
            </w:tcBorders>
          </w:tcPr>
          <w:p>
            <w:pPr>
              <w:ind w:left="340"/>
              <w:spacing w:after="0" w:line="204" w:lineRule="exact"/>
              <w:rPr>
                <w:sz w:val="20"/>
                <w:szCs w:val="20"/>
                <w:color w:val="auto"/>
              </w:rPr>
            </w:pPr>
            <w:r>
              <w:rPr>
                <w:rFonts w:ascii="Arial" w:cs="Arial" w:eastAsia="Arial" w:hAnsi="Arial"/>
                <w:sz w:val="18"/>
                <w:szCs w:val="18"/>
                <w:color w:val="auto"/>
                <w:w w:val="98"/>
              </w:rPr>
              <w:t>•   Identfy individuals qualifed to become directors and recommend</w:t>
            </w:r>
          </w:p>
        </w:tc>
        <w:tc>
          <w:tcPr>
            <w:tcW w:w="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Mary J. Schumacher</w:t>
            </w: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nominees to our Board for electon at annual meetngs of</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James T. Thompson</w:t>
            </w: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shareholders and to fll vacancies.</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Jefrey L. Wright</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Monitor developments in director compensaton.</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auto"/>
            </w:tcBorders>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   Develop and recommend to our Board corporate governance</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spacing w:after="0"/>
              <w:rPr>
                <w:sz w:val="17"/>
                <w:szCs w:val="17"/>
                <w:color w:val="auto"/>
              </w:rPr>
            </w:pP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principles applicable to us.</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Number of meetngs during fscal 2023: 4</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Review the Company's environmental, social and governance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auto"/>
            </w:tcBorders>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strategy and policies.</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00" w:type="dxa"/>
            <w:vAlign w:val="bottom"/>
            <w:tcBorders>
              <w:right w:val="single" w:sz="8" w:color="auto"/>
            </w:tcBorders>
          </w:tcPr>
          <w:p>
            <w:pPr>
              <w:spacing w:after="0"/>
              <w:rPr>
                <w:sz w:val="17"/>
                <w:szCs w:val="17"/>
                <w:color w:val="auto"/>
              </w:rPr>
            </w:pP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Oversee public policy maters and compliance with our Code of</w:t>
            </w:r>
          </w:p>
        </w:tc>
        <w:tc>
          <w:tcPr>
            <w:tcW w:w="2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600" w:type="dxa"/>
            <w:vAlign w:val="bottom"/>
            <w:tcBorders>
              <w:right w:val="single" w:sz="8" w:color="auto"/>
            </w:tcBorders>
          </w:tcPr>
          <w:p>
            <w:pPr>
              <w:spacing w:after="0"/>
              <w:rPr>
                <w:sz w:val="19"/>
                <w:szCs w:val="19"/>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Conduct.</w:t>
            </w:r>
          </w:p>
        </w:tc>
        <w:tc>
          <w:tcPr>
            <w:tcW w:w="20" w:type="dxa"/>
            <w:vAlign w:val="bottom"/>
          </w:tcPr>
          <w:p>
            <w:pPr>
              <w:spacing w:after="0"/>
              <w:rPr>
                <w:sz w:val="19"/>
                <w:szCs w:val="19"/>
                <w:color w:val="auto"/>
              </w:rPr>
            </w:pPr>
          </w:p>
        </w:tc>
      </w:tr>
      <w:tr>
        <w:trPr>
          <w:trHeight w:val="35"/>
        </w:trPr>
        <w:tc>
          <w:tcPr>
            <w:tcW w:w="20" w:type="dxa"/>
            <w:vAlign w:val="bottom"/>
            <w:tcBorders>
              <w:bottom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ind w:left="660" w:right="100" w:hanging="328"/>
        <w:spacing w:after="0" w:line="27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has determined that all members of the Governance and Nominatng Commitee are “Independent Directors” as that term is defned under the applicable listng standards of Nasdaq.</w:t>
      </w:r>
    </w:p>
    <w:p>
      <w:pPr>
        <w:spacing w:after="0" w:line="204"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Governance and Nominatng Commitee evaluated potental candidates for director nominaton on the basis indicated below and recommended to the Board that the director nominees included in this proxy statement be submited to the shareholders for electon at the Annual Meetng.</w:t>
      </w:r>
    </w:p>
    <w:p>
      <w:pPr>
        <w:spacing w:after="0" w:line="213" w:lineRule="exact"/>
        <w:rPr>
          <w:rFonts w:ascii="Arial" w:cs="Arial" w:eastAsia="Arial" w:hAnsi="Arial"/>
          <w:sz w:val="18"/>
          <w:szCs w:val="18"/>
          <w:color w:val="auto"/>
        </w:rPr>
      </w:pPr>
    </w:p>
    <w:p>
      <w:pPr>
        <w:ind w:left="660" w:right="540" w:hanging="328"/>
        <w:spacing w:after="0" w:line="27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responsibilites of the Governance and Nominatng Commitee are set forth in the Governance and Nominatng Commitee Charter. A current copy of the charter is available on our website (www.hawkinsinc.com).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Nominatng Process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Governance and Nominatng Commitee considers candidates for our Board in accordance with our By-Laws, Governance and Nominatng Commitee Charter and Principles of Corporate Governance, a copy of which is available at our website (www.hawkinsinc.com). Any shareholder seeking to make a director nominaton should send the director candidate’s name, credentals and contact informaton, a signed statement consentng to his or her nominaton and agreeing, if elected, to serve as a director, a completed director nominee questonnaire (available from our Secretary upon request) and the other informaton required by our By-Laws, to our Secretary no later than 90 days prior to the frst anniversary of the preceding year’s annual meetng. The proposing shareholder should also include his or her contact informaton and evidence that the person submitng the nominaton is a shareholder of the company.</w:t>
      </w:r>
    </w:p>
    <w:p>
      <w:pPr>
        <w:spacing w:after="0" w:line="2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Governance and Nominatng Commitee will evaluate candidates (nominated by shareholders or otherwise) in accordance with the criteria set forth in our By-Laws, Governance and Nominatng Commitee Charter and Principles of Corporate Governance. Under our Principles of Corporate Governance, we maintain minimum qualifcatons that the Board, as a group, must meet, including governance, business and professional experience, industry awareness and knowledge and stakeholder awareness. Each director must also have high standards of personal ethics and a commitment to the mission and integrity of the company and be willing and able to devote the necessary tme and energy to fulflling the Board’s responsibility of oversight of the company and its management. In evaluatng individual candidates, the Governance and Nominatng Commitee will consider fnancial literacy, knowledge of our industry or other background relevant to our needs, status as a stakeholder in our company, “independence” for purposes of compliance with Internal Revenue Service and SEC rules and Nasdaq listng standards, and willingness, ability and availability for service. The Governance and Nominatng Commitee may engage an outside search frm to assist in identfying and screening new director candidates and coordinatng the selecton process. The company does not have a formal policy with regard to the consideraton of diversity in identfying director nominees, but the Governance and Nominatng Commitee strives to nominate directors with a variety of complementary skills so that, as a group, the Board will possess the appropriate talent, skills, and expertse to oversee the company’s businesses.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company’s management is responsible for identfying the various risks facing the company, formulatng risk management policies and procedures, and managing the company’s risk exposures on a day-to-day basis. The Board is responsible for monitoring the company’s risk management processes by informing itself concerning the company’s material risks and evaluatng whether management has reasonable controls in place to address the material risks. The Board is not responsible,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2" w:right="359" w:bottom="1440" w:gutter="0" w:footer="0" w:header="0"/>
        </w:sectPr>
      </w:pPr>
    </w:p>
    <w:bookmarkStart w:id="12" w:name="page13"/>
    <w:bookmarkEnd w:id="12"/>
    <w:p>
      <w:pPr>
        <w:ind w:right="80"/>
        <w:spacing w:after="0" w:line="271" w:lineRule="auto"/>
        <w:rPr>
          <w:sz w:val="20"/>
          <w:szCs w:val="20"/>
          <w:color w:val="auto"/>
        </w:rPr>
      </w:pPr>
      <w:r>
        <w:rPr>
          <w:rFonts w:ascii="Arial" w:cs="Arial" w:eastAsia="Arial" w:hAnsi="Arial"/>
          <w:sz w:val="17"/>
          <w:szCs w:val="17"/>
          <w:color w:val="auto"/>
        </w:rPr>
        <w:t>however, for identfying or managing the company’s various risks. The Audit Commitee is primarily responsible for monitoring management’s responsibility in the area of fnancial risk oversight, and fnancial risk management is a factor the Board and its Governance and Nominatng Commitee consider when determining which directors serve on the Audit Commitee. Accordingly, management reported to the Board and its Audit Commitee on various risk management maters during fscal 2023. The Audit Commitee, in turn, reports on the maters discussed at the commitee level to the full Board. The Audit Commitee and the Board focus on the material risks facing the company, including operatonal, market, liquidity, legal and regulatory risks, to assess whether management has reasonable controls in place to address these risks. The Board believes this allocaton of responsibility provides an efectve and efcient approach for addressing risk management.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Hedging Prohibitons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of our directors, ofcers, other employees and their designees are prohibited from (i) purchasing fnancial instruments (including prepaid variable forward contracts, equity swaps, collars and exchange funds) that hedge or ofset, or are designed to hedge or ofset, any decrease in the market value of our equity securites and (ii) otherwise engaging in transactons that hedge or ofset, or are designed to hedge of ofset, any decrease in the market value of our equity securites. Notwithstanding the foregoing, portolio diversifcaton transactons and investments in broad-based index funds is generally permited. The prohibiton applies to securites granted to the covered persons as part of compensaton for their service to the company plus any other Company securites held by them, whether directly or indirectly.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Prohibited Transactons</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Our policies also prohibit executve ofcers and directors from holding Company securites in a margin account or otherwise pledging Company securites as collateral for a loan.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Communicatons with Directors</w:t>
      </w:r>
    </w:p>
    <w:p>
      <w:pPr>
        <w:spacing w:after="0" w:line="137" w:lineRule="exact"/>
        <w:rPr>
          <w:sz w:val="20"/>
          <w:szCs w:val="20"/>
          <w:color w:val="auto"/>
        </w:rPr>
      </w:pPr>
    </w:p>
    <w:p>
      <w:pPr>
        <w:jc w:val="both"/>
        <w:ind w:right="560"/>
        <w:spacing w:after="0" w:line="337" w:lineRule="auto"/>
        <w:rPr>
          <w:sz w:val="20"/>
          <w:szCs w:val="20"/>
          <w:color w:val="auto"/>
        </w:rPr>
      </w:pPr>
      <w:r>
        <w:rPr>
          <w:rFonts w:ascii="Arial" w:cs="Arial" w:eastAsia="Arial" w:hAnsi="Arial"/>
          <w:sz w:val="16"/>
          <w:szCs w:val="16"/>
          <w:color w:val="auto"/>
        </w:rPr>
        <w:t>Shareholders can contact the full Board, the independent directors as a group or any of the individual directors by writng to our Secretary at 2381 Rosegate, Roseville, Minnesota 55113. All communicatons will be compiled by the Secretary and submited to the addressees on a periodic basis.</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SOCIAL AND GOVERNANCE COMMITMENT</w:t>
      </w:r>
    </w:p>
    <w:p>
      <w:pPr>
        <w:spacing w:after="0" w:line="2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are commited to strong environmental, social and governance ("ESG") principles. We recognize that the way we do business impacts our results. Accordingly, we promote and support business practces that are environmentally sustainable, socially responsible, and aligned with strong corporate governance practces. Our Environmental, Social and Governance Report, available on our website (www.hawkinsinc.com), highlights our commitment to ESG principles.</w:t>
      </w:r>
    </w:p>
    <w:p>
      <w:pPr>
        <w:spacing w:after="0" w:line="2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work to improve the quality of people's lives--from employees, to customers, to the communites where we operate. Recent initatves have focused on:</w:t>
      </w:r>
    </w:p>
    <w:p>
      <w:pPr>
        <w:spacing w:after="0" w:line="1" w:lineRule="exact"/>
        <w:rPr>
          <w:sz w:val="20"/>
          <w:szCs w:val="20"/>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People </w:t>
      </w:r>
      <w:r>
        <w:rPr>
          <w:rFonts w:ascii="Arial" w:cs="Arial" w:eastAsia="Arial" w:hAnsi="Arial"/>
          <w:sz w:val="18"/>
          <w:szCs w:val="18"/>
          <w:color w:val="auto"/>
        </w:rPr>
        <w:t>- our employees are the heart of our business and our long-term success. Safety is our core value and we work to achieve zero recordable</w:t>
      </w:r>
      <w:r>
        <w:rPr>
          <w:rFonts w:ascii="Arial" w:cs="Arial" w:eastAsia="Arial" w:hAnsi="Arial"/>
          <w:sz w:val="18"/>
          <w:szCs w:val="18"/>
          <w:i w:val="1"/>
          <w:iCs w:val="1"/>
          <w:color w:val="auto"/>
        </w:rPr>
        <w:t xml:space="preserve"> </w:t>
      </w:r>
      <w:r>
        <w:rPr>
          <w:rFonts w:ascii="Arial" w:cs="Arial" w:eastAsia="Arial" w:hAnsi="Arial"/>
          <w:sz w:val="18"/>
          <w:szCs w:val="18"/>
          <w:color w:val="auto"/>
        </w:rPr>
        <w:t>injuries. We contnue to assess and adopt new processes to improve the safety of our employees. We seek to retain our employees through compettve compensaton and benefts packages and our values-driven culture.</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Environment </w:t>
      </w:r>
      <w:r>
        <w:rPr>
          <w:rFonts w:ascii="Arial" w:cs="Arial" w:eastAsia="Arial" w:hAnsi="Arial"/>
          <w:sz w:val="18"/>
          <w:szCs w:val="18"/>
          <w:color w:val="auto"/>
        </w:rPr>
        <w:t>- Many of our products are crucial in assistng our customers in reducing their impact on the environment. Our water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chemistry ensures that millions of Americans have safe drinking water every day and cleans the wastewater before it enters our lakes and streams. Many of our products help our customers meet their own environmental sustainability goals.</w:t>
      </w:r>
    </w:p>
    <w:p>
      <w:pPr>
        <w:spacing w:after="0" w:line="1" w:lineRule="exact"/>
        <w:rPr>
          <w:rFonts w:ascii="Arial" w:cs="Arial" w:eastAsia="Arial" w:hAnsi="Arial"/>
          <w:sz w:val="18"/>
          <w:szCs w:val="18"/>
          <w:color w:val="auto"/>
        </w:rPr>
      </w:pPr>
    </w:p>
    <w:p>
      <w:pPr>
        <w:ind w:left="660" w:right="22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Community Impact </w:t>
      </w:r>
      <w:r>
        <w:rPr>
          <w:rFonts w:ascii="Arial" w:cs="Arial" w:eastAsia="Arial" w:hAnsi="Arial"/>
          <w:sz w:val="18"/>
          <w:szCs w:val="18"/>
          <w:color w:val="auto"/>
        </w:rPr>
        <w:t>- With more than 800 employees, we believe our greatest asset for driving change is the commitment of our employees to</w:t>
      </w:r>
      <w:r>
        <w:rPr>
          <w:rFonts w:ascii="Arial" w:cs="Arial" w:eastAsia="Arial" w:hAnsi="Arial"/>
          <w:sz w:val="18"/>
          <w:szCs w:val="18"/>
          <w:i w:val="1"/>
          <w:iCs w:val="1"/>
          <w:color w:val="auto"/>
        </w:rPr>
        <w:t xml:space="preserve"> </w:t>
      </w:r>
      <w:r>
        <w:rPr>
          <w:rFonts w:ascii="Arial" w:cs="Arial" w:eastAsia="Arial" w:hAnsi="Arial"/>
          <w:sz w:val="18"/>
          <w:szCs w:val="18"/>
          <w:color w:val="auto"/>
        </w:rPr>
        <w:t>driving positve impact in their communites. We sponsor and support numerous charitable organizatons, contribute to rural water apprentceships, and our employees donate their tme. These contributons help to support the work of nonproft organizatons of all sizes, working in areas such as youth actvites, disaster response, state rural water associatons, and veterans.</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At the Board level, our Governance and Nominatng Commitee oversees sustainability and social responsibility. At the management level, our Executve Vice President and Chief Financial Ofcer and General Counsel, who report directly to our Chief Executve Ofcer, have general oversight responsibility with respect to maters of sustainability and social responsibility.</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3" w:name="page14"/>
    <w:bookmarkEnd w:id="13"/>
    <w:p>
      <w:pPr>
        <w:ind w:right="360"/>
        <w:spacing w:after="0" w:line="279" w:lineRule="auto"/>
        <w:rPr>
          <w:sz w:val="20"/>
          <w:szCs w:val="20"/>
          <w:color w:val="auto"/>
        </w:rPr>
      </w:pPr>
      <w:r>
        <w:rPr>
          <w:rFonts w:ascii="Arial" w:cs="Arial" w:eastAsia="Arial" w:hAnsi="Arial"/>
          <w:sz w:val="25"/>
          <w:szCs w:val="25"/>
          <w:b w:val="1"/>
          <w:bCs w:val="1"/>
          <w:color w:val="auto"/>
        </w:rPr>
        <w:t>PROPOSAL TWO - RATIFICATION OF APPOINTMENT OF INDEPENDENT REGISTERED PUBLIC ACCOUNTING FIRM</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Commitee of the Board of Directors has appointed Grant Thornton LLP ("Grant Thornton") as our independent registered public accountng frm for the fscal year ending March 31, 2024. Grant Thornton has served as our independent registered public accountng frm since fscal 2020. Although the ratfcaton of the appointment of an independent registered public accountng frm is not required to be submited to a vote of stockholders, our Board of Directors has decided, as a good governance practce, to ask our stockholders to ratfy this appointment. If our stockholders do not ratfy the appointment of Grant Thornton, the Audit Commitee will consider the shareholder vote in the course of selectng an independent registered public accountng frm for the following year.</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OUR BOARD RECOMMENDS THAT THIS APPOINTMENT BE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Audit Commitee has (i) reviewed and discussed our audited fnancial statements for fscal 2023 with both our management and Grant Thornton LLP (“Grant Thornton”); (ii) discussed with Grant Thornton the maters required to be discussed by the applicable requirements of the Public Company Accountng Oversight Board and the SEC; (iii) received from Grant Thornton the writen disclosures and the leter required by applicable requirements of the Public Company Accountng Oversight Board regarding the independent accountant’s communicatons with the Audit Commitee concerning independence and discussed with Grant Thornton its independence; and (iv) considered whether the non-audit services provided by Grant Thornton are compatble with maintaining the independence of Grant Thornton.</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Based on the review and discussions described above, the Audit Commitee recommended to our Board that our audited fnancial statements be included in our Annual Report on Form 10-K for fscal 2023 for fling with the SEC.</w:t>
      </w:r>
    </w:p>
    <w:p>
      <w:pPr>
        <w:spacing w:after="0" w:line="42" w:lineRule="exact"/>
        <w:rPr>
          <w:sz w:val="20"/>
          <w:szCs w:val="20"/>
          <w:color w:val="auto"/>
        </w:rPr>
      </w:pPr>
    </w:p>
    <w:p>
      <w:pPr>
        <w:ind w:left="2020"/>
        <w:spacing w:after="0"/>
        <w:tabs>
          <w:tab w:leader="none" w:pos="4080" w:val="left"/>
          <w:tab w:leader="none" w:pos="6180" w:val="left"/>
        </w:tabs>
        <w:rPr>
          <w:sz w:val="20"/>
          <w:szCs w:val="20"/>
          <w:color w:val="auto"/>
        </w:rPr>
      </w:pPr>
      <w:r>
        <w:rPr>
          <w:rFonts w:ascii="Arial" w:cs="Arial" w:eastAsia="Arial" w:hAnsi="Arial"/>
          <w:sz w:val="18"/>
          <w:szCs w:val="18"/>
          <w:i w:val="1"/>
          <w:iCs w:val="1"/>
          <w:color w:val="auto"/>
        </w:rPr>
        <w:t>Jefrey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Mary J. Schumacher Jefrey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-7620</wp:posOffset>
            </wp:positionV>
            <wp:extent cx="4584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84700"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Commitee of the Board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259"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The following table shows the aggregate fees charged to us by Grant Thornton for services rendered for fscal 2023 and fscal 2022. The Audit Commitee pre-approved 100% of the services described below.</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0" w:type="dxa"/>
            <w:vAlign w:val="bottom"/>
            <w:tcBorders>
              <w:top w:val="single" w:sz="8" w:color="auto"/>
              <w:left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5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Fiscal 2023</w:t>
            </w: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40" w:type="dxa"/>
            <w:vAlign w:val="bottom"/>
            <w:tcBorders>
              <w:top w:val="single" w:sz="8" w:color="auto"/>
              <w:right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Fiscal 2022</w:t>
            </w:r>
          </w:p>
        </w:tc>
      </w:tr>
      <w:tr>
        <w:trPr>
          <w:trHeight w:val="196"/>
        </w:trPr>
        <w:tc>
          <w:tcPr>
            <w:tcW w:w="6740" w:type="dxa"/>
            <w:vAlign w:val="bottom"/>
            <w:tcBorders>
              <w:left w:val="single" w:sz="8" w:color="auto"/>
            </w:tcBorders>
            <w:gridSpan w:val="3"/>
          </w:tcPr>
          <w:p>
            <w:pPr>
              <w:ind w:left="40"/>
              <w:spacing w:after="0" w:line="196" w:lineRule="exact"/>
              <w:rPr>
                <w:sz w:val="20"/>
                <w:szCs w:val="20"/>
                <w:color w:val="auto"/>
              </w:rPr>
            </w:pPr>
            <w:r>
              <w:rPr>
                <w:rFonts w:ascii="Arial" w:cs="Arial" w:eastAsia="Arial" w:hAnsi="Arial"/>
                <w:sz w:val="18"/>
                <w:szCs w:val="18"/>
                <w:b w:val="1"/>
                <w:bCs w:val="1"/>
                <w:color w:val="auto"/>
              </w:rPr>
              <w:t>Descripton of Fees</w:t>
            </w:r>
          </w:p>
        </w:tc>
        <w:tc>
          <w:tcPr>
            <w:tcW w:w="360" w:type="dxa"/>
            <w:vAlign w:val="bottom"/>
          </w:tcPr>
          <w:p>
            <w:pPr>
              <w:spacing w:after="0"/>
              <w:rPr>
                <w:sz w:val="17"/>
                <w:szCs w:val="17"/>
                <w:color w:val="auto"/>
              </w:rPr>
            </w:pPr>
          </w:p>
        </w:tc>
        <w:tc>
          <w:tcPr>
            <w:tcW w:w="1720" w:type="dxa"/>
            <w:vAlign w:val="bottom"/>
          </w:tcPr>
          <w:p>
            <w:pPr>
              <w:jc w:val="right"/>
              <w:ind w:right="650"/>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right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Amount</w:t>
            </w:r>
          </w:p>
        </w:tc>
      </w:tr>
      <w:tr>
        <w:trPr>
          <w:trHeight w:val="34"/>
        </w:trPr>
        <w:tc>
          <w:tcPr>
            <w:tcW w:w="40" w:type="dxa"/>
            <w:vAlign w:val="bottom"/>
            <w:tcBorders>
              <w:left w:val="single" w:sz="8" w:color="auto"/>
              <w:bottom w:val="single" w:sz="8" w:color="B3B3B3"/>
            </w:tcBorders>
          </w:tcPr>
          <w:p>
            <w:pPr>
              <w:spacing w:after="0"/>
              <w:rPr>
                <w:sz w:val="2"/>
                <w:szCs w:val="2"/>
                <w:color w:val="auto"/>
              </w:rPr>
            </w:pPr>
          </w:p>
        </w:tc>
        <w:tc>
          <w:tcPr>
            <w:tcW w:w="1420" w:type="dxa"/>
            <w:vAlign w:val="bottom"/>
            <w:tcBorders>
              <w:top w:val="single" w:sz="8" w:color="auto"/>
              <w:bottom w:val="single" w:sz="8" w:color="B3B3B3"/>
            </w:tcBorders>
          </w:tcPr>
          <w:p>
            <w:pPr>
              <w:spacing w:after="0"/>
              <w:rPr>
                <w:sz w:val="2"/>
                <w:szCs w:val="2"/>
                <w:color w:val="auto"/>
              </w:rPr>
            </w:pPr>
          </w:p>
        </w:tc>
        <w:tc>
          <w:tcPr>
            <w:tcW w:w="5280" w:type="dxa"/>
            <w:vAlign w:val="bottom"/>
            <w:tcBorders>
              <w:bottom w:val="single" w:sz="8" w:color="B3B3B3"/>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23"/>
        </w:trPr>
        <w:tc>
          <w:tcPr>
            <w:tcW w:w="674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Audit fees</w:t>
            </w:r>
          </w:p>
        </w:tc>
        <w:tc>
          <w:tcPr>
            <w:tcW w:w="360" w:type="dxa"/>
            <w:vAlign w:val="bottom"/>
            <w:shd w:val="clear" w:color="auto" w:fill="B3B3B3"/>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488,000</w:t>
            </w:r>
          </w:p>
        </w:tc>
        <w:tc>
          <w:tcPr>
            <w:tcW w:w="120" w:type="dxa"/>
            <w:vAlign w:val="bottom"/>
            <w:shd w:val="clear" w:color="auto" w:fill="B3B3B3"/>
          </w:tcPr>
          <w:p>
            <w:pPr>
              <w:spacing w:after="0"/>
              <w:rPr>
                <w:sz w:val="19"/>
                <w:szCs w:val="19"/>
                <w:color w:val="auto"/>
              </w:rPr>
            </w:pPr>
          </w:p>
        </w:tc>
        <w:tc>
          <w:tcPr>
            <w:tcW w:w="360" w:type="dxa"/>
            <w:vAlign w:val="bottom"/>
            <w:shd w:val="clear" w:color="auto" w:fill="B3B3B3"/>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445,000</w:t>
            </w:r>
          </w:p>
        </w:tc>
      </w:tr>
      <w:tr>
        <w:trPr>
          <w:trHeight w:val="235"/>
        </w:trPr>
        <w:tc>
          <w:tcPr>
            <w:tcW w:w="674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Audit-related fees</w:t>
            </w: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74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Tax fees</w:t>
            </w:r>
          </w:p>
        </w:tc>
        <w:tc>
          <w:tcPr>
            <w:tcW w:w="360" w:type="dxa"/>
            <w:vAlign w:val="bottom"/>
            <w:shd w:val="clear" w:color="auto" w:fill="B3B3B3"/>
          </w:tcPr>
          <w:p>
            <w:pPr>
              <w:spacing w:after="0"/>
              <w:rPr>
                <w:sz w:val="20"/>
                <w:szCs w:val="20"/>
                <w:color w:val="auto"/>
              </w:rPr>
            </w:pPr>
          </w:p>
        </w:tc>
        <w:tc>
          <w:tcPr>
            <w:tcW w:w="17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3B3B3"/>
          </w:tcPr>
          <w:p>
            <w:pPr>
              <w:spacing w:after="0"/>
              <w:rPr>
                <w:sz w:val="20"/>
                <w:szCs w:val="20"/>
                <w:color w:val="auto"/>
              </w:rPr>
            </w:pPr>
          </w:p>
        </w:tc>
        <w:tc>
          <w:tcPr>
            <w:tcW w:w="360" w:type="dxa"/>
            <w:vAlign w:val="bottom"/>
            <w:shd w:val="clear" w:color="auto" w:fill="B3B3B3"/>
          </w:tcPr>
          <w:p>
            <w:pPr>
              <w:spacing w:after="0"/>
              <w:rPr>
                <w:sz w:val="20"/>
                <w:szCs w:val="20"/>
                <w:color w:val="auto"/>
              </w:rPr>
            </w:pPr>
          </w:p>
        </w:tc>
        <w:tc>
          <w:tcPr>
            <w:tcW w:w="17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Borders>
              <w:left w:val="single" w:sz="8" w:color="auto"/>
            </w:tcBorders>
            <w:gridSpan w:val="3"/>
          </w:tcPr>
          <w:p>
            <w:pPr>
              <w:ind w:left="40"/>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268,980</w:t>
            </w:r>
          </w:p>
        </w:tc>
      </w:tr>
      <w:tr>
        <w:trPr>
          <w:trHeight w:val="230"/>
        </w:trPr>
        <w:tc>
          <w:tcPr>
            <w:tcW w:w="40" w:type="dxa"/>
            <w:vAlign w:val="bottom"/>
            <w:tcBorders>
              <w:left w:val="single" w:sz="8" w:color="auto"/>
              <w:bottom w:val="single" w:sz="8" w:color="auto"/>
            </w:tcBorders>
            <w:shd w:val="clear" w:color="auto" w:fill="B3B3B3"/>
          </w:tcPr>
          <w:p>
            <w:pPr>
              <w:spacing w:after="0"/>
              <w:rPr>
                <w:sz w:val="20"/>
                <w:szCs w:val="20"/>
                <w:color w:val="auto"/>
              </w:rPr>
            </w:pPr>
          </w:p>
        </w:tc>
        <w:tc>
          <w:tcPr>
            <w:tcW w:w="6700" w:type="dxa"/>
            <w:vAlign w:val="bottom"/>
            <w:tcBorders>
              <w:bottom w:val="single" w:sz="8" w:color="auto"/>
            </w:tcBorders>
            <w:gridSpan w:val="2"/>
            <w:shd w:val="clear" w:color="auto" w:fill="B3B3B3"/>
          </w:tcPr>
          <w:p>
            <w:pPr>
              <w:ind w:left="3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B3B3B3"/>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519,950</w:t>
            </w:r>
          </w:p>
        </w:tc>
        <w:tc>
          <w:tcPr>
            <w:tcW w:w="480" w:type="dxa"/>
            <w:vAlign w:val="bottom"/>
            <w:tcBorders>
              <w:bottom w:val="single" w:sz="8" w:color="auto"/>
            </w:tcBorders>
            <w:gridSpan w:val="2"/>
            <w:shd w:val="clear" w:color="auto" w:fill="B3B3B3"/>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713,980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(1) - These fees relate to due diligence performed on acquisitons or potental acquisitons in fscal 2022 and audits of employee beneft plans.</w:t>
      </w:r>
    </w:p>
    <w:p>
      <w:pPr>
        <w:spacing w:after="0" w:line="31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Audit Commitee’s current practce on pre-approval of services performed by our independent registered public accountng frm is to approve annually all audit services, as well as the nature and extent of specifc types of audit-related, tax and other non-audit services to be provided by the independent registered public accountng frm during the year. The Audit Commitee reviews each non-audit service to be provided and assesses the impact of the service on the auditors’ independence. As the need arises, other specifc permited services are pre-approved on a case-by-case basis during the year. The Audit Commitee has delegated to its chair pre-approval authority between meetngs of the Audit Commitee. Any pre-approvals made by the chair must be reported to the Audit Commitee.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Representatves of Grant Thornton are expected to atend the Annual Meetng and will have the opportunity to make a statement if they desire to do so.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They are expected to be available to respond to appropriate questons.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auto"/>
        </w:rPr>
        <w:t>COMPENSATION OF EXECUTIVE OFFICERS AND DIRECTORS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Compensaton Discussion and Analysis</w:t>
      </w:r>
    </w:p>
    <w:p>
      <w:pPr>
        <w:spacing w:after="0" w:line="137" w:lineRule="exact"/>
        <w:rPr>
          <w:sz w:val="20"/>
          <w:szCs w:val="20"/>
          <w:color w:val="auto"/>
        </w:rPr>
      </w:pPr>
    </w:p>
    <w:p>
      <w:pPr>
        <w:ind w:right="480"/>
        <w:spacing w:after="0" w:line="273" w:lineRule="auto"/>
        <w:rPr>
          <w:sz w:val="20"/>
          <w:szCs w:val="20"/>
          <w:color w:val="auto"/>
        </w:rPr>
      </w:pPr>
      <w:r>
        <w:rPr>
          <w:rFonts w:ascii="Arial" w:cs="Arial" w:eastAsia="Arial" w:hAnsi="Arial"/>
          <w:sz w:val="18"/>
          <w:szCs w:val="18"/>
          <w:color w:val="auto"/>
        </w:rPr>
        <w:t>The following discussion and analysis describes our compensaton objectves and policies and the compensaton awarded to the following executve ofcers (our “named executve ofcers”) during fscal 2023:</w:t>
      </w:r>
    </w:p>
    <w:p>
      <w:pPr>
        <w:spacing w:after="0" w:line="42"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Patrick H. Hawkins, Chief Executve Ofcer and President;</w:t>
      </w:r>
    </w:p>
    <w:p>
      <w:pPr>
        <w:spacing w:after="0" w:line="10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Jefrey P. Oldenkamp, Executve Vice President, Chief Financial Ofcer and Treasurer;</w:t>
      </w:r>
    </w:p>
    <w:p>
      <w:pPr>
        <w:spacing w:after="0" w:line="10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Drew M. Grahek, Vice President - Operatons;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 and,</w:t>
      </w:r>
    </w:p>
    <w:p>
      <w:pPr>
        <w:spacing w:after="0" w:line="10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J. Mangine, Vice President - Industrial.</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executve compensaton program is designed to atract and retain executves who will lead our company to achieve long-term success and growth in shareholder value. Consistent with that goal, our executve compensaton program is based on company, business unit and individual performance to align the interests of our executve ofcers with those of our shareholders and is used to encourage our executve ofcers to stay with the company. Our executve compensaton program currently includes a mix of elements that rewards current results as well as motvates long-term performance through an appropriate balance of base pay and performance-based variable compensaton. Our performance-based variable compensaton consists of a short-term component that provides incentves relatve to superior current business results as well as personal performance, and a long-term incentve plan that motvates long-term performance and aligns business objectves with the interests of our shareholders. During fscal 2023, the compensaton commitee did not make any signifcant changes to its executve compensaton policies or to the structure of our executve compensaton program, having taken into account, among other things, the fact that the holders of over 96% of the shares voted at our last annual meetng of shareholders approved, on an advisory basis, the compensaton of our named executve ofcers as disclosed in the proxy statement for that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143500" cy="1714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Measures</w:t>
      </w: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all named executve ofcers except for Mr. Mangine, the sole performance measure for fscal 2023 for purposes of both the non-equity and equity-based incentve arrangements was income before income taxes, adjusted to remove the impact of the gain on the sale of our bleach packaging assets and an additonal adjustment related to the impact of higher interest rates. Because actual performance exceeded the target performance level but was under the maximum performance level, our named executve ofcers received payouts of 151% of the targeted payout level under the corporate performance measure of our annual non-equity incentve compensaton arrangement. In additon, all of the named executve ofcers, including Mr. Mangine, earned 121% of the targeted number of shares of restricted stock issuable in setlement of the performance-based restricted stock units granted for fscal 2023, as described below.</w:t>
      </w:r>
    </w:p>
    <w:p>
      <w:pPr>
        <w:spacing w:after="0" w:line="22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For Mr. Mangine, our Vice President - Industrial, 50% of his incentve arrangement was the same measure of income before income taxes, but the performance measure for the remaining 50% of his incentve arrangement was an operatonal performance measure, of which gross proft is a component. Gross proft for our Industrial segment was $68.1 million for fscal 2023. The Compensaton Commitee utlized an operatonal measure of business unit proftability, which includes gross proft as a component of that proftability measure, as the performance measure for the business unit performance porton of</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5" w:name="page16"/>
    <w:bookmarkEnd w:id="15"/>
    <w:p>
      <w:pPr>
        <w:jc w:val="both"/>
        <w:ind w:right="180"/>
        <w:spacing w:after="0" w:line="262" w:lineRule="auto"/>
        <w:rPr>
          <w:sz w:val="20"/>
          <w:szCs w:val="20"/>
          <w:color w:val="auto"/>
        </w:rPr>
      </w:pPr>
      <w:r>
        <w:rPr>
          <w:rFonts w:ascii="Arial" w:cs="Arial" w:eastAsia="Arial" w:hAnsi="Arial"/>
          <w:sz w:val="18"/>
          <w:szCs w:val="18"/>
          <w:color w:val="auto"/>
        </w:rPr>
        <w:t>the non-equity incentve compensaton arrangement for Mr. Mangine. The actual performance against that operatng measure was above target for the Industrial segment, and as a result Mr. Mangine received a payout equal to 184% of target under the business unit performance measure of our annual non-equity incentve compensaton arrangement.</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2023 Performance Goals for Annual Non-Equity and Equity Awards</w:t>
      </w: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Fiscal 2023 Performance-Based Compensaton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89140" cy="1491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49161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shd w:val="clear" w:color="auto" w:fill="000000"/>
          </w:tcPr>
          <w:p>
            <w:pPr>
              <w:spacing w:after="0"/>
              <w:rPr>
                <w:sz w:val="21"/>
                <w:szCs w:val="21"/>
                <w:color w:val="auto"/>
              </w:rPr>
            </w:pPr>
          </w:p>
        </w:tc>
        <w:tc>
          <w:tcPr>
            <w:tcW w:w="2180" w:type="dxa"/>
            <w:vAlign w:val="bottom"/>
            <w:tcBorders>
              <w:top w:val="single" w:sz="8" w:color="auto"/>
              <w:right w:val="single" w:sz="8" w:color="auto"/>
            </w:tcBorders>
            <w:shd w:val="clear" w:color="auto" w:fill="000000"/>
          </w:tcPr>
          <w:p>
            <w:pPr>
              <w:spacing w:after="0"/>
              <w:rPr>
                <w:sz w:val="21"/>
                <w:szCs w:val="21"/>
                <w:color w:val="auto"/>
              </w:rPr>
            </w:pPr>
          </w:p>
        </w:tc>
        <w:tc>
          <w:tcPr>
            <w:tcW w:w="1880" w:type="dxa"/>
            <w:vAlign w:val="bottom"/>
            <w:tcBorders>
              <w:top w:val="single" w:sz="8" w:color="auto"/>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4"/>
              </w:rPr>
              <w:t>Target Performance</w:t>
            </w:r>
          </w:p>
        </w:tc>
        <w:tc>
          <w:tcPr>
            <w:tcW w:w="1780" w:type="dxa"/>
            <w:vAlign w:val="bottom"/>
            <w:tcBorders>
              <w:top w:val="single" w:sz="8" w:color="auto"/>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6"/>
              </w:rPr>
              <w:t>Actual</w:t>
            </w:r>
          </w:p>
        </w:tc>
        <w:tc>
          <w:tcPr>
            <w:tcW w:w="1660" w:type="dxa"/>
            <w:vAlign w:val="bottom"/>
            <w:tcBorders>
              <w:top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5"/>
              </w:rPr>
              <w:t>Percentage of</w:t>
            </w:r>
          </w:p>
        </w:tc>
        <w:tc>
          <w:tcPr>
            <w:tcW w:w="1520" w:type="dxa"/>
            <w:vAlign w:val="bottom"/>
            <w:tcBorders>
              <w:top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3"/>
              </w:rPr>
              <w:t>Percentage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continue"/>
            <w:shd w:val="clear" w:color="auto" w:fill="000000"/>
          </w:tcPr>
          <w:p>
            <w:pPr>
              <w:spacing w:after="0"/>
              <w:rPr>
                <w:sz w:val="11"/>
                <w:szCs w:val="11"/>
                <w:color w:val="auto"/>
              </w:rPr>
            </w:pPr>
          </w:p>
        </w:tc>
        <w:tc>
          <w:tcPr>
            <w:tcW w:w="178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4"/>
              </w:rPr>
              <w:t>Targeted Non-</w:t>
            </w:r>
          </w:p>
        </w:tc>
        <w:tc>
          <w:tcPr>
            <w:tcW w:w="152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3"/>
              </w:rPr>
              <w:t>Targeted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20" w:type="dxa"/>
            <w:vAlign w:val="bottom"/>
            <w:tcBorders>
              <w:right w:val="single" w:sz="8" w:color="auto"/>
            </w:tcBorders>
            <w:gridSpan w:val="2"/>
            <w:vMerge w:val="restart"/>
            <w:shd w:val="clear" w:color="auto" w:fill="000000"/>
          </w:tcPr>
          <w:p>
            <w:pPr>
              <w:ind w:left="1160"/>
              <w:spacing w:after="0"/>
              <w:rPr>
                <w:sz w:val="20"/>
                <w:szCs w:val="20"/>
                <w:color w:val="auto"/>
              </w:rPr>
            </w:pPr>
            <w:r>
              <w:rPr>
                <w:rFonts w:ascii="Arial" w:cs="Arial" w:eastAsia="Arial" w:hAnsi="Arial"/>
                <w:sz w:val="22"/>
                <w:szCs w:val="22"/>
                <w:b w:val="1"/>
                <w:bCs w:val="1"/>
                <w:color w:val="FFFFFF"/>
              </w:rPr>
              <w:t>Performance Measure</w:t>
            </w: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1"/>
              </w:rPr>
              <w:t>Level</w:t>
            </w:r>
          </w:p>
        </w:tc>
        <w:tc>
          <w:tcPr>
            <w:tcW w:w="17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4"/>
              </w:rPr>
              <w:t>Performance</w:t>
            </w:r>
          </w:p>
        </w:tc>
        <w:tc>
          <w:tcPr>
            <w:tcW w:w="1660" w:type="dxa"/>
            <w:vAlign w:val="bottom"/>
            <w:tcBorders>
              <w:right w:val="single" w:sz="8" w:color="auto"/>
            </w:tcBorders>
            <w:vMerge w:val="continue"/>
            <w:shd w:val="clear" w:color="auto" w:fill="000000"/>
          </w:tcPr>
          <w:p>
            <w:pPr>
              <w:spacing w:after="0"/>
              <w:rPr>
                <w:sz w:val="10"/>
                <w:szCs w:val="10"/>
                <w:color w:val="auto"/>
              </w:rPr>
            </w:pPr>
          </w:p>
        </w:tc>
        <w:tc>
          <w:tcPr>
            <w:tcW w:w="152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Borders>
              <w:right w:val="single" w:sz="8" w:color="auto"/>
            </w:tcBorders>
            <w:gridSpan w:val="2"/>
            <w:vMerge w:val="continue"/>
            <w:shd w:val="clear" w:color="auto" w:fill="000000"/>
          </w:tcPr>
          <w:p>
            <w:pPr>
              <w:spacing w:after="0"/>
              <w:rPr>
                <w:sz w:val="11"/>
                <w:szCs w:val="11"/>
                <w:color w:val="auto"/>
              </w:rPr>
            </w:pPr>
          </w:p>
        </w:tc>
        <w:tc>
          <w:tcPr>
            <w:tcW w:w="1880" w:type="dxa"/>
            <w:vAlign w:val="bottom"/>
            <w:tcBorders>
              <w:right w:val="single" w:sz="8" w:color="auto"/>
            </w:tcBorders>
            <w:vMerge w:val="continue"/>
            <w:shd w:val="clear" w:color="auto" w:fill="000000"/>
          </w:tcPr>
          <w:p>
            <w:pPr>
              <w:spacing w:after="0"/>
              <w:rPr>
                <w:sz w:val="11"/>
                <w:szCs w:val="11"/>
                <w:color w:val="auto"/>
              </w:rPr>
            </w:pPr>
          </w:p>
        </w:tc>
        <w:tc>
          <w:tcPr>
            <w:tcW w:w="178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8"/>
              </w:rPr>
              <w:t>Equity Incentve</w:t>
            </w:r>
          </w:p>
        </w:tc>
        <w:tc>
          <w:tcPr>
            <w:tcW w:w="152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2"/>
              </w:rPr>
              <w:t>Restricted Stock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4"/>
              </w:rPr>
              <w:t>(in thousands)</w:t>
            </w:r>
          </w:p>
        </w:tc>
        <w:tc>
          <w:tcPr>
            <w:tcW w:w="17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5"/>
              </w:rPr>
              <w:t>(in thousands)</w:t>
            </w:r>
          </w:p>
        </w:tc>
        <w:tc>
          <w:tcPr>
            <w:tcW w:w="1660" w:type="dxa"/>
            <w:vAlign w:val="bottom"/>
            <w:tcBorders>
              <w:right w:val="single" w:sz="8" w:color="auto"/>
            </w:tcBorders>
            <w:vMerge w:val="continue"/>
            <w:shd w:val="clear" w:color="auto" w:fill="000000"/>
          </w:tcPr>
          <w:p>
            <w:pPr>
              <w:spacing w:after="0"/>
              <w:rPr>
                <w:sz w:val="10"/>
                <w:szCs w:val="10"/>
                <w:color w:val="auto"/>
              </w:rPr>
            </w:pPr>
          </w:p>
        </w:tc>
        <w:tc>
          <w:tcPr>
            <w:tcW w:w="152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40" w:type="dxa"/>
            <w:vAlign w:val="bottom"/>
            <w:shd w:val="clear" w:color="auto" w:fill="000000"/>
          </w:tcPr>
          <w:p>
            <w:pPr>
              <w:spacing w:after="0"/>
              <w:rPr>
                <w:sz w:val="13"/>
                <w:szCs w:val="13"/>
                <w:color w:val="auto"/>
              </w:rPr>
            </w:pPr>
          </w:p>
        </w:tc>
        <w:tc>
          <w:tcPr>
            <w:tcW w:w="2180" w:type="dxa"/>
            <w:vAlign w:val="bottom"/>
            <w:tcBorders>
              <w:right w:val="single" w:sz="8" w:color="auto"/>
            </w:tcBorders>
            <w:shd w:val="clear" w:color="auto" w:fill="000000"/>
          </w:tcPr>
          <w:p>
            <w:pPr>
              <w:spacing w:after="0"/>
              <w:rPr>
                <w:sz w:val="13"/>
                <w:szCs w:val="13"/>
                <w:color w:val="auto"/>
              </w:rPr>
            </w:pPr>
          </w:p>
        </w:tc>
        <w:tc>
          <w:tcPr>
            <w:tcW w:w="1880" w:type="dxa"/>
            <w:vAlign w:val="bottom"/>
            <w:tcBorders>
              <w:right w:val="single" w:sz="8" w:color="auto"/>
            </w:tcBorders>
            <w:vMerge w:val="continue"/>
            <w:shd w:val="clear" w:color="auto" w:fill="000000"/>
          </w:tcPr>
          <w:p>
            <w:pPr>
              <w:spacing w:after="0"/>
              <w:rPr>
                <w:sz w:val="13"/>
                <w:szCs w:val="13"/>
                <w:color w:val="auto"/>
              </w:rPr>
            </w:pPr>
          </w:p>
        </w:tc>
        <w:tc>
          <w:tcPr>
            <w:tcW w:w="1780" w:type="dxa"/>
            <w:vAlign w:val="bottom"/>
            <w:tcBorders>
              <w:right w:val="single" w:sz="8" w:color="auto"/>
            </w:tcBorders>
            <w:vMerge w:val="continue"/>
            <w:shd w:val="clear" w:color="auto" w:fill="000000"/>
          </w:tcPr>
          <w:p>
            <w:pPr>
              <w:spacing w:after="0"/>
              <w:rPr>
                <w:sz w:val="13"/>
                <w:szCs w:val="13"/>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5"/>
              </w:rPr>
              <w:t>Earned</w:t>
            </w:r>
          </w:p>
        </w:tc>
        <w:tc>
          <w:tcPr>
            <w:tcW w:w="152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83"/>
              </w:rPr>
              <w:t>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shd w:val="clear" w:color="auto" w:fill="000000"/>
          </w:tcPr>
          <w:p>
            <w:pPr>
              <w:spacing w:after="0"/>
              <w:rPr>
                <w:sz w:val="10"/>
                <w:szCs w:val="10"/>
                <w:color w:val="auto"/>
              </w:rPr>
            </w:pPr>
          </w:p>
        </w:tc>
        <w:tc>
          <w:tcPr>
            <w:tcW w:w="178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vMerge w:val="continue"/>
            <w:shd w:val="clear" w:color="auto" w:fill="000000"/>
          </w:tcPr>
          <w:p>
            <w:pPr>
              <w:spacing w:after="0"/>
              <w:rPr>
                <w:sz w:val="10"/>
                <w:szCs w:val="10"/>
                <w:color w:val="auto"/>
              </w:rPr>
            </w:pPr>
          </w:p>
        </w:tc>
        <w:tc>
          <w:tcPr>
            <w:tcW w:w="152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vMerge w:val="restart"/>
            <w:shd w:val="clear" w:color="auto" w:fill="000000"/>
          </w:tcPr>
          <w:p>
            <w:pPr>
              <w:ind w:left="20"/>
              <w:spacing w:after="0"/>
              <w:rPr>
                <w:sz w:val="20"/>
                <w:szCs w:val="20"/>
                <w:color w:val="auto"/>
              </w:rPr>
            </w:pPr>
            <w:r>
              <w:rPr>
                <w:rFonts w:ascii="Arial" w:cs="Arial" w:eastAsia="Arial" w:hAnsi="Arial"/>
                <w:sz w:val="22"/>
                <w:szCs w:val="22"/>
                <w:b w:val="1"/>
                <w:bCs w:val="1"/>
                <w:color w:val="FFFFFF"/>
              </w:rPr>
              <w:t>Corporate Objectve</w:t>
            </w:r>
          </w:p>
        </w:tc>
        <w:tc>
          <w:tcPr>
            <w:tcW w:w="2180" w:type="dxa"/>
            <w:vAlign w:val="bottom"/>
            <w:tcBorders>
              <w:bottom w:val="single" w:sz="8" w:color="auto"/>
              <w:right w:val="single" w:sz="8" w:color="auto"/>
            </w:tcBorders>
            <w:shd w:val="clear" w:color="auto" w:fill="000000"/>
          </w:tcPr>
          <w:p>
            <w:pPr>
              <w:spacing w:after="0"/>
              <w:rPr>
                <w:sz w:val="5"/>
                <w:szCs w:val="5"/>
                <w:color w:val="auto"/>
              </w:rPr>
            </w:pPr>
          </w:p>
        </w:tc>
        <w:tc>
          <w:tcPr>
            <w:tcW w:w="1880" w:type="dxa"/>
            <w:vAlign w:val="bottom"/>
            <w:tcBorders>
              <w:bottom w:val="single" w:sz="8" w:color="auto"/>
              <w:right w:val="single" w:sz="8" w:color="auto"/>
            </w:tcBorders>
            <w:shd w:val="clear" w:color="auto" w:fill="000000"/>
          </w:tcPr>
          <w:p>
            <w:pPr>
              <w:spacing w:after="0"/>
              <w:rPr>
                <w:sz w:val="5"/>
                <w:szCs w:val="5"/>
                <w:color w:val="auto"/>
              </w:rPr>
            </w:pPr>
          </w:p>
        </w:tc>
        <w:tc>
          <w:tcPr>
            <w:tcW w:w="178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shd w:val="clear" w:color="auto" w:fill="000000"/>
          </w:tcPr>
          <w:p>
            <w:pPr>
              <w:spacing w:after="0"/>
              <w:rPr>
                <w:sz w:val="5"/>
                <w:szCs w:val="5"/>
                <w:color w:val="auto"/>
              </w:rPr>
            </w:pPr>
          </w:p>
        </w:tc>
        <w:tc>
          <w:tcPr>
            <w:tcW w:w="15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140" w:type="dxa"/>
            <w:vAlign w:val="bottom"/>
            <w:tcBorders>
              <w:bottom w:val="single" w:sz="8" w:color="auto"/>
            </w:tcBorders>
            <w:vMerge w:val="continue"/>
            <w:shd w:val="clear" w:color="auto" w:fill="000000"/>
          </w:tcPr>
          <w:p>
            <w:pPr>
              <w:spacing w:after="0"/>
              <w:rPr>
                <w:sz w:val="24"/>
                <w:szCs w:val="24"/>
                <w:color w:val="auto"/>
              </w:rPr>
            </w:pPr>
          </w:p>
        </w:tc>
        <w:tc>
          <w:tcPr>
            <w:tcW w:w="2180" w:type="dxa"/>
            <w:vAlign w:val="bottom"/>
            <w:tcBorders>
              <w:bottom w:val="single" w:sz="8" w:color="707070"/>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1"/>
              </w:rPr>
              <w:t>Income before income taxes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$73,475</w:t>
            </w:r>
          </w:p>
        </w:tc>
        <w:tc>
          <w:tcPr>
            <w:tcW w:w="1780" w:type="dxa"/>
            <w:vAlign w:val="bottom"/>
            <w:tcBorders>
              <w:right w:val="single" w:sz="8" w:color="auto"/>
            </w:tcBorders>
          </w:tcPr>
          <w:p>
            <w:pPr>
              <w:jc w:val="right"/>
              <w:ind w:right="519"/>
              <w:spacing w:after="0"/>
              <w:rPr>
                <w:sz w:val="20"/>
                <w:szCs w:val="20"/>
                <w:color w:val="auto"/>
              </w:rPr>
            </w:pPr>
            <w:r>
              <w:rPr>
                <w:rFonts w:ascii="Arial" w:cs="Arial" w:eastAsia="Arial" w:hAnsi="Arial"/>
                <w:sz w:val="18"/>
                <w:szCs w:val="18"/>
                <w:color w:val="auto"/>
              </w:rPr>
              <w:t>$81,011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151.3%</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120.6%</w:t>
            </w: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shd w:val="clear" w:color="auto" w:fill="000000"/>
          </w:tcPr>
          <w:p>
            <w:pPr>
              <w:ind w:left="20"/>
              <w:spacing w:after="0" w:line="195" w:lineRule="exact"/>
              <w:rPr>
                <w:sz w:val="20"/>
                <w:szCs w:val="20"/>
                <w:color w:val="auto"/>
              </w:rPr>
            </w:pPr>
            <w:r>
              <w:rPr>
                <w:rFonts w:ascii="Arial" w:cs="Arial" w:eastAsia="Arial" w:hAnsi="Arial"/>
                <w:sz w:val="22"/>
                <w:szCs w:val="22"/>
                <w:b w:val="1"/>
                <w:bCs w:val="1"/>
                <w:color w:val="FFFFFF"/>
              </w:rPr>
              <w:t>Business Unit</w:t>
            </w:r>
          </w:p>
        </w:tc>
        <w:tc>
          <w:tcPr>
            <w:tcW w:w="2180" w:type="dxa"/>
            <w:vAlign w:val="bottom"/>
            <w:tcBorders>
              <w:top w:val="single" w:sz="8" w:color="auto"/>
              <w:right w:val="single" w:sz="8" w:color="auto"/>
            </w:tcBorders>
            <w:shd w:val="clear" w:color="auto" w:fill="707070"/>
          </w:tcPr>
          <w:p>
            <w:pPr>
              <w:jc w:val="center"/>
              <w:spacing w:after="0" w:line="196" w:lineRule="exact"/>
              <w:rPr>
                <w:sz w:val="20"/>
                <w:szCs w:val="20"/>
                <w:color w:val="auto"/>
              </w:rPr>
            </w:pPr>
            <w:r>
              <w:rPr>
                <w:rFonts w:ascii="Arial" w:cs="Arial" w:eastAsia="Arial" w:hAnsi="Arial"/>
                <w:sz w:val="18"/>
                <w:szCs w:val="18"/>
                <w:color w:val="FFFFFF"/>
                <w:w w:val="93"/>
              </w:rPr>
              <w:t>Industrial Group Operatonal</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$87,254</w:t>
            </w:r>
          </w:p>
        </w:tc>
        <w:tc>
          <w:tcPr>
            <w:tcW w:w="1780" w:type="dxa"/>
            <w:vAlign w:val="bottom"/>
            <w:tcBorders>
              <w:top w:val="single" w:sz="8" w:color="auto"/>
              <w:right w:val="single" w:sz="8" w:color="auto"/>
            </w:tcBorders>
            <w:vMerge w:val="restart"/>
          </w:tcPr>
          <w:p>
            <w:pPr>
              <w:jc w:val="right"/>
              <w:ind w:right="459"/>
              <w:spacing w:after="0"/>
              <w:rPr>
                <w:sz w:val="20"/>
                <w:szCs w:val="20"/>
                <w:color w:val="auto"/>
              </w:rPr>
            </w:pPr>
            <w:r>
              <w:rPr>
                <w:rFonts w:ascii="Arial" w:cs="Arial" w:eastAsia="Arial" w:hAnsi="Arial"/>
                <w:sz w:val="18"/>
                <w:szCs w:val="18"/>
                <w:color w:val="auto"/>
              </w:rPr>
              <w:t>$101,912</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184.0%</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vMerge w:val="restart"/>
            <w:shd w:val="clear" w:color="auto" w:fill="000000"/>
          </w:tcPr>
          <w:p>
            <w:pPr>
              <w:ind w:left="20"/>
              <w:spacing w:after="0"/>
              <w:rPr>
                <w:sz w:val="20"/>
                <w:szCs w:val="20"/>
                <w:color w:val="auto"/>
              </w:rPr>
            </w:pPr>
            <w:r>
              <w:rPr>
                <w:rFonts w:ascii="Arial" w:cs="Arial" w:eastAsia="Arial" w:hAnsi="Arial"/>
                <w:sz w:val="22"/>
                <w:szCs w:val="22"/>
                <w:b w:val="1"/>
                <w:bCs w:val="1"/>
                <w:color w:val="FFFFFF"/>
              </w:rPr>
              <w:t>Objectve</w:t>
            </w:r>
          </w:p>
        </w:tc>
        <w:tc>
          <w:tcPr>
            <w:tcW w:w="218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5"/>
              </w:rPr>
              <w:t>Proftability Measure</w:t>
            </w:r>
          </w:p>
        </w:tc>
        <w:tc>
          <w:tcPr>
            <w:tcW w:w="188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Borders>
              <w:bottom w:val="single" w:sz="8" w:color="auto"/>
            </w:tcBorders>
            <w:vMerge w:val="continue"/>
            <w:shd w:val="clear" w:color="auto" w:fill="000000"/>
          </w:tcPr>
          <w:p>
            <w:pPr>
              <w:spacing w:after="0"/>
              <w:rPr>
                <w:sz w:val="15"/>
                <w:szCs w:val="15"/>
                <w:color w:val="auto"/>
              </w:rPr>
            </w:pPr>
          </w:p>
        </w:tc>
        <w:tc>
          <w:tcPr>
            <w:tcW w:w="2180" w:type="dxa"/>
            <w:vAlign w:val="bottom"/>
            <w:tcBorders>
              <w:bottom w:val="single" w:sz="8" w:color="707070"/>
              <w:right w:val="single" w:sz="8" w:color="auto"/>
            </w:tcBorders>
            <w:vMerge w:val="continue"/>
            <w:shd w:val="clear" w:color="auto" w:fill="707070"/>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78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Determining Executve Compensaton for Fiscal 2023</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Compensaton Commitee does not benchmark the total compensaton or any individual element of compensaton for our executves. It also does not apply a mechanical formula or target a specifc amount relatve to comparatve data for any individual nor does it target a specifc amount or relatve weight for any component of compensaton. Rather, the Compensaton Commitee members review and consider broad-based third-party survey data to understand current compensaton practces, levels and structures and thereby inform its compensaton decisions, but not to establish specifc compensaton parameters based on such data. In fscal 2023, the broad-based survey data reviewed by the Compensaton Commitee was collected by independent compensaton consultant McLagan, a compensaton consultng business owned by AON; McLagan also provided the Compensaton Commitee with independent advice on industry practces. AON provided no other services to the company in fscal 2023. The Compensaton Commitee did not use the informaton provided to it by McLagan in a formulaic manner, but instead used the informaton to inform its judgment regarding the appropriate levels and components of total compensaton for the company’s executve ofcers. The Compensaton Commitee considered all elements of compensaton together and utlized the members’ experience and judgment in determining the total compensaton opportunity and mix of compensaton elements appropriate for each executve ofcer in light of our compensaton objectves.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Compensaton Commitee viewed the informaton provided by McLagan as one of a number of tools available to the Commitee in assessing executve compensaton. The Compensaton Commitee also regularly consults with our Chief Executve Ofcer, who makes recommendatons to the Compensaton Commitee regarding compensaton of our executve ofcers other than the Chief Executve Ofcer. Our Chief Executve Ofcer partcipates in some of the Compensaton Commitee’s deliberatons regarding compensaton for our other executve ofcers, although all determinatons are made by the Compensaton Commitee. Our Chief Executve Ofcer is not present during votng or deliberatons relatng to his own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Elements of Named Executve Ofcer Compensaton</w:t>
      </w:r>
    </w:p>
    <w:p>
      <w:pPr>
        <w:spacing w:after="0" w:line="127"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color w:val="auto"/>
        </w:rPr>
        <w:t>The following table outlines the key components of our compensaton program for our named executve ofcers (excluding health and similar broad-based benefts generally available to all employees).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700" w:type="dxa"/>
            <w:vAlign w:val="bottom"/>
            <w:tcBorders>
              <w:left w:val="single" w:sz="8" w:color="auto"/>
              <w:bottom w:val="single" w:sz="8" w:color="auto"/>
              <w:right w:val="single" w:sz="8" w:color="auto"/>
            </w:tcBorders>
            <w:shd w:val="clear" w:color="auto" w:fill="000000"/>
          </w:tcPr>
          <w:p>
            <w:pPr>
              <w:spacing w:after="0"/>
              <w:rPr>
                <w:sz w:val="24"/>
                <w:szCs w:val="24"/>
                <w:color w:val="auto"/>
              </w:rPr>
            </w:pPr>
          </w:p>
        </w:tc>
        <w:tc>
          <w:tcPr>
            <w:tcW w:w="26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7"/>
              </w:rPr>
              <w:t>Compensaton Element</w:t>
            </w:r>
          </w:p>
        </w:tc>
        <w:tc>
          <w:tcPr>
            <w:tcW w:w="3160" w:type="dxa"/>
            <w:vAlign w:val="bottom"/>
            <w:tcBorders>
              <w:bottom w:val="single" w:sz="8" w:color="auto"/>
              <w:right w:val="single" w:sz="8" w:color="auto"/>
            </w:tcBorders>
            <w:shd w:val="clear" w:color="auto" w:fill="000000"/>
          </w:tcPr>
          <w:p>
            <w:pPr>
              <w:ind w:left="1200"/>
              <w:spacing w:after="0"/>
              <w:rPr>
                <w:sz w:val="20"/>
                <w:szCs w:val="20"/>
                <w:color w:val="auto"/>
              </w:rPr>
            </w:pPr>
            <w:r>
              <w:rPr>
                <w:rFonts w:ascii="Arial" w:cs="Arial" w:eastAsia="Arial" w:hAnsi="Arial"/>
                <w:sz w:val="22"/>
                <w:szCs w:val="22"/>
                <w:b w:val="1"/>
                <w:bCs w:val="1"/>
                <w:color w:val="FFFFFF"/>
              </w:rPr>
              <w:t>Purpose</w:t>
            </w:r>
          </w:p>
        </w:tc>
        <w:tc>
          <w:tcPr>
            <w:tcW w:w="2820" w:type="dxa"/>
            <w:vAlign w:val="bottom"/>
            <w:tcBorders>
              <w:bottom w:val="single" w:sz="8" w:color="auto"/>
              <w:right w:val="single" w:sz="8" w:color="auto"/>
            </w:tcBorders>
            <w:shd w:val="clear" w:color="auto" w:fill="000000"/>
          </w:tcPr>
          <w:p>
            <w:pPr>
              <w:ind w:left="560"/>
              <w:spacing w:after="0"/>
              <w:rPr>
                <w:sz w:val="20"/>
                <w:szCs w:val="20"/>
                <w:color w:val="auto"/>
              </w:rPr>
            </w:pPr>
            <w:r>
              <w:rPr>
                <w:rFonts w:ascii="Arial" w:cs="Arial" w:eastAsia="Arial" w:hAnsi="Arial"/>
                <w:sz w:val="22"/>
                <w:szCs w:val="22"/>
                <w:b w:val="1"/>
                <w:bCs w:val="1"/>
                <w:color w:val="FFFFFF"/>
              </w:rPr>
              <w:t>Key Characteristcs</w:t>
            </w:r>
          </w:p>
        </w:tc>
        <w:tc>
          <w:tcPr>
            <w:tcW w:w="0" w:type="dxa"/>
            <w:vAlign w:val="bottom"/>
          </w:tcPr>
          <w:p>
            <w:pPr>
              <w:spacing w:after="0"/>
              <w:rPr>
                <w:sz w:val="1"/>
                <w:szCs w:val="1"/>
                <w:color w:val="auto"/>
              </w:rPr>
            </w:pPr>
          </w:p>
        </w:tc>
      </w:tr>
      <w:tr>
        <w:trPr>
          <w:trHeight w:val="211"/>
        </w:trPr>
        <w:tc>
          <w:tcPr>
            <w:tcW w:w="1700" w:type="dxa"/>
            <w:vAlign w:val="bottom"/>
            <w:tcBorders>
              <w:left w:val="single" w:sz="8" w:color="auto"/>
              <w:right w:val="single" w:sz="8" w:color="auto"/>
            </w:tcBorders>
            <w:shd w:val="clear" w:color="auto" w:fill="CBCBCB"/>
          </w:tcPr>
          <w:p>
            <w:pPr>
              <w:spacing w:after="0"/>
              <w:rPr>
                <w:sz w:val="18"/>
                <w:szCs w:val="18"/>
                <w:color w:val="auto"/>
              </w:rPr>
            </w:pPr>
          </w:p>
        </w:tc>
        <w:tc>
          <w:tcPr>
            <w:tcW w:w="2640" w:type="dxa"/>
            <w:vAlign w:val="bottom"/>
            <w:tcBorders>
              <w:right w:val="single" w:sz="8" w:color="auto"/>
            </w:tcBorders>
            <w:shd w:val="clear" w:color="auto" w:fill="CBCBCB"/>
          </w:tcPr>
          <w:p>
            <w:pPr>
              <w:spacing w:after="0"/>
              <w:rPr>
                <w:sz w:val="18"/>
                <w:szCs w:val="18"/>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Provides a pay opportunity that is</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w w:val="94"/>
              </w:rPr>
              <w:t>Determined by responsibility, level of</w:t>
            </w:r>
          </w:p>
        </w:tc>
        <w:tc>
          <w:tcPr>
            <w:tcW w:w="0" w:type="dxa"/>
            <w:vAlign w:val="bottom"/>
          </w:tcPr>
          <w:p>
            <w:pPr>
              <w:spacing w:after="0"/>
              <w:rPr>
                <w:sz w:val="1"/>
                <w:szCs w:val="1"/>
                <w:color w:val="auto"/>
              </w:rPr>
            </w:pPr>
          </w:p>
        </w:tc>
      </w:tr>
      <w:tr>
        <w:trPr>
          <w:trHeight w:val="248"/>
        </w:trPr>
        <w:tc>
          <w:tcPr>
            <w:tcW w:w="1700" w:type="dxa"/>
            <w:vAlign w:val="bottom"/>
            <w:tcBorders>
              <w:left w:val="single" w:sz="8" w:color="auto"/>
              <w:right w:val="single" w:sz="8" w:color="auto"/>
            </w:tcBorders>
            <w:shd w:val="clear" w:color="auto" w:fill="CBCBCB"/>
          </w:tcPr>
          <w:p>
            <w:pPr>
              <w:jc w:val="center"/>
              <w:spacing w:after="0" w:line="248" w:lineRule="exact"/>
              <w:rPr>
                <w:sz w:val="20"/>
                <w:szCs w:val="20"/>
                <w:color w:val="auto"/>
              </w:rPr>
            </w:pPr>
            <w:r>
              <w:rPr>
                <w:rFonts w:ascii="Arial" w:cs="Arial" w:eastAsia="Arial" w:hAnsi="Arial"/>
                <w:sz w:val="22"/>
                <w:szCs w:val="22"/>
                <w:b w:val="1"/>
                <w:bCs w:val="1"/>
                <w:color w:val="auto"/>
                <w:w w:val="85"/>
              </w:rPr>
              <w:t>Fixed Component</w:t>
            </w:r>
          </w:p>
        </w:tc>
        <w:tc>
          <w:tcPr>
            <w:tcW w:w="2640" w:type="dxa"/>
            <w:vAlign w:val="bottom"/>
            <w:tcBorders>
              <w:right w:val="single" w:sz="8" w:color="auto"/>
            </w:tcBorders>
            <w:shd w:val="clear" w:color="auto" w:fill="CBCBCB"/>
          </w:tcPr>
          <w:p>
            <w:pPr>
              <w:jc w:val="center"/>
              <w:spacing w:after="0"/>
              <w:rPr>
                <w:sz w:val="20"/>
                <w:szCs w:val="20"/>
                <w:color w:val="auto"/>
              </w:rPr>
            </w:pPr>
            <w:r>
              <w:rPr>
                <w:rFonts w:ascii="Arial" w:cs="Arial" w:eastAsia="Arial" w:hAnsi="Arial"/>
                <w:sz w:val="18"/>
                <w:szCs w:val="18"/>
                <w:color w:val="auto"/>
                <w:w w:val="84"/>
              </w:rPr>
              <w:t>Base Salary</w:t>
            </w: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w w:val="96"/>
              </w:rPr>
              <w:t>generally compettve with the companies</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w w:val="97"/>
              </w:rPr>
              <w:t>positon, compettve pay assessment</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shd w:val="clear" w:color="auto" w:fill="CBCBCB"/>
          </w:tcPr>
          <w:p>
            <w:pPr>
              <w:spacing w:after="0"/>
              <w:rPr>
                <w:sz w:val="20"/>
                <w:szCs w:val="20"/>
                <w:color w:val="auto"/>
              </w:rPr>
            </w:pPr>
          </w:p>
        </w:tc>
        <w:tc>
          <w:tcPr>
            <w:tcW w:w="2640" w:type="dxa"/>
            <w:vAlign w:val="bottom"/>
            <w:tcBorders>
              <w:bottom w:val="single" w:sz="8" w:color="auto"/>
              <w:right w:val="single" w:sz="8" w:color="auto"/>
            </w:tcBorders>
            <w:shd w:val="clear" w:color="auto" w:fill="CBCBCB"/>
          </w:tcPr>
          <w:p>
            <w:pPr>
              <w:spacing w:after="0"/>
              <w:rPr>
                <w:sz w:val="20"/>
                <w:szCs w:val="20"/>
                <w:color w:val="auto"/>
              </w:rPr>
            </w:pPr>
          </w:p>
        </w:tc>
        <w:tc>
          <w:tcPr>
            <w:tcW w:w="3160" w:type="dxa"/>
            <w:vAlign w:val="bottom"/>
            <w:tcBorders>
              <w:bottom w:val="single" w:sz="8" w:color="auto"/>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with which we compete for talent</w:t>
            </w:r>
          </w:p>
        </w:tc>
        <w:tc>
          <w:tcPr>
            <w:tcW w:w="2820" w:type="dxa"/>
            <w:vAlign w:val="bottom"/>
            <w:tcBorders>
              <w:bottom w:val="single" w:sz="8" w:color="auto"/>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and individual performance</w:t>
            </w:r>
          </w:p>
        </w:tc>
        <w:tc>
          <w:tcPr>
            <w:tcW w:w="0" w:type="dxa"/>
            <w:vAlign w:val="bottom"/>
          </w:tcPr>
          <w:p>
            <w:pPr>
              <w:spacing w:after="0"/>
              <w:rPr>
                <w:sz w:val="1"/>
                <w:szCs w:val="1"/>
                <w:color w:val="auto"/>
              </w:rPr>
            </w:pPr>
          </w:p>
        </w:tc>
      </w:tr>
      <w:tr>
        <w:trPr>
          <w:trHeight w:val="211"/>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w w:val="97"/>
              </w:rPr>
              <w:t>Rewards the achievement of operatonal</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Annual cash award, which for fscal</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and other performance goals</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w w:val="97"/>
              </w:rPr>
              <w:t>2023 was subject to achievement of</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Company and business unit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Motvates performance by delivering</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performance goals</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3"/>
              </w:rPr>
              <w:t>Annual Non-Equity Incentve</w:t>
            </w: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greater rewards for superior Company</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shd w:val="clear" w:color="auto" w:fill="B2B2B2"/>
          </w:tcPr>
          <w:p>
            <w:pPr>
              <w:spacing w:after="0"/>
              <w:rPr>
                <w:sz w:val="9"/>
                <w:szCs w:val="9"/>
                <w:color w:val="auto"/>
              </w:rPr>
            </w:pPr>
          </w:p>
        </w:tc>
        <w:tc>
          <w:tcPr>
            <w:tcW w:w="264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and business unit performance, while</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shd w:val="clear" w:color="auto" w:fill="B2B2B2"/>
          </w:tcPr>
          <w:p>
            <w:pPr>
              <w:spacing w:after="0"/>
              <w:rPr>
                <w:sz w:val="9"/>
                <w:szCs w:val="9"/>
                <w:color w:val="auto"/>
              </w:rPr>
            </w:pPr>
          </w:p>
        </w:tc>
        <w:tc>
          <w:tcPr>
            <w:tcW w:w="264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4"/>
              </w:rPr>
              <w:t>Compensaton</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shd w:val="clear" w:color="auto" w:fill="B2B2B2"/>
          </w:tcPr>
          <w:p>
            <w:pPr>
              <w:spacing w:after="0"/>
              <w:rPr>
                <w:sz w:val="9"/>
                <w:szCs w:val="9"/>
                <w:color w:val="auto"/>
              </w:rPr>
            </w:pPr>
          </w:p>
        </w:tc>
        <w:tc>
          <w:tcPr>
            <w:tcW w:w="264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shd w:val="clear" w:color="auto" w:fill="B2B2B2"/>
          </w:tcPr>
          <w:p>
            <w:pPr>
              <w:spacing w:after="0"/>
              <w:rPr>
                <w:sz w:val="9"/>
                <w:szCs w:val="9"/>
                <w:color w:val="auto"/>
              </w:rPr>
            </w:pPr>
          </w:p>
        </w:tc>
        <w:tc>
          <w:tcPr>
            <w:tcW w:w="264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85"/>
              </w:rPr>
              <w:t>(Cash)</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700" w:type="dxa"/>
            <w:vAlign w:val="bottom"/>
            <w:tcBorders>
              <w:left w:val="single" w:sz="8" w:color="auto"/>
              <w:right w:val="single" w:sz="8" w:color="auto"/>
            </w:tcBorders>
            <w:shd w:val="clear" w:color="auto" w:fill="B2B2B2"/>
          </w:tcPr>
          <w:p>
            <w:pPr>
              <w:spacing w:after="0"/>
              <w:rPr>
                <w:sz w:val="10"/>
                <w:szCs w:val="10"/>
                <w:color w:val="auto"/>
              </w:rPr>
            </w:pPr>
          </w:p>
        </w:tc>
        <w:tc>
          <w:tcPr>
            <w:tcW w:w="2640" w:type="dxa"/>
            <w:vAlign w:val="bottom"/>
            <w:tcBorders>
              <w:right w:val="single" w:sz="8" w:color="auto"/>
            </w:tcBorders>
            <w:vMerge w:val="continue"/>
            <w:shd w:val="clear" w:color="auto" w:fill="B2B2B2"/>
          </w:tcPr>
          <w:p>
            <w:pPr>
              <w:spacing w:after="0"/>
              <w:rPr>
                <w:sz w:val="10"/>
                <w:szCs w:val="10"/>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Company or business unit</w:t>
            </w:r>
          </w:p>
        </w:tc>
        <w:tc>
          <w:tcPr>
            <w:tcW w:w="2820" w:type="dxa"/>
            <w:vAlign w:val="bottom"/>
            <w:tcBorders>
              <w:right w:val="single" w:sz="8" w:color="auto"/>
            </w:tcBorders>
            <w:shd w:val="clear" w:color="auto" w:fill="B2B2B2"/>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00" w:type="dxa"/>
            <w:vAlign w:val="bottom"/>
            <w:tcBorders>
              <w:left w:val="single" w:sz="8" w:color="auto"/>
              <w:right w:val="single" w:sz="8" w:color="auto"/>
            </w:tcBorders>
            <w:shd w:val="clear" w:color="auto" w:fill="B2B2B2"/>
          </w:tcPr>
          <w:p>
            <w:pPr>
              <w:spacing w:after="0"/>
              <w:rPr>
                <w:sz w:val="8"/>
                <w:szCs w:val="8"/>
                <w:color w:val="auto"/>
              </w:rPr>
            </w:pPr>
          </w:p>
        </w:tc>
        <w:tc>
          <w:tcPr>
            <w:tcW w:w="2640" w:type="dxa"/>
            <w:vAlign w:val="bottom"/>
            <w:tcBorders>
              <w:right w:val="single" w:sz="8" w:color="auto"/>
            </w:tcBorders>
            <w:shd w:val="clear" w:color="auto" w:fill="B2B2B2"/>
          </w:tcPr>
          <w:p>
            <w:pPr>
              <w:spacing w:after="0"/>
              <w:rPr>
                <w:sz w:val="8"/>
                <w:szCs w:val="8"/>
                <w:color w:val="auto"/>
              </w:rPr>
            </w:pPr>
          </w:p>
        </w:tc>
        <w:tc>
          <w:tcPr>
            <w:tcW w:w="3160" w:type="dxa"/>
            <w:vAlign w:val="bottom"/>
            <w:tcBorders>
              <w:right w:val="single" w:sz="8" w:color="auto"/>
            </w:tcBorders>
            <w:vMerge w:val="continue"/>
            <w:shd w:val="clear" w:color="auto" w:fill="B2B2B2"/>
          </w:tcPr>
          <w:p>
            <w:pPr>
              <w:spacing w:after="0"/>
              <w:rPr>
                <w:sz w:val="8"/>
                <w:szCs w:val="8"/>
                <w:color w:val="auto"/>
              </w:rPr>
            </w:pPr>
          </w:p>
        </w:tc>
        <w:tc>
          <w:tcPr>
            <w:tcW w:w="2820" w:type="dxa"/>
            <w:vAlign w:val="bottom"/>
            <w:tcBorders>
              <w:right w:val="single" w:sz="8" w:color="auto"/>
            </w:tcBorders>
            <w:shd w:val="clear" w:color="auto" w:fill="B2B2B2"/>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tcBorders>
              <w:left w:val="single" w:sz="8" w:color="auto"/>
              <w:right w:val="single" w:sz="8" w:color="auto"/>
            </w:tcBorders>
            <w:shd w:val="clear" w:color="auto" w:fill="B2B2B2"/>
          </w:tcPr>
          <w:p>
            <w:pPr>
              <w:spacing w:after="0"/>
              <w:rPr>
                <w:sz w:val="19"/>
                <w:szCs w:val="19"/>
                <w:color w:val="auto"/>
              </w:rPr>
            </w:pPr>
          </w:p>
        </w:tc>
        <w:tc>
          <w:tcPr>
            <w:tcW w:w="2640" w:type="dxa"/>
            <w:vAlign w:val="bottom"/>
            <w:tcBorders>
              <w:right w:val="single" w:sz="8" w:color="auto"/>
            </w:tcBorders>
            <w:shd w:val="clear" w:color="auto" w:fill="B2B2B2"/>
          </w:tcPr>
          <w:p>
            <w:pPr>
              <w:spacing w:after="0"/>
              <w:rPr>
                <w:sz w:val="19"/>
                <w:szCs w:val="19"/>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underperformance</w:t>
            </w:r>
          </w:p>
        </w:tc>
        <w:tc>
          <w:tcPr>
            <w:tcW w:w="2820" w:type="dxa"/>
            <w:vAlign w:val="bottom"/>
            <w:tcBorders>
              <w:right w:val="single" w:sz="8" w:color="auto"/>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700" w:type="dxa"/>
            <w:vAlign w:val="bottom"/>
            <w:tcBorders>
              <w:left w:val="single" w:sz="8" w:color="auto"/>
              <w:right w:val="single" w:sz="8" w:color="auto"/>
            </w:tcBorders>
            <w:shd w:val="clear" w:color="auto" w:fill="B2B2B2"/>
          </w:tcPr>
          <w:p>
            <w:pPr>
              <w:jc w:val="center"/>
              <w:spacing w:after="0"/>
              <w:rPr>
                <w:sz w:val="20"/>
                <w:szCs w:val="20"/>
                <w:color w:val="auto"/>
              </w:rPr>
            </w:pPr>
            <w:r>
              <w:rPr>
                <w:rFonts w:ascii="Arial" w:cs="Arial" w:eastAsia="Arial" w:hAnsi="Arial"/>
                <w:sz w:val="22"/>
                <w:szCs w:val="22"/>
                <w:b w:val="1"/>
                <w:bCs w:val="1"/>
                <w:color w:val="auto"/>
                <w:w w:val="85"/>
              </w:rPr>
              <w:t>Performance-</w:t>
            </w:r>
          </w:p>
        </w:tc>
        <w:tc>
          <w:tcPr>
            <w:tcW w:w="2640" w:type="dxa"/>
            <w:vAlign w:val="bottom"/>
            <w:tcBorders>
              <w:right w:val="single" w:sz="8" w:color="auto"/>
            </w:tcBorders>
            <w:shd w:val="clear" w:color="auto" w:fill="B2B2B2"/>
          </w:tcPr>
          <w:p>
            <w:pPr>
              <w:spacing w:after="0"/>
              <w:rPr>
                <w:sz w:val="24"/>
                <w:szCs w:val="24"/>
                <w:color w:val="auto"/>
              </w:rPr>
            </w:pPr>
          </w:p>
        </w:tc>
        <w:tc>
          <w:tcPr>
            <w:tcW w:w="3160" w:type="dxa"/>
            <w:vAlign w:val="bottom"/>
            <w:tcBorders>
              <w:right w:val="single" w:sz="8" w:color="auto"/>
            </w:tcBorders>
            <w:shd w:val="clear" w:color="auto" w:fill="B2B2B2"/>
          </w:tcPr>
          <w:p>
            <w:pPr>
              <w:spacing w:after="0"/>
              <w:rPr>
                <w:sz w:val="24"/>
                <w:szCs w:val="24"/>
                <w:color w:val="auto"/>
              </w:rPr>
            </w:pPr>
          </w:p>
        </w:tc>
        <w:tc>
          <w:tcPr>
            <w:tcW w:w="2820" w:type="dxa"/>
            <w:vAlign w:val="bottom"/>
            <w:tcBorders>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bottom w:val="single" w:sz="8" w:color="B2B2B2"/>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81"/>
              </w:rPr>
              <w:t>Based</w:t>
            </w:r>
          </w:p>
        </w:tc>
        <w:tc>
          <w:tcPr>
            <w:tcW w:w="2640" w:type="dxa"/>
            <w:vAlign w:val="bottom"/>
            <w:tcBorders>
              <w:bottom w:val="single" w:sz="8" w:color="auto"/>
              <w:right w:val="single" w:sz="8" w:color="auto"/>
            </w:tcBorders>
            <w:shd w:val="clear" w:color="auto" w:fill="B2B2B2"/>
          </w:tcPr>
          <w:p>
            <w:pPr>
              <w:spacing w:after="0"/>
              <w:rPr>
                <w:sz w:val="16"/>
                <w:szCs w:val="16"/>
                <w:color w:val="auto"/>
              </w:rPr>
            </w:pPr>
          </w:p>
        </w:tc>
        <w:tc>
          <w:tcPr>
            <w:tcW w:w="3160" w:type="dxa"/>
            <w:vAlign w:val="bottom"/>
            <w:tcBorders>
              <w:bottom w:val="single" w:sz="8" w:color="auto"/>
              <w:right w:val="single" w:sz="8" w:color="auto"/>
            </w:tcBorders>
            <w:shd w:val="clear" w:color="auto" w:fill="B2B2B2"/>
          </w:tcPr>
          <w:p>
            <w:pPr>
              <w:spacing w:after="0"/>
              <w:rPr>
                <w:sz w:val="16"/>
                <w:szCs w:val="16"/>
                <w:color w:val="auto"/>
              </w:rPr>
            </w:pPr>
          </w:p>
        </w:tc>
        <w:tc>
          <w:tcPr>
            <w:tcW w:w="2820" w:type="dxa"/>
            <w:vAlign w:val="bottom"/>
            <w:tcBorders>
              <w:bottom w:val="single" w:sz="8" w:color="auto"/>
              <w:right w:val="single" w:sz="8" w:color="auto"/>
            </w:tcBorders>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1700" w:type="dxa"/>
            <w:vAlign w:val="bottom"/>
            <w:tcBorders>
              <w:left w:val="single" w:sz="8" w:color="auto"/>
              <w:right w:val="single" w:sz="8" w:color="auto"/>
            </w:tcBorders>
            <w:vMerge w:val="continue"/>
            <w:shd w:val="clear" w:color="auto" w:fill="B2B2B2"/>
          </w:tcPr>
          <w:p>
            <w:pPr>
              <w:spacing w:after="0"/>
              <w:rPr>
                <w:sz w:val="4"/>
                <w:szCs w:val="4"/>
                <w:color w:val="auto"/>
              </w:rPr>
            </w:pPr>
          </w:p>
        </w:tc>
        <w:tc>
          <w:tcPr>
            <w:tcW w:w="2640" w:type="dxa"/>
            <w:vAlign w:val="bottom"/>
            <w:tcBorders>
              <w:right w:val="single" w:sz="8" w:color="auto"/>
            </w:tcBorders>
            <w:shd w:val="clear" w:color="auto" w:fill="B2B2B2"/>
          </w:tcPr>
          <w:p>
            <w:pPr>
              <w:spacing w:after="0"/>
              <w:rPr>
                <w:sz w:val="4"/>
                <w:szCs w:val="4"/>
                <w:color w:val="auto"/>
              </w:rPr>
            </w:pPr>
          </w:p>
        </w:tc>
        <w:tc>
          <w:tcPr>
            <w:tcW w:w="3160" w:type="dxa"/>
            <w:vAlign w:val="bottom"/>
            <w:tcBorders>
              <w:right w:val="single" w:sz="8" w:color="auto"/>
            </w:tcBorders>
            <w:vMerge w:val="restart"/>
            <w:shd w:val="clear" w:color="auto" w:fill="B2B2B2"/>
          </w:tcPr>
          <w:p>
            <w:pPr>
              <w:ind w:left="20"/>
              <w:spacing w:after="0" w:line="204" w:lineRule="exact"/>
              <w:rPr>
                <w:sz w:val="20"/>
                <w:szCs w:val="20"/>
                <w:color w:val="auto"/>
              </w:rPr>
            </w:pPr>
            <w:r>
              <w:rPr>
                <w:rFonts w:ascii="Arial" w:cs="Arial" w:eastAsia="Arial" w:hAnsi="Arial"/>
                <w:sz w:val="18"/>
                <w:szCs w:val="18"/>
                <w:color w:val="auto"/>
              </w:rPr>
              <w:t>Incentvizes retenton and aligns</w:t>
            </w:r>
          </w:p>
        </w:tc>
        <w:tc>
          <w:tcPr>
            <w:tcW w:w="2820" w:type="dxa"/>
            <w:vAlign w:val="bottom"/>
            <w:tcBorders>
              <w:right w:val="single" w:sz="8" w:color="auto"/>
            </w:tcBorders>
            <w:vMerge w:val="restart"/>
            <w:shd w:val="clear" w:color="auto" w:fill="B2B2B2"/>
          </w:tcPr>
          <w:p>
            <w:pPr>
              <w:spacing w:after="0" w:line="204" w:lineRule="exact"/>
              <w:rPr>
                <w:sz w:val="20"/>
                <w:szCs w:val="20"/>
                <w:color w:val="auto"/>
              </w:rPr>
            </w:pPr>
            <w:r>
              <w:rPr>
                <w:rFonts w:ascii="Arial" w:cs="Arial" w:eastAsia="Arial" w:hAnsi="Arial"/>
                <w:sz w:val="18"/>
                <w:szCs w:val="18"/>
                <w:color w:val="auto"/>
                <w:w w:val="93"/>
              </w:rPr>
              <w:t>One-year performance measurement</w:t>
            </w:r>
          </w:p>
        </w:tc>
        <w:tc>
          <w:tcPr>
            <w:tcW w:w="0" w:type="dxa"/>
            <w:vAlign w:val="bottom"/>
          </w:tcPr>
          <w:p>
            <w:pPr>
              <w:spacing w:after="0"/>
              <w:rPr>
                <w:sz w:val="1"/>
                <w:szCs w:val="1"/>
                <w:color w:val="auto"/>
              </w:rPr>
            </w:pPr>
          </w:p>
        </w:tc>
      </w:tr>
      <w:tr>
        <w:trPr>
          <w:trHeight w:val="147"/>
        </w:trPr>
        <w:tc>
          <w:tcPr>
            <w:tcW w:w="170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86"/>
              </w:rPr>
              <w:t>Component</w:t>
            </w:r>
          </w:p>
        </w:tc>
        <w:tc>
          <w:tcPr>
            <w:tcW w:w="2640" w:type="dxa"/>
            <w:vAlign w:val="bottom"/>
            <w:tcBorders>
              <w:right w:val="single" w:sz="8" w:color="auto"/>
            </w:tcBorders>
            <w:shd w:val="clear" w:color="auto" w:fill="B2B2B2"/>
          </w:tcPr>
          <w:p>
            <w:pPr>
              <w:spacing w:after="0"/>
              <w:rPr>
                <w:sz w:val="12"/>
                <w:szCs w:val="12"/>
                <w:color w:val="auto"/>
              </w:rPr>
            </w:pPr>
          </w:p>
        </w:tc>
        <w:tc>
          <w:tcPr>
            <w:tcW w:w="3160" w:type="dxa"/>
            <w:vAlign w:val="bottom"/>
            <w:tcBorders>
              <w:right w:val="single" w:sz="8" w:color="auto"/>
            </w:tcBorders>
            <w:vMerge w:val="continue"/>
            <w:shd w:val="clear" w:color="auto" w:fill="B2B2B2"/>
          </w:tcPr>
          <w:p>
            <w:pPr>
              <w:spacing w:after="0"/>
              <w:rPr>
                <w:sz w:val="12"/>
                <w:szCs w:val="12"/>
                <w:color w:val="auto"/>
              </w:rPr>
            </w:pPr>
          </w:p>
        </w:tc>
        <w:tc>
          <w:tcPr>
            <w:tcW w:w="2820" w:type="dxa"/>
            <w:vAlign w:val="bottom"/>
            <w:tcBorders>
              <w:right w:val="single" w:sz="8" w:color="auto"/>
            </w:tcBorders>
            <w:vMerge w:val="continue"/>
            <w:shd w:val="clear" w:color="auto" w:fill="B2B2B2"/>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00" w:type="dxa"/>
            <w:vAlign w:val="bottom"/>
            <w:tcBorders>
              <w:left w:val="single" w:sz="8" w:color="auto"/>
              <w:right w:val="single" w:sz="8" w:color="auto"/>
            </w:tcBorders>
            <w:vMerge w:val="continue"/>
            <w:shd w:val="clear" w:color="auto" w:fill="B2B2B2"/>
          </w:tcPr>
          <w:p>
            <w:pPr>
              <w:spacing w:after="0"/>
              <w:rPr>
                <w:sz w:val="11"/>
                <w:szCs w:val="11"/>
                <w:color w:val="auto"/>
              </w:rPr>
            </w:pPr>
          </w:p>
        </w:tc>
        <w:tc>
          <w:tcPr>
            <w:tcW w:w="2640" w:type="dxa"/>
            <w:vAlign w:val="bottom"/>
            <w:tcBorders>
              <w:right w:val="single" w:sz="8" w:color="auto"/>
            </w:tcBorders>
            <w:shd w:val="clear" w:color="auto" w:fill="B2B2B2"/>
          </w:tcPr>
          <w:p>
            <w:pPr>
              <w:spacing w:after="0"/>
              <w:rPr>
                <w:sz w:val="11"/>
                <w:szCs w:val="11"/>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compensaton to long-term shareholder</w:t>
            </w:r>
          </w:p>
        </w:tc>
        <w:tc>
          <w:tcPr>
            <w:tcW w:w="282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period, and two-year additonal</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shd w:val="clear" w:color="auto" w:fill="B2B2B2"/>
          </w:tcPr>
          <w:p>
            <w:pPr>
              <w:spacing w:after="0"/>
              <w:rPr>
                <w:sz w:val="7"/>
                <w:szCs w:val="7"/>
                <w:color w:val="auto"/>
              </w:rPr>
            </w:pPr>
          </w:p>
        </w:tc>
        <w:tc>
          <w:tcPr>
            <w:tcW w:w="2640" w:type="dxa"/>
            <w:vAlign w:val="bottom"/>
            <w:tcBorders>
              <w:right w:val="single" w:sz="8" w:color="auto"/>
            </w:tcBorders>
            <w:shd w:val="clear" w:color="auto" w:fill="B2B2B2"/>
          </w:tcPr>
          <w:p>
            <w:pPr>
              <w:spacing w:after="0"/>
              <w:rPr>
                <w:sz w:val="7"/>
                <w:szCs w:val="7"/>
                <w:color w:val="auto"/>
              </w:rPr>
            </w:pPr>
          </w:p>
        </w:tc>
        <w:tc>
          <w:tcPr>
            <w:tcW w:w="3160" w:type="dxa"/>
            <w:vAlign w:val="bottom"/>
            <w:tcBorders>
              <w:right w:val="single" w:sz="8" w:color="auto"/>
            </w:tcBorders>
            <w:vMerge w:val="continue"/>
            <w:shd w:val="clear" w:color="auto" w:fill="B2B2B2"/>
          </w:tcPr>
          <w:p>
            <w:pPr>
              <w:spacing w:after="0"/>
              <w:rPr>
                <w:sz w:val="7"/>
                <w:szCs w:val="7"/>
                <w:color w:val="auto"/>
              </w:rPr>
            </w:pPr>
          </w:p>
        </w:tc>
        <w:tc>
          <w:tcPr>
            <w:tcW w:w="2820" w:type="dxa"/>
            <w:vAlign w:val="bottom"/>
            <w:tcBorders>
              <w:right w:val="single" w:sz="8" w:color="auto"/>
            </w:tcBorders>
            <w:vMerge w:val="continue"/>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value and stock price appreciaton</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w w:val="99"/>
              </w:rPr>
              <w:t>vestng period following issuance of</w:t>
            </w:r>
          </w:p>
        </w:tc>
        <w:tc>
          <w:tcPr>
            <w:tcW w:w="0" w:type="dxa"/>
            <w:vAlign w:val="bottom"/>
          </w:tcPr>
          <w:p>
            <w:pPr>
              <w:spacing w:after="0"/>
              <w:rPr>
                <w:sz w:val="1"/>
                <w:szCs w:val="1"/>
                <w:color w:val="auto"/>
              </w:rPr>
            </w:pPr>
          </w:p>
        </w:tc>
      </w:tr>
      <w:tr>
        <w:trPr>
          <w:trHeight w:val="227"/>
        </w:trPr>
        <w:tc>
          <w:tcPr>
            <w:tcW w:w="1700" w:type="dxa"/>
            <w:vAlign w:val="bottom"/>
            <w:tcBorders>
              <w:left w:val="single" w:sz="8" w:color="auto"/>
              <w:right w:val="single" w:sz="8" w:color="auto"/>
            </w:tcBorders>
            <w:shd w:val="clear" w:color="auto" w:fill="B2B2B2"/>
          </w:tcPr>
          <w:p>
            <w:pPr>
              <w:spacing w:after="0"/>
              <w:rPr>
                <w:sz w:val="19"/>
                <w:szCs w:val="19"/>
                <w:color w:val="auto"/>
              </w:rPr>
            </w:pPr>
          </w:p>
        </w:tc>
        <w:tc>
          <w:tcPr>
            <w:tcW w:w="264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0"/>
              </w:rPr>
              <w:t>Performance-Based Restricted</w:t>
            </w: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Motvates short-term performance by</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restricted stock</w:t>
            </w:r>
          </w:p>
        </w:tc>
        <w:tc>
          <w:tcPr>
            <w:tcW w:w="0" w:type="dxa"/>
            <w:vAlign w:val="bottom"/>
          </w:tcPr>
          <w:p>
            <w:pPr>
              <w:spacing w:after="0"/>
              <w:rPr>
                <w:sz w:val="1"/>
                <w:szCs w:val="1"/>
                <w:color w:val="auto"/>
              </w:rPr>
            </w:pPr>
          </w:p>
        </w:tc>
      </w:tr>
      <w:tr>
        <w:trPr>
          <w:trHeight w:val="70"/>
        </w:trPr>
        <w:tc>
          <w:tcPr>
            <w:tcW w:w="1700" w:type="dxa"/>
            <w:vAlign w:val="bottom"/>
            <w:tcBorders>
              <w:left w:val="single" w:sz="8" w:color="auto"/>
              <w:right w:val="single" w:sz="8" w:color="auto"/>
            </w:tcBorders>
            <w:shd w:val="clear" w:color="auto" w:fill="B2B2B2"/>
          </w:tcPr>
          <w:p>
            <w:pPr>
              <w:spacing w:after="0"/>
              <w:rPr>
                <w:sz w:val="6"/>
                <w:szCs w:val="6"/>
                <w:color w:val="auto"/>
              </w:rPr>
            </w:pPr>
          </w:p>
        </w:tc>
        <w:tc>
          <w:tcPr>
            <w:tcW w:w="2640" w:type="dxa"/>
            <w:vAlign w:val="bottom"/>
            <w:tcBorders>
              <w:right w:val="single" w:sz="8" w:color="auto"/>
            </w:tcBorders>
            <w:vMerge w:val="continue"/>
            <w:shd w:val="clear" w:color="auto" w:fill="B2B2B2"/>
          </w:tcPr>
          <w:p>
            <w:pPr>
              <w:spacing w:after="0"/>
              <w:rPr>
                <w:sz w:val="6"/>
                <w:szCs w:val="6"/>
                <w:color w:val="auto"/>
              </w:rPr>
            </w:pPr>
          </w:p>
        </w:tc>
        <w:tc>
          <w:tcPr>
            <w:tcW w:w="3160" w:type="dxa"/>
            <w:vAlign w:val="bottom"/>
            <w:tcBorders>
              <w:right w:val="single" w:sz="8" w:color="auto"/>
            </w:tcBorders>
            <w:vMerge w:val="continue"/>
            <w:shd w:val="clear" w:color="auto" w:fill="B2B2B2"/>
          </w:tcPr>
          <w:p>
            <w:pPr>
              <w:spacing w:after="0"/>
              <w:rPr>
                <w:sz w:val="6"/>
                <w:szCs w:val="6"/>
                <w:color w:val="auto"/>
              </w:rPr>
            </w:pPr>
          </w:p>
        </w:tc>
        <w:tc>
          <w:tcPr>
            <w:tcW w:w="2820" w:type="dxa"/>
            <w:vAlign w:val="bottom"/>
            <w:tcBorders>
              <w:right w:val="single" w:sz="8" w:color="auto"/>
            </w:tcBorders>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700" w:type="dxa"/>
            <w:vAlign w:val="bottom"/>
            <w:tcBorders>
              <w:left w:val="single" w:sz="8" w:color="auto"/>
              <w:right w:val="single" w:sz="8" w:color="auto"/>
            </w:tcBorders>
            <w:shd w:val="clear" w:color="auto" w:fill="B2B2B2"/>
          </w:tcPr>
          <w:p>
            <w:pPr>
              <w:spacing w:after="0"/>
              <w:rPr>
                <w:sz w:val="12"/>
                <w:szCs w:val="12"/>
                <w:color w:val="auto"/>
              </w:rPr>
            </w:pPr>
          </w:p>
        </w:tc>
        <w:tc>
          <w:tcPr>
            <w:tcW w:w="264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1"/>
              </w:rPr>
              <w:t>Stock Unit Awards</w:t>
            </w:r>
          </w:p>
        </w:tc>
        <w:tc>
          <w:tcPr>
            <w:tcW w:w="3160" w:type="dxa"/>
            <w:vAlign w:val="bottom"/>
            <w:tcBorders>
              <w:right w:val="single" w:sz="8" w:color="auto"/>
            </w:tcBorders>
            <w:vMerge w:val="continue"/>
            <w:shd w:val="clear" w:color="auto" w:fill="B2B2B2"/>
          </w:tcPr>
          <w:p>
            <w:pPr>
              <w:spacing w:after="0"/>
              <w:rPr>
                <w:sz w:val="12"/>
                <w:szCs w:val="12"/>
                <w:color w:val="auto"/>
              </w:rPr>
            </w:pPr>
          </w:p>
        </w:tc>
        <w:tc>
          <w:tcPr>
            <w:tcW w:w="2820" w:type="dxa"/>
            <w:vAlign w:val="bottom"/>
            <w:tcBorders>
              <w:right w:val="single" w:sz="8" w:color="auto"/>
            </w:tcBorders>
            <w:shd w:val="clear" w:color="auto" w:fill="B2B2B2"/>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700" w:type="dxa"/>
            <w:vAlign w:val="bottom"/>
            <w:tcBorders>
              <w:left w:val="single" w:sz="8" w:color="auto"/>
              <w:right w:val="single" w:sz="8" w:color="auto"/>
            </w:tcBorders>
            <w:shd w:val="clear" w:color="auto" w:fill="B2B2B2"/>
          </w:tcPr>
          <w:p>
            <w:pPr>
              <w:spacing w:after="0"/>
              <w:rPr>
                <w:sz w:val="6"/>
                <w:szCs w:val="6"/>
                <w:color w:val="auto"/>
              </w:rPr>
            </w:pPr>
          </w:p>
        </w:tc>
        <w:tc>
          <w:tcPr>
            <w:tcW w:w="2640" w:type="dxa"/>
            <w:vAlign w:val="bottom"/>
            <w:tcBorders>
              <w:right w:val="single" w:sz="8" w:color="auto"/>
            </w:tcBorders>
            <w:vMerge w:val="continue"/>
            <w:shd w:val="clear" w:color="auto" w:fill="B2B2B2"/>
          </w:tcPr>
          <w:p>
            <w:pPr>
              <w:spacing w:after="0"/>
              <w:rPr>
                <w:sz w:val="6"/>
                <w:szCs w:val="6"/>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greater rewards for superior</w:t>
            </w:r>
          </w:p>
        </w:tc>
        <w:tc>
          <w:tcPr>
            <w:tcW w:w="2820" w:type="dxa"/>
            <w:vAlign w:val="bottom"/>
            <w:tcBorders>
              <w:right w:val="single" w:sz="8" w:color="auto"/>
            </w:tcBorders>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right w:val="single" w:sz="8" w:color="auto"/>
            </w:tcBorders>
            <w:shd w:val="clear" w:color="auto" w:fill="B2B2B2"/>
          </w:tcPr>
          <w:p>
            <w:pPr>
              <w:spacing w:after="0"/>
              <w:rPr>
                <w:sz w:val="13"/>
                <w:szCs w:val="13"/>
                <w:color w:val="auto"/>
              </w:rPr>
            </w:pPr>
          </w:p>
        </w:tc>
        <w:tc>
          <w:tcPr>
            <w:tcW w:w="264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0"/>
              </w:rPr>
              <w:t>(Equity)</w:t>
            </w:r>
          </w:p>
        </w:tc>
        <w:tc>
          <w:tcPr>
            <w:tcW w:w="3160" w:type="dxa"/>
            <w:vAlign w:val="bottom"/>
            <w:tcBorders>
              <w:right w:val="single" w:sz="8" w:color="auto"/>
            </w:tcBorders>
            <w:vMerge w:val="continue"/>
            <w:shd w:val="clear" w:color="auto" w:fill="B2B2B2"/>
          </w:tcPr>
          <w:p>
            <w:pPr>
              <w:spacing w:after="0"/>
              <w:rPr>
                <w:sz w:val="13"/>
                <w:szCs w:val="13"/>
                <w:color w:val="auto"/>
              </w:rPr>
            </w:pPr>
          </w:p>
        </w:tc>
        <w:tc>
          <w:tcPr>
            <w:tcW w:w="2820" w:type="dxa"/>
            <w:vAlign w:val="bottom"/>
            <w:tcBorders>
              <w:right w:val="single" w:sz="8" w:color="auto"/>
            </w:tcBorders>
            <w:shd w:val="clear" w:color="auto" w:fill="B2B2B2"/>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1700" w:type="dxa"/>
            <w:vAlign w:val="bottom"/>
            <w:tcBorders>
              <w:left w:val="single" w:sz="8" w:color="auto"/>
              <w:right w:val="single" w:sz="8" w:color="auto"/>
            </w:tcBorders>
            <w:shd w:val="clear" w:color="auto" w:fill="B2B2B2"/>
          </w:tcPr>
          <w:p>
            <w:pPr>
              <w:spacing w:after="0"/>
              <w:rPr>
                <w:sz w:val="6"/>
                <w:szCs w:val="6"/>
                <w:color w:val="auto"/>
              </w:rPr>
            </w:pPr>
          </w:p>
        </w:tc>
        <w:tc>
          <w:tcPr>
            <w:tcW w:w="2640" w:type="dxa"/>
            <w:vAlign w:val="bottom"/>
            <w:tcBorders>
              <w:right w:val="single" w:sz="8" w:color="auto"/>
            </w:tcBorders>
            <w:vMerge w:val="continue"/>
            <w:shd w:val="clear" w:color="auto" w:fill="B2B2B2"/>
          </w:tcPr>
          <w:p>
            <w:pPr>
              <w:spacing w:after="0"/>
              <w:rPr>
                <w:sz w:val="6"/>
                <w:szCs w:val="6"/>
                <w:color w:val="auto"/>
              </w:rPr>
            </w:pPr>
          </w:p>
        </w:tc>
        <w:tc>
          <w:tcPr>
            <w:tcW w:w="3160" w:type="dxa"/>
            <w:vAlign w:val="bottom"/>
            <w:tcBorders>
              <w:right w:val="single" w:sz="8" w:color="auto"/>
            </w:tcBorders>
            <w:vMerge w:val="restart"/>
            <w:shd w:val="clear" w:color="auto" w:fill="B2B2B2"/>
          </w:tcPr>
          <w:p>
            <w:pPr>
              <w:ind w:left="20"/>
              <w:spacing w:after="0" w:line="195" w:lineRule="exact"/>
              <w:rPr>
                <w:sz w:val="20"/>
                <w:szCs w:val="20"/>
                <w:color w:val="auto"/>
              </w:rPr>
            </w:pPr>
            <w:r>
              <w:rPr>
                <w:rFonts w:ascii="Arial" w:cs="Arial" w:eastAsia="Arial" w:hAnsi="Arial"/>
                <w:sz w:val="18"/>
                <w:szCs w:val="18"/>
                <w:color w:val="auto"/>
                <w:w w:val="98"/>
              </w:rPr>
              <w:t>Company performance, while delivering</w:t>
            </w:r>
          </w:p>
        </w:tc>
        <w:tc>
          <w:tcPr>
            <w:tcW w:w="2820" w:type="dxa"/>
            <w:vAlign w:val="bottom"/>
            <w:tcBorders>
              <w:right w:val="single" w:sz="8" w:color="auto"/>
            </w:tcBorders>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shd w:val="clear" w:color="auto" w:fill="B2B2B2"/>
          </w:tcPr>
          <w:p>
            <w:pPr>
              <w:spacing w:after="0"/>
              <w:rPr>
                <w:sz w:val="10"/>
                <w:szCs w:val="10"/>
                <w:color w:val="auto"/>
              </w:rPr>
            </w:pPr>
          </w:p>
        </w:tc>
        <w:tc>
          <w:tcPr>
            <w:tcW w:w="2640" w:type="dxa"/>
            <w:vAlign w:val="bottom"/>
            <w:tcBorders>
              <w:right w:val="single" w:sz="8" w:color="auto"/>
            </w:tcBorders>
            <w:shd w:val="clear" w:color="auto" w:fill="B2B2B2"/>
          </w:tcPr>
          <w:p>
            <w:pPr>
              <w:spacing w:after="0"/>
              <w:rPr>
                <w:sz w:val="10"/>
                <w:szCs w:val="10"/>
                <w:color w:val="auto"/>
              </w:rPr>
            </w:pPr>
          </w:p>
        </w:tc>
        <w:tc>
          <w:tcPr>
            <w:tcW w:w="3160" w:type="dxa"/>
            <w:vAlign w:val="bottom"/>
            <w:tcBorders>
              <w:right w:val="single" w:sz="8" w:color="auto"/>
            </w:tcBorders>
            <w:vMerge w:val="continue"/>
            <w:shd w:val="clear" w:color="auto" w:fill="B2B2B2"/>
          </w:tcPr>
          <w:p>
            <w:pPr>
              <w:spacing w:after="0"/>
              <w:rPr>
                <w:sz w:val="10"/>
                <w:szCs w:val="10"/>
                <w:color w:val="auto"/>
              </w:rPr>
            </w:pPr>
          </w:p>
        </w:tc>
        <w:tc>
          <w:tcPr>
            <w:tcW w:w="2820" w:type="dxa"/>
            <w:vAlign w:val="bottom"/>
            <w:tcBorders>
              <w:right w:val="single" w:sz="8" w:color="auto"/>
            </w:tcBorders>
            <w:shd w:val="clear" w:color="auto" w:fill="B2B2B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4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reduced or no awards for Company</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tcBorders>
              <w:left w:val="single" w:sz="8" w:color="auto"/>
              <w:right w:val="single" w:sz="8" w:color="auto"/>
            </w:tcBorders>
            <w:shd w:val="clear" w:color="auto" w:fill="B2B2B2"/>
          </w:tcPr>
          <w:p>
            <w:pPr>
              <w:spacing w:after="0"/>
              <w:rPr>
                <w:sz w:val="19"/>
                <w:szCs w:val="19"/>
                <w:color w:val="auto"/>
              </w:rPr>
            </w:pPr>
          </w:p>
        </w:tc>
        <w:tc>
          <w:tcPr>
            <w:tcW w:w="2640" w:type="dxa"/>
            <w:vAlign w:val="bottom"/>
            <w:tcBorders>
              <w:right w:val="single" w:sz="8" w:color="auto"/>
            </w:tcBorders>
            <w:shd w:val="clear" w:color="auto" w:fill="B2B2B2"/>
          </w:tcPr>
          <w:p>
            <w:pPr>
              <w:spacing w:after="0"/>
              <w:rPr>
                <w:sz w:val="19"/>
                <w:szCs w:val="19"/>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underperformance</w:t>
            </w:r>
          </w:p>
        </w:tc>
        <w:tc>
          <w:tcPr>
            <w:tcW w:w="2820" w:type="dxa"/>
            <w:vAlign w:val="bottom"/>
            <w:tcBorders>
              <w:right w:val="single" w:sz="8" w:color="auto"/>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562"/>
        </w:trPr>
        <w:tc>
          <w:tcPr>
            <w:tcW w:w="1700" w:type="dxa"/>
            <w:vAlign w:val="bottom"/>
            <w:tcBorders>
              <w:left w:val="single" w:sz="8" w:color="auto"/>
              <w:bottom w:val="single" w:sz="8" w:color="auto"/>
              <w:right w:val="single" w:sz="8" w:color="auto"/>
            </w:tcBorders>
            <w:shd w:val="clear" w:color="auto" w:fill="B2B2B2"/>
          </w:tcPr>
          <w:p>
            <w:pPr>
              <w:spacing w:after="0"/>
              <w:rPr>
                <w:sz w:val="24"/>
                <w:szCs w:val="24"/>
                <w:color w:val="auto"/>
              </w:rPr>
            </w:pPr>
          </w:p>
        </w:tc>
        <w:tc>
          <w:tcPr>
            <w:tcW w:w="2640" w:type="dxa"/>
            <w:vAlign w:val="bottom"/>
            <w:tcBorders>
              <w:bottom w:val="single" w:sz="8" w:color="auto"/>
              <w:right w:val="single" w:sz="8" w:color="auto"/>
            </w:tcBorders>
            <w:shd w:val="clear" w:color="auto" w:fill="B2B2B2"/>
          </w:tcPr>
          <w:p>
            <w:pPr>
              <w:spacing w:after="0"/>
              <w:rPr>
                <w:sz w:val="24"/>
                <w:szCs w:val="24"/>
                <w:color w:val="auto"/>
              </w:rPr>
            </w:pPr>
          </w:p>
        </w:tc>
        <w:tc>
          <w:tcPr>
            <w:tcW w:w="3160" w:type="dxa"/>
            <w:vAlign w:val="bottom"/>
            <w:tcBorders>
              <w:bottom w:val="single" w:sz="8" w:color="auto"/>
              <w:right w:val="single" w:sz="8" w:color="auto"/>
            </w:tcBorders>
            <w:shd w:val="clear" w:color="auto" w:fill="B2B2B2"/>
          </w:tcPr>
          <w:p>
            <w:pPr>
              <w:spacing w:after="0"/>
              <w:rPr>
                <w:sz w:val="24"/>
                <w:szCs w:val="24"/>
                <w:color w:val="auto"/>
              </w:rPr>
            </w:pPr>
          </w:p>
        </w:tc>
        <w:tc>
          <w:tcPr>
            <w:tcW w:w="2820" w:type="dxa"/>
            <w:vAlign w:val="bottom"/>
            <w:tcBorders>
              <w:bottom w:val="single" w:sz="8" w:color="auto"/>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following shows the relatve value of the various compensaton components at target for fscal 2023 (base salary, performance-based equity incentve compensaton and performance-based cash incentve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254625" cy="257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type w:val="continuous"/>
        </w:sectPr>
      </w:pPr>
    </w:p>
    <w:bookmarkStart w:id="17" w:name="page18"/>
    <w:bookmarkEnd w:id="17"/>
    <w:p>
      <w:pPr>
        <w:ind w:right="80"/>
        <w:spacing w:after="0" w:line="273" w:lineRule="auto"/>
        <w:rPr>
          <w:sz w:val="20"/>
          <w:szCs w:val="20"/>
          <w:color w:val="auto"/>
        </w:rPr>
      </w:pPr>
      <w:r>
        <w:rPr>
          <w:rFonts w:ascii="Arial" w:cs="Arial" w:eastAsia="Arial" w:hAnsi="Arial"/>
          <w:sz w:val="18"/>
          <w:szCs w:val="18"/>
          <w:color w:val="auto"/>
        </w:rPr>
        <w:t>In additon to the above elements, our executve compensaton program for the last fscal year also included contributons to long-term beneft plans and other benefts, which are discussed in greater detail below.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12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provide base salaries to our named executve ofcers to compensate them for fulflling their primary responsibilites and to provide fnancial stability. The Compensaton Commitee annually reviews, and adjusts as appropriate, base salaries for our executve ofcers. In May 2022, the Compensaton Commitee approved the following increases to the base salary of our named executve ofcers, with the increases efectve in June 2022: Mr. Hawkins to $615,000, an increase of 19%; Mr. Oldenkamp to $452,000, an increase of 10%; Mr. Erstad to $325,000, an increase of 9%, Mr. Grahek to $355,000, an increase of 9%; and Mr. Mangine to $325,000, an increase of 16%. Each increase in base salary was due to labor market dynamics.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Non-Equity Incentve Compensaton</w:t>
      </w:r>
    </w:p>
    <w:p>
      <w:pPr>
        <w:spacing w:after="0" w:line="113" w:lineRule="exact"/>
        <w:rPr>
          <w:sz w:val="20"/>
          <w:szCs w:val="20"/>
          <w:color w:val="auto"/>
        </w:rPr>
      </w:pPr>
    </w:p>
    <w:p>
      <w:pPr>
        <w:ind w:right="460"/>
        <w:spacing w:after="0" w:line="309" w:lineRule="auto"/>
        <w:rPr>
          <w:sz w:val="20"/>
          <w:szCs w:val="20"/>
          <w:color w:val="auto"/>
        </w:rPr>
      </w:pPr>
      <w:r>
        <w:rPr>
          <w:rFonts w:ascii="Arial" w:cs="Arial" w:eastAsia="Arial" w:hAnsi="Arial"/>
          <w:sz w:val="16"/>
          <w:szCs w:val="16"/>
          <w:color w:val="auto"/>
        </w:rPr>
        <w:t>Annual non-equity incentve compensaton is a key component of our executve compensaton strategy. The purpose of annual non-equity incentve compensaton is to provide cash compensaton that is variable based on the achievement of performance goals established by the Compensaton Commitee. Our executve ofcers do not have a contractual right to receive a fxed incentve compensaton payment for any fscal year.</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non-equity incentve arrangement (described below) provides for no payout to executve ofcers unless a specifed porton of the target is achieved and allows for a signifcantly increased payout if the target is exceeded. The cash incentve payments are determined and paid following the completon of our annual audit.</w:t>
      </w:r>
    </w:p>
    <w:p>
      <w:pPr>
        <w:spacing w:after="0" w:line="2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For fscal 2023, the Compensaton Commitee designated fnancial performance goals, including a corporate pre-tax income performance measure and, for each named executve ofcer in charge of a business unit (which in fscal 2023 included only our Vice President - Industrial), an operatonal measure of business unit proftability, as well as objectves for determining whether a cash incentve payment would be paid under the arrangement and in what amount.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incentve payment opportunites for our named executve ofcers were based on the following percentages of base salary for fscal 2023:</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32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4"/>
              </w:rPr>
              <w:t>Threshold</w:t>
            </w: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3"/>
              </w:rPr>
              <w:t>Target</w:t>
            </w:r>
          </w:p>
        </w:tc>
        <w:tc>
          <w:tcPr>
            <w:tcW w:w="120" w:type="dxa"/>
            <w:vAlign w:val="bottom"/>
            <w:tcBorders>
              <w:top w:val="single" w:sz="8" w:color="auto"/>
            </w:tcBorders>
          </w:tcPr>
          <w:p>
            <w:pPr>
              <w:spacing w:after="0"/>
              <w:rPr>
                <w:sz w:val="15"/>
                <w:szCs w:val="15"/>
                <w:color w:val="auto"/>
              </w:rPr>
            </w:pPr>
          </w:p>
        </w:tc>
        <w:tc>
          <w:tcPr>
            <w:tcW w:w="1940" w:type="dxa"/>
            <w:vAlign w:val="bottom"/>
            <w:tcBorders>
              <w:top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Maximum</w:t>
            </w:r>
          </w:p>
        </w:tc>
        <w:tc>
          <w:tcPr>
            <w:tcW w:w="0" w:type="dxa"/>
            <w:vAlign w:val="bottom"/>
          </w:tcPr>
          <w:p>
            <w:pPr>
              <w:spacing w:after="0"/>
              <w:rPr>
                <w:sz w:val="1"/>
                <w:szCs w:val="1"/>
                <w:color w:val="auto"/>
              </w:rPr>
            </w:pPr>
          </w:p>
        </w:tc>
      </w:tr>
      <w:tr>
        <w:trPr>
          <w:trHeight w:val="183"/>
        </w:trPr>
        <w:tc>
          <w:tcPr>
            <w:tcW w:w="43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Positon</w:t>
            </w:r>
          </w:p>
        </w:tc>
        <w:tc>
          <w:tcPr>
            <w:tcW w:w="120" w:type="dxa"/>
            <w:vAlign w:val="bottom"/>
          </w:tcPr>
          <w:p>
            <w:pPr>
              <w:spacing w:after="0"/>
              <w:rPr>
                <w:sz w:val="15"/>
                <w:szCs w:val="15"/>
                <w:color w:val="auto"/>
              </w:rPr>
            </w:pPr>
          </w:p>
        </w:tc>
        <w:tc>
          <w:tcPr>
            <w:tcW w:w="19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83"/>
              </w:rPr>
              <w:t>Annual Cash</w:t>
            </w:r>
          </w:p>
        </w:tc>
        <w:tc>
          <w:tcPr>
            <w:tcW w:w="100" w:type="dxa"/>
            <w:vAlign w:val="bottom"/>
          </w:tcPr>
          <w:p>
            <w:pPr>
              <w:spacing w:after="0"/>
              <w:rPr>
                <w:sz w:val="15"/>
                <w:szCs w:val="15"/>
                <w:color w:val="auto"/>
              </w:rPr>
            </w:pPr>
          </w:p>
        </w:tc>
        <w:tc>
          <w:tcPr>
            <w:tcW w:w="192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83"/>
              </w:rPr>
              <w:t>Annual Cash</w:t>
            </w:r>
          </w:p>
        </w:tc>
        <w:tc>
          <w:tcPr>
            <w:tcW w:w="120" w:type="dxa"/>
            <w:vAlign w:val="bottom"/>
          </w:tcPr>
          <w:p>
            <w:pPr>
              <w:spacing w:after="0"/>
              <w:rPr>
                <w:sz w:val="15"/>
                <w:szCs w:val="15"/>
                <w:color w:val="auto"/>
              </w:rPr>
            </w:pPr>
          </w:p>
        </w:tc>
        <w:tc>
          <w:tcPr>
            <w:tcW w:w="1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83"/>
              </w:rPr>
              <w:t>Annual Cash</w:t>
            </w:r>
          </w:p>
        </w:tc>
        <w:tc>
          <w:tcPr>
            <w:tcW w:w="0" w:type="dxa"/>
            <w:vAlign w:val="bottom"/>
          </w:tcPr>
          <w:p>
            <w:pPr>
              <w:spacing w:after="0"/>
              <w:rPr>
                <w:sz w:val="1"/>
                <w:szCs w:val="1"/>
                <w:color w:val="auto"/>
              </w:rPr>
            </w:pPr>
          </w:p>
        </w:tc>
      </w:tr>
      <w:tr>
        <w:trPr>
          <w:trHeight w:val="237"/>
        </w:trPr>
        <w:tc>
          <w:tcPr>
            <w:tcW w:w="4320" w:type="dxa"/>
            <w:vAlign w:val="bottom"/>
            <w:tcBorders>
              <w:left w:val="single" w:sz="8" w:color="auto"/>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Incentve Payment</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Incentve Payment</w:t>
            </w:r>
          </w:p>
        </w:tc>
        <w:tc>
          <w:tcPr>
            <w:tcW w:w="120" w:type="dxa"/>
            <w:vAlign w:val="bottom"/>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Incentve Payment</w:t>
            </w:r>
          </w:p>
        </w:tc>
        <w:tc>
          <w:tcPr>
            <w:tcW w:w="0" w:type="dxa"/>
            <w:vAlign w:val="bottom"/>
          </w:tcPr>
          <w:p>
            <w:pPr>
              <w:spacing w:after="0"/>
              <w:rPr>
                <w:sz w:val="1"/>
                <w:szCs w:val="1"/>
                <w:color w:val="auto"/>
              </w:rPr>
            </w:pPr>
          </w:p>
        </w:tc>
      </w:tr>
      <w:tr>
        <w:trPr>
          <w:trHeight w:val="243"/>
        </w:trPr>
        <w:tc>
          <w:tcPr>
            <w:tcW w:w="43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Chief Executve Ofcer</w:t>
            </w:r>
          </w:p>
        </w:tc>
        <w:tc>
          <w:tcPr>
            <w:tcW w:w="20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50 %</w:t>
            </w:r>
          </w:p>
        </w:tc>
        <w:tc>
          <w:tcPr>
            <w:tcW w:w="20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206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8"/>
        </w:trPr>
        <w:tc>
          <w:tcPr>
            <w:tcW w:w="43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Chief Financial Ofcer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37.5 %</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20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1"/>
        </w:trPr>
        <w:tc>
          <w:tcPr>
            <w:tcW w:w="43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Vice President - Operatons</w:t>
            </w:r>
          </w:p>
        </w:tc>
        <w:tc>
          <w:tcPr>
            <w:tcW w:w="20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20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206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8"/>
        </w:trPr>
        <w:tc>
          <w:tcPr>
            <w:tcW w:w="43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General Counsel</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20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8"/>
        </w:trPr>
        <w:tc>
          <w:tcPr>
            <w:tcW w:w="4320" w:type="dxa"/>
            <w:vAlign w:val="bottom"/>
            <w:tcBorders>
              <w:left w:val="single" w:sz="8" w:color="auto"/>
              <w:bottom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Vice President - Industrial</w:t>
            </w:r>
          </w:p>
        </w:tc>
        <w:tc>
          <w:tcPr>
            <w:tcW w:w="206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202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2060" w:type="dxa"/>
            <w:vAlign w:val="bottom"/>
            <w:tcBorders>
              <w:bottom w:val="single" w:sz="8" w:color="auto"/>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right="700"/>
        <w:spacing w:after="0" w:line="273" w:lineRule="auto"/>
        <w:rPr>
          <w:sz w:val="20"/>
          <w:szCs w:val="20"/>
          <w:color w:val="auto"/>
        </w:rPr>
      </w:pPr>
      <w:r>
        <w:rPr>
          <w:rFonts w:ascii="Arial" w:cs="Arial" w:eastAsia="Arial" w:hAnsi="Arial"/>
          <w:sz w:val="18"/>
          <w:szCs w:val="18"/>
          <w:color w:val="auto"/>
        </w:rPr>
        <w:t>The Compensaton Commitee established the payment opportunites for each of the named executve ofcers based on the relatve scope of his responsibilites and resultng ability to impact the company’s performance.</w:t>
      </w:r>
    </w:p>
    <w:p>
      <w:pPr>
        <w:spacing w:after="0" w:line="204" w:lineRule="exact"/>
        <w:rPr>
          <w:sz w:val="20"/>
          <w:szCs w:val="20"/>
          <w:color w:val="auto"/>
        </w:rPr>
      </w:pPr>
    </w:p>
    <w:p>
      <w:pPr>
        <w:jc w:val="both"/>
        <w:ind w:right="160"/>
        <w:spacing w:after="0" w:line="284" w:lineRule="auto"/>
        <w:rPr>
          <w:sz w:val="20"/>
          <w:szCs w:val="20"/>
          <w:color w:val="auto"/>
        </w:rPr>
      </w:pPr>
      <w:r>
        <w:rPr>
          <w:rFonts w:ascii="Arial" w:cs="Arial" w:eastAsia="Arial" w:hAnsi="Arial"/>
          <w:sz w:val="17"/>
          <w:szCs w:val="17"/>
          <w:color w:val="auto"/>
        </w:rPr>
        <w:t>The Compensaton Commitee determined that 100% of the annual cash incentve payment opportunites for our Chief Executve Ofcer, Chief Financial Ofcer, General Counsel and Vice President - Operatons for fscal 2023 should be based upon corporate performance against the pre-tax income goal to refect their signifcant company-wide responsibilites and resultng ability to impact the overall success of the company.</w:t>
      </w:r>
    </w:p>
    <w:p>
      <w:pPr>
        <w:spacing w:after="0" w:line="197"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Compensaton Commitee determined that 50% of the annual cash incentve payment opportunity for our Vice President - Industrial for fscal 2023 should be based upon company-wide performance and 50% should be based upon the proftability of his business unit to refect his dual roles as leader of his business unit and as a member of the company’s overall executve management team.</w:t>
      </w: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 annual cash incentve payments are made unless the threshold level of 80% of the respectve target performance level is achieved. Performance between 80% and 100% of the respectve target results in a payout on a sliding scale from 50% of the target level cash incentve payment for exactly achieving 80% of the performance target to 100% of the target level cash incentve payment for exactly achieving the respectve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 will lead to a payout of 75% of the target level cash incentve payment). Performance between 100% and 120% of the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line="258" w:lineRule="auto"/>
        <w:rPr>
          <w:sz w:val="20"/>
          <w:szCs w:val="20"/>
          <w:color w:val="auto"/>
        </w:rPr>
      </w:pPr>
      <w:r>
        <w:rPr>
          <w:rFonts w:ascii="Arial" w:cs="Arial" w:eastAsia="Arial" w:hAnsi="Arial"/>
          <w:sz w:val="18"/>
          <w:szCs w:val="18"/>
          <w:color w:val="auto"/>
        </w:rPr>
        <w:t>respectve target results in a payout on a sliding scale from 100% of the target level cash incentve payment for exactly meetng the performance target to 200% of the target level cash incentve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incentve payment). Performance over 120% of the applicable performance target does not result in any additonal annual cash incentve payment.</w:t>
      </w:r>
    </w:p>
    <w:p>
      <w:pPr>
        <w:spacing w:after="0" w:line="2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Corporate and Business Unit Financial Measures. </w:t>
      </w:r>
      <w:r>
        <w:rPr>
          <w:rFonts w:ascii="Arial" w:cs="Arial" w:eastAsia="Arial" w:hAnsi="Arial"/>
          <w:sz w:val="16"/>
          <w:szCs w:val="16"/>
          <w:color w:val="auto"/>
        </w:rPr>
        <w:t>The corporate performance porton of the annual cash incentve payment was based on our company-wide results for fscal 2023 as measured by income before income taxes, adjusted to remove the impact of the gain on the sale of our consumer bleach packaging assets and increases in interest rates beyond what had been antcipated, as compared to a targeted level of the same fnancial measure for that period. For our Industrial segment, the business unit performance porton of the annual cash incentve payment was based on an operatonal measure of business unit proftability for fscal 2023 that measures product sales less the cost of materials including freight in, the freight costs to deliver the product to the customer and the selling costs as compared to a targeted level of such operatonal proftability for that period. In each case, the targeted levels of performance were based on the level of antcipated performance that was derived from the company’s annual operatng plan. The corporate and business unit fnancial goals for fscal 2023 and the actual performance against those goals are summarized below (amounts in thousands).</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720" w:type="dxa"/>
            <w:vAlign w:val="bottom"/>
            <w:tcBorders>
              <w:top w:val="single" w:sz="8" w:color="auto"/>
              <w:lef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4"/>
              </w:rPr>
              <w:t>Threshold</w:t>
            </w: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3"/>
              </w:rPr>
              <w:t>Target</w:t>
            </w: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3"/>
              </w:rPr>
              <w:t>Maximum</w:t>
            </w: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3"/>
              </w:rPr>
              <w:t>Actual</w:t>
            </w: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Performance</w:t>
            </w:r>
          </w:p>
        </w:tc>
        <w:tc>
          <w:tcPr>
            <w:tcW w:w="12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Performance</w:t>
            </w:r>
          </w:p>
        </w:tc>
        <w:tc>
          <w:tcPr>
            <w:tcW w:w="120" w:type="dxa"/>
            <w:vAlign w:val="bottom"/>
          </w:tcPr>
          <w:p>
            <w:pPr>
              <w:spacing w:after="0"/>
              <w:rPr>
                <w:sz w:val="15"/>
                <w:szCs w:val="15"/>
                <w:color w:val="auto"/>
              </w:rPr>
            </w:pPr>
          </w:p>
        </w:tc>
        <w:tc>
          <w:tcPr>
            <w:tcW w:w="13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Performance</w:t>
            </w: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5"/>
              </w:rPr>
              <w:t>Performance</w:t>
            </w:r>
          </w:p>
        </w:tc>
        <w:tc>
          <w:tcPr>
            <w:tcW w:w="0" w:type="dxa"/>
            <w:vAlign w:val="bottom"/>
          </w:tcPr>
          <w:p>
            <w:pPr>
              <w:spacing w:after="0"/>
              <w:rPr>
                <w:sz w:val="1"/>
                <w:szCs w:val="1"/>
                <w:color w:val="auto"/>
              </w:rPr>
            </w:pPr>
          </w:p>
        </w:tc>
      </w:tr>
      <w:tr>
        <w:trPr>
          <w:trHeight w:val="244"/>
        </w:trPr>
        <w:tc>
          <w:tcPr>
            <w:tcW w:w="3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Financial Measure</w:t>
            </w:r>
          </w:p>
        </w:tc>
        <w:tc>
          <w:tcPr>
            <w:tcW w:w="100" w:type="dxa"/>
            <w:vAlign w:val="bottom"/>
            <w:tcBorders>
              <w:bottom w:val="single" w:sz="8" w:color="B3B3B3"/>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Level</w:t>
            </w:r>
          </w:p>
        </w:tc>
        <w:tc>
          <w:tcPr>
            <w:tcW w:w="120" w:type="dxa"/>
            <w:vAlign w:val="bottom"/>
            <w:tcBorders>
              <w:bottom w:val="single" w:sz="8" w:color="B3B3B3"/>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Level</w:t>
            </w:r>
          </w:p>
        </w:tc>
        <w:tc>
          <w:tcPr>
            <w:tcW w:w="120" w:type="dxa"/>
            <w:vAlign w:val="bottom"/>
            <w:tcBorders>
              <w:bottom w:val="single" w:sz="8" w:color="B3B3B3"/>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Level</w:t>
            </w:r>
          </w:p>
        </w:tc>
        <w:tc>
          <w:tcPr>
            <w:tcW w:w="100" w:type="dxa"/>
            <w:vAlign w:val="bottom"/>
            <w:tcBorders>
              <w:bottom w:val="single" w:sz="8" w:color="B3B3B3"/>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0" w:type="dxa"/>
            <w:vAlign w:val="bottom"/>
          </w:tcPr>
          <w:p>
            <w:pPr>
              <w:spacing w:after="0"/>
              <w:rPr>
                <w:sz w:val="1"/>
                <w:szCs w:val="1"/>
                <w:color w:val="auto"/>
              </w:rPr>
            </w:pPr>
          </w:p>
        </w:tc>
      </w:tr>
      <w:tr>
        <w:trPr>
          <w:trHeight w:val="229"/>
        </w:trPr>
        <w:tc>
          <w:tcPr>
            <w:tcW w:w="37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B3B3B3"/>
          </w:tcPr>
          <w:p>
            <w:pPr>
              <w:spacing w:after="0"/>
              <w:rPr>
                <w:sz w:val="19"/>
                <w:szCs w:val="19"/>
                <w:color w:val="auto"/>
              </w:rPr>
            </w:pP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$58,780</w:t>
            </w:r>
          </w:p>
        </w:tc>
        <w:tc>
          <w:tcPr>
            <w:tcW w:w="120" w:type="dxa"/>
            <w:vAlign w:val="bottom"/>
            <w:shd w:val="clear" w:color="auto" w:fill="B3B3B3"/>
          </w:tcPr>
          <w:p>
            <w:pPr>
              <w:spacing w:after="0"/>
              <w:rPr>
                <w:sz w:val="19"/>
                <w:szCs w:val="19"/>
                <w:color w:val="auto"/>
              </w:rPr>
            </w:pP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$73,475</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$88,170</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$81,011</w:t>
            </w:r>
          </w:p>
        </w:tc>
        <w:tc>
          <w:tcPr>
            <w:tcW w:w="0" w:type="dxa"/>
            <w:vAlign w:val="bottom"/>
          </w:tcPr>
          <w:p>
            <w:pPr>
              <w:spacing w:after="0"/>
              <w:rPr>
                <w:sz w:val="1"/>
                <w:szCs w:val="1"/>
                <w:color w:val="auto"/>
              </w:rPr>
            </w:pPr>
          </w:p>
        </w:tc>
      </w:tr>
      <w:tr>
        <w:trPr>
          <w:trHeight w:val="170"/>
        </w:trPr>
        <w:tc>
          <w:tcPr>
            <w:tcW w:w="372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Industrial Group Operatonal Performance</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$69,803</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$87,254</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$104,705</w:t>
            </w:r>
          </w:p>
        </w:tc>
        <w:tc>
          <w:tcPr>
            <w:tcW w:w="15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$101,912</w:t>
            </w:r>
          </w:p>
        </w:tc>
        <w:tc>
          <w:tcPr>
            <w:tcW w:w="0" w:type="dxa"/>
            <w:vAlign w:val="bottom"/>
          </w:tcPr>
          <w:p>
            <w:pPr>
              <w:spacing w:after="0"/>
              <w:rPr>
                <w:sz w:val="1"/>
                <w:szCs w:val="1"/>
                <w:color w:val="auto"/>
              </w:rPr>
            </w:pPr>
          </w:p>
        </w:tc>
      </w:tr>
      <w:tr>
        <w:trPr>
          <w:trHeight w:val="132"/>
        </w:trPr>
        <w:tc>
          <w:tcPr>
            <w:tcW w:w="37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Measure</w:t>
            </w:r>
          </w:p>
        </w:tc>
        <w:tc>
          <w:tcPr>
            <w:tcW w:w="148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7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Compensaton Commitee set these target performance levels to ensure that a substantal porton of each named executve ofcer’s cash compensaton is ted to corporate and business unit performance, as appropriate, and to provide our named executve ofcers with a performance-based opportunity to achieve market-compettve total compensaton. The Compensaton Commitee determined that income before income taxes was the best measure of overall corporate fnancial performance and that the operatonal proftability measure described above was the best measures of business unit fnancial performance.</w:t>
      </w:r>
    </w:p>
    <w:p>
      <w:pPr>
        <w:spacing w:after="0" w:line="21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Because our income before income taxes was greater than the target level but below the maximum level of performance for the 2023 fscal year, our named executve ofcers received 151% of the targeted payout under the corporate fnancial measure for fscal 2023. Because business unit operatonal proftability performance for the Industrial Group was greater than the target level but below the maximum level of performance, Mr. Mangine received 184% of his targeted payout under the business unit fnancial measure.</w:t>
      </w:r>
    </w:p>
    <w:p>
      <w:pPr>
        <w:spacing w:after="0" w:line="217"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While the Compensaton Commitee has discreton to adjust the fnal payouts under the annual non-equity incentve compensaton program, it has not typically done so, and did not do so for fscal 2023.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Awards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incentve compensaton program is designed to:</w:t>
      </w:r>
    </w:p>
    <w:p>
      <w:pPr>
        <w:spacing w:after="0" w:line="2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interests of the partcipants with those of our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incentves for the retenton of our named executve ofcers,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an equity incentve program that is compettve with the programs provided by companies with whom we compete for talent.</w:t>
      </w:r>
    </w:p>
    <w:p>
      <w:pPr>
        <w:spacing w:after="0" w:line="241"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For fscal 2023, as had been the case in prior years, the equity incentve award program consisted of grants of performance-based restricted stock units that would vest based on company performance during the current fscal year and would be setled in shares of restricted stock that would vest afer two more years of service. The Compensaton Commitee determined, with the assistance of McLagan, to contnue grantng performance-based restricted stock units to our named executve ofcers so that a signifcant porton of each named executve ofcer’s compensaton would be performance-based.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right="80"/>
        <w:spacing w:after="0" w:line="256" w:lineRule="auto"/>
        <w:rPr>
          <w:sz w:val="20"/>
          <w:szCs w:val="20"/>
          <w:color w:val="auto"/>
        </w:rPr>
      </w:pPr>
      <w:r>
        <w:rPr>
          <w:rFonts w:ascii="Arial" w:cs="Arial" w:eastAsia="Arial" w:hAnsi="Arial"/>
          <w:sz w:val="18"/>
          <w:szCs w:val="18"/>
          <w:color w:val="auto"/>
        </w:rPr>
        <w:t>For fscal 2023, the target number of shares to be issued to each named executve ofcer pursuant to his or her performance-based restricted stock unit award was based on a percentage of the executve’s base salary and converted into a target number of shares based on the closing price of a share of our common stock on the date of grant. The resultng awards, made by the Compensaton Commitee in May 2022, provided that each named executve ofcer would receive up to a maximum number of shares of restricted stock based on our performance during the fscal year against the same pre-tax income target used in the annual non-equity incentve program described above.</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actual number of restricted stock units that would vest and be setled on a one-for-one basis in shares of restricted stock was based on a sliding scale for the relevant income above or below the target level, and was subject to minimum threshold and maximum setlement amounts. For fscal 2023, the target was set at $73.5 million, the same level as our target used for our non-equity incentve plan arrangement described above. Our actual performance was $79.5 million, refectng our actual income before income taxes and adjustng for the gain recorded on the sale of the consumer bleach packaging assets. If our actual results were less than 80% of the target in fscal 2023, then no restricted stock units would vest and be setled in shares of restricted stock. If our actual results were between 80% and 100% of the target in fscal 2023, then a number of restricted stock units would have vested and been setled in restricted stock based on a sliding scale between 50% and 100% of the target number of restricted stock units. If our actual results were between 100% and 120% of the target in fscal 2023, then a number of restricted stock units would have vested and been setled in restricted stock based on a sliding scale between 100% and 150% of the target number of restricted stock units. Because our actual results were greater than the target level but below the maximum level of performance for the 2023 fscal year, the named executve ofcers each received restricted stock equal to approximately 121% of the target number of restricted stock units.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Compensaton Commitee established the following performance-based restricted stock unit award amounts for the executve ofcers for fscal 2023:</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70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Target % of</w:t>
            </w: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6"/>
              </w:rPr>
              <w:t>Units Vested and</w:t>
            </w:r>
          </w:p>
        </w:tc>
        <w:tc>
          <w:tcPr>
            <w:tcW w:w="0" w:type="dxa"/>
            <w:vAlign w:val="bottom"/>
          </w:tcPr>
          <w:p>
            <w:pPr>
              <w:spacing w:after="0"/>
              <w:rPr>
                <w:sz w:val="1"/>
                <w:szCs w:val="1"/>
                <w:color w:val="auto"/>
              </w:rPr>
            </w:pPr>
          </w:p>
        </w:tc>
      </w:tr>
      <w:tr>
        <w:trPr>
          <w:trHeight w:val="182"/>
        </w:trPr>
        <w:tc>
          <w:tcPr>
            <w:tcW w:w="37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4"/>
              </w:rPr>
              <w:t>Restricted Stock</w:t>
            </w:r>
          </w:p>
        </w:tc>
        <w:tc>
          <w:tcPr>
            <w:tcW w:w="0" w:type="dxa"/>
            <w:vAlign w:val="bottom"/>
          </w:tcPr>
          <w:p>
            <w:pPr>
              <w:spacing w:after="0"/>
              <w:rPr>
                <w:sz w:val="1"/>
                <w:szCs w:val="1"/>
                <w:color w:val="auto"/>
              </w:rPr>
            </w:pPr>
          </w:p>
        </w:tc>
      </w:tr>
      <w:tr>
        <w:trPr>
          <w:trHeight w:val="244"/>
        </w:trPr>
        <w:tc>
          <w:tcPr>
            <w:tcW w:w="37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Positon</w:t>
            </w:r>
          </w:p>
        </w:tc>
        <w:tc>
          <w:tcPr>
            <w:tcW w:w="120" w:type="dxa"/>
            <w:vAlign w:val="bottom"/>
            <w:tcBorders>
              <w:bottom w:val="single" w:sz="8" w:color="B3B3B3"/>
            </w:tcBorders>
          </w:tcPr>
          <w:p>
            <w:pPr>
              <w:spacing w:after="0"/>
              <w:rPr>
                <w:sz w:val="21"/>
                <w:szCs w:val="21"/>
                <w:color w:val="auto"/>
              </w:rPr>
            </w:pP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Base Salary</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Minimum Units</w:t>
            </w:r>
          </w:p>
        </w:tc>
        <w:tc>
          <w:tcPr>
            <w:tcW w:w="100" w:type="dxa"/>
            <w:vAlign w:val="bottom"/>
            <w:tcBorders>
              <w:bottom w:val="single" w:sz="8" w:color="B3B3B3"/>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Target Units</w:t>
            </w:r>
          </w:p>
        </w:tc>
        <w:tc>
          <w:tcPr>
            <w:tcW w:w="120" w:type="dxa"/>
            <w:vAlign w:val="bottom"/>
            <w:tcBorders>
              <w:bottom w:val="single" w:sz="8" w:color="B3B3B3"/>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Maximum Units</w:t>
            </w:r>
          </w:p>
        </w:tc>
        <w:tc>
          <w:tcPr>
            <w:tcW w:w="120" w:type="dxa"/>
            <w:vAlign w:val="bottom"/>
            <w:tcBorders>
              <w:bottom w:val="single" w:sz="8" w:color="B3B3B3"/>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Actually Issued</w:t>
            </w:r>
          </w:p>
        </w:tc>
        <w:tc>
          <w:tcPr>
            <w:tcW w:w="0" w:type="dxa"/>
            <w:vAlign w:val="bottom"/>
          </w:tcPr>
          <w:p>
            <w:pPr>
              <w:spacing w:after="0"/>
              <w:rPr>
                <w:sz w:val="1"/>
                <w:szCs w:val="1"/>
                <w:color w:val="auto"/>
              </w:rPr>
            </w:pPr>
          </w:p>
        </w:tc>
      </w:tr>
      <w:tr>
        <w:trPr>
          <w:trHeight w:val="229"/>
        </w:trPr>
        <w:tc>
          <w:tcPr>
            <w:tcW w:w="37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Chief Executve Ofcer</w:t>
            </w:r>
          </w:p>
        </w:tc>
        <w:tc>
          <w:tcPr>
            <w:tcW w:w="120" w:type="dxa"/>
            <w:vAlign w:val="bottom"/>
            <w:shd w:val="clear" w:color="auto" w:fill="B3B3B3"/>
          </w:tcPr>
          <w:p>
            <w:pPr>
              <w:spacing w:after="0"/>
              <w:rPr>
                <w:sz w:val="19"/>
                <w:szCs w:val="19"/>
                <w:color w:val="auto"/>
              </w:rPr>
            </w:pPr>
          </w:p>
        </w:tc>
        <w:tc>
          <w:tcPr>
            <w:tcW w:w="1580" w:type="dxa"/>
            <w:vAlign w:val="bottom"/>
            <w:shd w:val="clear" w:color="auto" w:fill="B3B3B3"/>
          </w:tcPr>
          <w:p>
            <w:pPr>
              <w:jc w:val="right"/>
              <w:ind w:right="30"/>
              <w:spacing w:after="0"/>
              <w:rPr>
                <w:sz w:val="20"/>
                <w:szCs w:val="20"/>
                <w:color w:val="auto"/>
              </w:rPr>
            </w:pPr>
            <w:r>
              <w:rPr>
                <w:rFonts w:ascii="Arial" w:cs="Arial" w:eastAsia="Arial" w:hAnsi="Arial"/>
                <w:sz w:val="18"/>
                <w:szCs w:val="18"/>
                <w:color w:val="auto"/>
              </w:rPr>
              <w:t>100 %</w:t>
            </w: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8,026</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16,052</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24,078</w:t>
            </w:r>
          </w:p>
        </w:tc>
        <w:tc>
          <w:tcPr>
            <w:tcW w:w="12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35"/>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Chief Financial Ofcer</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75 %</w:t>
            </w:r>
          </w:p>
        </w:tc>
        <w:tc>
          <w:tcPr>
            <w:tcW w:w="1380" w:type="dxa"/>
            <w:vAlign w:val="bottom"/>
          </w:tcPr>
          <w:p>
            <w:pPr>
              <w:jc w:val="right"/>
              <w:spacing w:after="0"/>
              <w:rPr>
                <w:sz w:val="20"/>
                <w:szCs w:val="20"/>
                <w:color w:val="auto"/>
              </w:rPr>
            </w:pPr>
            <w:r>
              <w:rPr>
                <w:rFonts w:ascii="Arial" w:cs="Arial" w:eastAsia="Arial" w:hAnsi="Arial"/>
                <w:sz w:val="18"/>
                <w:szCs w:val="18"/>
                <w:color w:val="auto"/>
              </w:rPr>
              <w:t>4,424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8,848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13,272</w:t>
            </w:r>
          </w:p>
        </w:tc>
        <w:tc>
          <w:tcPr>
            <w:tcW w:w="1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238"/>
        </w:trPr>
        <w:tc>
          <w:tcPr>
            <w:tcW w:w="37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Vice President - Operatons</w:t>
            </w:r>
          </w:p>
        </w:tc>
        <w:tc>
          <w:tcPr>
            <w:tcW w:w="1700" w:type="dxa"/>
            <w:vAlign w:val="bottom"/>
            <w:gridSpan w:val="2"/>
            <w:shd w:val="clear" w:color="auto" w:fill="B3B3B3"/>
          </w:tcPr>
          <w:p>
            <w:pPr>
              <w:jc w:val="right"/>
              <w:ind w:right="30"/>
              <w:spacing w:after="0"/>
              <w:rPr>
                <w:sz w:val="20"/>
                <w:szCs w:val="20"/>
                <w:color w:val="auto"/>
              </w:rPr>
            </w:pPr>
            <w:r>
              <w:rPr>
                <w:rFonts w:ascii="Arial" w:cs="Arial" w:eastAsia="Arial" w:hAnsi="Arial"/>
                <w:sz w:val="18"/>
                <w:szCs w:val="18"/>
                <w:color w:val="auto"/>
              </w:rPr>
              <w:t>60 %</w:t>
            </w: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2,779</w:t>
            </w:r>
          </w:p>
        </w:tc>
        <w:tc>
          <w:tcPr>
            <w:tcW w:w="14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5,558</w:t>
            </w:r>
          </w:p>
        </w:tc>
        <w:tc>
          <w:tcPr>
            <w:tcW w:w="148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8,337</w:t>
            </w:r>
          </w:p>
        </w:tc>
        <w:tc>
          <w:tcPr>
            <w:tcW w:w="148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General Counsel</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65 %</w:t>
            </w:r>
          </w:p>
        </w:tc>
        <w:tc>
          <w:tcPr>
            <w:tcW w:w="1380" w:type="dxa"/>
            <w:vAlign w:val="bottom"/>
          </w:tcPr>
          <w:p>
            <w:pPr>
              <w:jc w:val="right"/>
              <w:spacing w:after="0"/>
              <w:rPr>
                <w:sz w:val="20"/>
                <w:szCs w:val="20"/>
                <w:color w:val="auto"/>
              </w:rPr>
            </w:pPr>
            <w:r>
              <w:rPr>
                <w:rFonts w:ascii="Arial" w:cs="Arial" w:eastAsia="Arial" w:hAnsi="Arial"/>
                <w:sz w:val="18"/>
                <w:szCs w:val="18"/>
                <w:color w:val="auto"/>
              </w:rPr>
              <w:t>2,757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8,271</w:t>
            </w:r>
          </w:p>
        </w:tc>
        <w:tc>
          <w:tcPr>
            <w:tcW w:w="1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38"/>
        </w:trPr>
        <w:tc>
          <w:tcPr>
            <w:tcW w:w="3700" w:type="dxa"/>
            <w:vAlign w:val="bottom"/>
            <w:tcBorders>
              <w:left w:val="single" w:sz="8" w:color="auto"/>
              <w:bottom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Vice President - Industrial</w:t>
            </w:r>
          </w:p>
        </w:tc>
        <w:tc>
          <w:tcPr>
            <w:tcW w:w="1700" w:type="dxa"/>
            <w:vAlign w:val="bottom"/>
            <w:tcBorders>
              <w:bottom w:val="single" w:sz="8" w:color="auto"/>
            </w:tcBorders>
            <w:gridSpan w:val="2"/>
            <w:shd w:val="clear" w:color="auto" w:fill="B3B3B3"/>
          </w:tcPr>
          <w:p>
            <w:pPr>
              <w:jc w:val="right"/>
              <w:ind w:right="30"/>
              <w:spacing w:after="0"/>
              <w:rPr>
                <w:sz w:val="20"/>
                <w:szCs w:val="20"/>
                <w:color w:val="auto"/>
              </w:rPr>
            </w:pPr>
            <w:r>
              <w:rPr>
                <w:rFonts w:ascii="Arial" w:cs="Arial" w:eastAsia="Arial" w:hAnsi="Arial"/>
                <w:sz w:val="18"/>
                <w:szCs w:val="18"/>
                <w:color w:val="auto"/>
              </w:rPr>
              <w:t>60 %</w:t>
            </w:r>
          </w:p>
        </w:tc>
        <w:tc>
          <w:tcPr>
            <w:tcW w:w="13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2,545</w:t>
            </w:r>
          </w:p>
        </w:tc>
        <w:tc>
          <w:tcPr>
            <w:tcW w:w="142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5,090</w:t>
            </w:r>
          </w:p>
        </w:tc>
        <w:tc>
          <w:tcPr>
            <w:tcW w:w="148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7,635</w:t>
            </w:r>
          </w:p>
        </w:tc>
        <w:tc>
          <w:tcPr>
            <w:tcW w:w="1480" w:type="dxa"/>
            <w:vAlign w:val="bottom"/>
            <w:tcBorders>
              <w:bottom w:val="single" w:sz="8" w:color="auto"/>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the event of a “fundamental change” (as defned below) involving the company, each performance-based restricted stock unit award will vest immediately at 100% of its target if the Compensaton Commitee determines that the fundamental change will not result in the contnuaton of the performance-based restricted stock unit award. Any outstanding shares of restricted stock issued in setlement of vested performance-based restricted stock unit awards will also immediately vest under the same circumstances. If a performance-based restricted stock unit award is contnued afer a fundamental change, but, in connecton with the fundamental change, an executve is terminated without cause or resigns for good reason during the applicable performance period or prior to the fnal vestng of the restricted stock, then the performance-based restricted stock unit award or any restricted stock issued in setlement of vested performance-based restricted stock unit awards will vest in the same manner. We believe that these triggers in our performance-based restricted stock unit award notces in connecton with a fundamental change strike an appropriate balance between company and shareholder concerns about executve retenton in the event of a fundamental change and an executve’s legitmate concerns regarding terminaton or diminuton of dutes as a result of a fundamental change or a change in control. In our 2019 Equity Incentve Plan, “fundamental change” generally includes any one of the following, unless otherwise provided in an award agreement:</w:t>
      </w:r>
    </w:p>
    <w:p>
      <w:pPr>
        <w:spacing w:after="0" w:line="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consummaton of a corporate transacton, subject to certain exceptons;</w:t>
      </w:r>
    </w:p>
    <w:p>
      <w:pPr>
        <w:spacing w:after="0" w:line="9" w:lineRule="exact"/>
        <w:rPr>
          <w:rFonts w:ascii="Arial" w:cs="Arial" w:eastAsia="Arial" w:hAnsi="Arial"/>
          <w:sz w:val="18"/>
          <w:szCs w:val="18"/>
          <w:color w:val="auto"/>
        </w:rPr>
      </w:pPr>
    </w:p>
    <w:p>
      <w:pPr>
        <w:ind w:left="660" w:right="7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person or group becomes the benefcial owner of more than 50% of the combined votng power of the company, subject to certain exceptons; or</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contnuing directors cease to consttute a majority of the members of our Board.</w:t>
      </w:r>
    </w:p>
    <w:p>
      <w:pPr>
        <w:spacing w:after="0" w:line="24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“Corporate transacton” means any dissoluton or liquidaton of the company, sale of substantally all of its assets, merger or consolidaton involving the company, or statutory share exchange involving company stock. Similarly, “contnuing director” means an individual who is, as of the efectve date of the 2019 Equity Incentve Plan, a director of the company, or who becomes a director afer such efectve date and whose inital electon, or nominaton for electon by the company’s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ind w:right="280"/>
        <w:spacing w:after="0" w:line="273" w:lineRule="auto"/>
        <w:rPr>
          <w:sz w:val="20"/>
          <w:szCs w:val="20"/>
          <w:color w:val="auto"/>
        </w:rPr>
      </w:pPr>
      <w:r>
        <w:rPr>
          <w:rFonts w:ascii="Arial" w:cs="Arial" w:eastAsia="Arial" w:hAnsi="Arial"/>
          <w:sz w:val="18"/>
          <w:szCs w:val="18"/>
          <w:color w:val="auto"/>
        </w:rPr>
        <w:t>shareholders, was approved by at least a majority of the then contnuing directors, but excluding anyone whose inital assumpton of ofce occurs as a result of an actual or threatened electon contest solicitaton of proxies or consents by a person other than our Board.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Arrangements</w:t>
      </w:r>
    </w:p>
    <w:p>
      <w:pPr>
        <w:spacing w:after="0" w:line="127"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Our Compensaton Commitee has adopted an Executve Severance Plan covering our Chief Executve Ofcer and certain other key employees, including all of our named executve ofcers. We believe that the benefts provided by the Executve Severance Plan help atract executve talent and create an environment that provides for adequate business transiton, stability and knowledge transfer during tmes of uncertainty or change. The terms of our Executve Severance Plan are described in greater detail under the heading "Potental Payments Upon Terminaton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Contributon to Retrement Plans</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All of our named executve ofcers partcipate in the matching component of our Proft Sharing Plan, which is available to the majority of our other non-bargaining unit employees. Our eligible named executve ofcers also partcipate in our nonqualifed deferred compensaton plan covering employees who were hired on or before April 1, 2012 and are classifed as “highly compensated employees” as determined by the Internal Revenue Service (“IRS”). Messrs. Hawkins, Erstad and Mangine are the only named executve ofcers eligible to partcipate in the non-qualifed deferred compensaton plan. Named executve ofcers hired afer April 1, 2012 are not eligible to partcipate in the nonqualifed deferred compensaton plan but instead may be eligible to partcipate in the proft sharing component under the Hawkins, Inc. Employee Stock Ownership Plan and Trust ("ESOP"), which we refer to as the "Proft Sharing Plan" and the ESOP. Mr. Oldenkamp and Mr. Grahek are the only named executve ofcers eligible to partcipate in the Proft Sharing Plan and ESOP. All of the retrement plans other than the nonqualifed deferred compensaton plan are qualifed under Secton 401(a) of the Internal Revenue Code.</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Under the qualifed retrement plans, our named executve ofcers who are eligible partcipate on the same terms as all other eligible employees, with the annual compensaton that was used to determine plan benefts capped at the federal tax law limit of $305,000 for fscal 2023. This limit will be adjusted in future years under federal tax law for cost-of-living increases.</w:t>
      </w:r>
    </w:p>
    <w:p>
      <w:pPr>
        <w:spacing w:after="0" w:line="21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Under our Proft Sharing Plan, we contributed a percentage of each eligible partcipant’s compensaton to an account maintained for the partcipant under the plan. For fscal 2023, we made contributons to the Proft Sharing Plan for each of Mr. Oldenkamp and Mr. Grahek equal to 2.5% of their compensaton in the plan year, subject to the cap on the plan benefts, resultng in a contributon of $7,625 to each of them. Under the matching component of the Proft Sharing Plan, employee contributons are matched by the company up to a maximum of fve percent of the partcipant’s eligible earnings, subject to IRS limitatons. Partcipant accounts are credited with the appropriate gains or losses resultng from employee-directed investments made by the plan. During fscal 2023, we made matching contributons of approximately $15,000 on behalf of each named executve ofcer.</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our ESOP, we may contribute a percentage of each eligible partcipant’s compensaton to the plan, subject to the cap on the plan benefts, which is then credited to individual accounts maintained for partcipants under the plan. Contributons are made at the discreton of our Board. For fscal 2023, we made contributons to this plan for each of Mr. Oldenkamp and Mr. Grahek equal to 2.5% of their eligible compensaton in the plan year, resultng in a contributon of $7,625 to each of them. Partcipant accounts are credited with the appropriate gains or losses resultng from the investments made by the plan.</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nonqualifed deferred compensaton plan is structured to comply with Secton 409A. Under the plan, there is no partcipant deferral of income. All contributons to the plan are made by the company, and are fully vested immediately. Distributons under the plan begin six months afer terminaton of employment, and are made in one lump sum, or in installment payments over three or fve years, as chosen by the partcipant prior to their entry into the plan. Partcipant accounts are credited with the appropriate gains or losses resultng from the partcipant-directed investments made under the plan. Partcipants may change their investment selectons on a daily basis. Under the plan, for fscal 2023 we made contributons to this plan equal to 10% of each partcipant’s eligible compensaton in the plan year, subject to the cap of $30,500 on the plan benefts, resultng in a contributon of $30,500 on behalf of each of Messrs. Hawkins, Erstad and Mangine.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1" w:name="page22"/>
    <w:bookmarkEnd w:id="21"/>
    <w:p>
      <w:pPr>
        <w:spacing w:after="0"/>
        <w:rPr>
          <w:sz w:val="20"/>
          <w:szCs w:val="20"/>
          <w:color w:val="auto"/>
        </w:rPr>
      </w:pPr>
      <w:r>
        <w:rPr>
          <w:rFonts w:ascii="Arial" w:cs="Arial" w:eastAsia="Arial" w:hAnsi="Arial"/>
          <w:sz w:val="20"/>
          <w:szCs w:val="20"/>
          <w:i w:val="1"/>
          <w:iCs w:val="1"/>
          <w:color w:val="auto"/>
        </w:rPr>
        <w:t>Other Benefts</w:t>
      </w:r>
    </w:p>
    <w:p>
      <w:pPr>
        <w:spacing w:after="0" w:line="26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Compensaton Commitee believes that we must ofer a compettve benefts program to atract and retain our executve ofcers. During fscal 2023, we provided medical and other health and welfare benefts to our executve ofcers that are generally available to our other employees.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only perquisite we ofer to our executve ofcers is the personal use of a company car.</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Agreements and Policies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Consideratons</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Secton 162(m) of the Internal Revenue Code (the "Code") disallows a tax deducton to public companies for compensaton of more than $1 million paid in any taxable year to each “covered employee,” which includes any person who served as chief executve ofcer or chief fnancial ofcer at any tme, as well as any person who was ever identfed as a covered employee in 2017 or any subsequent year. To the extent the total compensaton of any covered employee exceeds $1 million in a taxable year, the amount in excess of $1 million is not deductble for taxes. While Secton 162(m) exempted qualifying performance-based compensaton with respect to taxable years beginning on or before December 31, 2017, since that tme all compensaton to covered employees has been subject to the $1 million deducton limit.</w:t>
      </w: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Secton 280G of the Code disallows a tax deducton with respect to excess parachute payments to certain executves of companies which undergo a change in control. In additon, Code Secton 4999 imposes a 20% excise tax on the individual with respect to the excess parachute payment. Parachute payments are compensaton linked to or triggered by a change in control and may include, but are not limited to, bonus payments, severance payments, certain fringe benefts, and payments and acceleraton of vestng from long-term incentve plans including stock optons and other equity-based compensaton. Excess parachute payments are parachute payments that exceed a threshold determined under Code Secton 280G based on the executve’s prior compensaton. As discussed below, we do not provide tax gross-ups on income that is deemed made in connecton with a change in control.</w:t>
      </w:r>
    </w:p>
    <w:p>
      <w:pPr>
        <w:spacing w:after="0" w:line="222"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Secton 409A of the Code also afects the payments of certain types of deferred compensaton to key employees and includes requirements relatng to when payments under such arrangements can be made, acceleraton of benefts, and tming of electons under such arrangements. Failure to satsfy these requirements will generally lead to an acceleraton of the tming for including deferred compensaton in an employee’s income, as well as certain penaltes and interest. Our nonqualifed deferred compensaton arrangements are designed to meet the requirements of Secton 409A.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Arising from Compensaton Policies and Practces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management annually conducts an evaluaton of the risks arising from our company-wide compensaton policies and practces with respect to employees. Management prepared an analysis of our compensaton policies and practces and concluded that they do not create risks that are reasonably likely to have a material adverse efect on our company. In connecton with its risk oversight role, our Compensaton Commitee reviewed and agreed with management’s analysis and conclusions.</w:t>
      </w:r>
    </w:p>
    <w:p>
      <w:pPr>
        <w:spacing w:after="0" w:line="21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 intends to adopt a revised clawback policy regarding accountng restatements in accordance with the SEC’s adopton of new rules to implement Secton 954 of the Dodd-Frank Wall Street Reform and Consumer Protecton Act of 2010 once fnal listng standards are implemented by Nasdaq.</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Compensaton Commitee Report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Compensaton Commitee has discussed and reviewed the Compensaton Discussion and Analysis with management. Based upon this review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discussion, the Compensaton Commitee recommended to the Board that the Compensaton Discussion and Analysis be included in this proxy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incorporated by reference in our Annual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93" w:lineRule="exact"/>
        <w:rPr>
          <w:sz w:val="20"/>
          <w:szCs w:val="20"/>
          <w:color w:val="auto"/>
        </w:rPr>
      </w:pPr>
    </w:p>
    <w:p>
      <w:pPr>
        <w:ind w:left="2360"/>
        <w:spacing w:after="0"/>
        <w:tabs>
          <w:tab w:leader="none" w:pos="4580" w:val="left"/>
          <w:tab w:leader="none" w:pos="6040" w:val="left"/>
          <w:tab w:leader="none" w:pos="7700" w:val="left"/>
        </w:tabs>
        <w:rPr>
          <w:sz w:val="20"/>
          <w:szCs w:val="20"/>
          <w:color w:val="auto"/>
        </w:rPr>
      </w:pPr>
      <w:r>
        <w:rPr>
          <w:rFonts w:ascii="Arial" w:cs="Arial" w:eastAsia="Arial" w:hAnsi="Arial"/>
          <w:sz w:val="18"/>
          <w:szCs w:val="18"/>
          <w:i w:val="1"/>
          <w:iCs w:val="1"/>
          <w:color w:val="auto"/>
        </w:rPr>
        <w:t>Mary J. Schumacher (Chair)</w:t>
        <w:tab/>
        <w:t>Yi "Faith" Tang</w:t>
      </w:r>
      <w:r>
        <w:rPr>
          <w:sz w:val="20"/>
          <w:szCs w:val="20"/>
          <w:color w:val="auto"/>
        </w:rPr>
        <w:tab/>
      </w:r>
      <w:r>
        <w:rPr>
          <w:rFonts w:ascii="Arial" w:cs="Arial" w:eastAsia="Arial" w:hAnsi="Arial"/>
          <w:sz w:val="18"/>
          <w:szCs w:val="18"/>
          <w:i w:val="1"/>
          <w:iCs w:val="1"/>
          <w:color w:val="auto"/>
        </w:rPr>
        <w:t>James T. Thompson</w:t>
      </w:r>
      <w:r>
        <w:rPr>
          <w:sz w:val="20"/>
          <w:szCs w:val="20"/>
          <w:color w:val="auto"/>
        </w:rPr>
        <w:tab/>
      </w:r>
      <w:r>
        <w:rPr>
          <w:rFonts w:ascii="Arial" w:cs="Arial" w:eastAsia="Arial" w:hAnsi="Arial"/>
          <w:sz w:val="16"/>
          <w:szCs w:val="16"/>
          <w:i w:val="1"/>
          <w:iCs w:val="1"/>
          <w:color w:val="auto"/>
        </w:rPr>
        <w:t>Jefrey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41560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56075"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Compensaton Commitee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Summary Compensaton Table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compensaton informaton for our last three completed fscal years of our named executve ofcers identfed for fscal 2023.</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860" w:type="dxa"/>
            <w:vAlign w:val="bottom"/>
            <w:tcBorders>
              <w:top w:val="single" w:sz="8" w:color="auto"/>
              <w:lef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1"/>
              </w:rPr>
              <w:t>Non-Equity</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Incentve Plan</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and Principal Positon</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Fiscal Year</w:t>
            </w:r>
          </w:p>
        </w:tc>
        <w:tc>
          <w:tcPr>
            <w:tcW w:w="120" w:type="dxa"/>
            <w:vAlign w:val="bottom"/>
          </w:tcPr>
          <w:p>
            <w:pPr>
              <w:spacing w:after="0"/>
              <w:rPr>
                <w:sz w:val="12"/>
                <w:szCs w:val="12"/>
                <w:color w:val="auto"/>
              </w:rPr>
            </w:pPr>
          </w:p>
        </w:tc>
        <w:tc>
          <w:tcPr>
            <w:tcW w:w="960" w:type="dxa"/>
            <w:vAlign w:val="bottom"/>
          </w:tcPr>
          <w:p>
            <w:pPr>
              <w:ind w:left="280"/>
              <w:spacing w:after="0" w:line="146"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1080" w:type="dxa"/>
            <w:vAlign w:val="bottom"/>
          </w:tcPr>
          <w:p>
            <w:pPr>
              <w:jc w:val="right"/>
              <w:ind w:right="353"/>
              <w:spacing w:after="0" w:line="146" w:lineRule="exact"/>
              <w:rPr>
                <w:sz w:val="20"/>
                <w:szCs w:val="20"/>
                <w:color w:val="auto"/>
              </w:rPr>
            </w:pPr>
            <w:r>
              <w:rPr>
                <w:rFonts w:ascii="Arial" w:cs="Arial" w:eastAsia="Arial" w:hAnsi="Arial"/>
                <w:sz w:val="14"/>
                <w:szCs w:val="14"/>
                <w:b w:val="1"/>
                <w:bCs w:val="1"/>
                <w:color w:val="auto"/>
              </w:rPr>
              <w:t>Bonus</w:t>
            </w:r>
          </w:p>
        </w:tc>
        <w:tc>
          <w:tcPr>
            <w:tcW w:w="9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Compensaton</w:t>
            </w:r>
          </w:p>
        </w:tc>
        <w:tc>
          <w:tcPr>
            <w:tcW w:w="1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Compensaton</w:t>
            </w:r>
          </w:p>
        </w:tc>
        <w:tc>
          <w:tcPr>
            <w:tcW w:w="100" w:type="dxa"/>
            <w:vAlign w:val="bottom"/>
          </w:tcPr>
          <w:p>
            <w:pPr>
              <w:spacing w:after="0"/>
              <w:rPr>
                <w:sz w:val="12"/>
                <w:szCs w:val="12"/>
                <w:color w:val="auto"/>
              </w:rPr>
            </w:pPr>
          </w:p>
        </w:tc>
        <w:tc>
          <w:tcPr>
            <w:tcW w:w="1240" w:type="dxa"/>
            <w:vAlign w:val="bottom"/>
            <w:tcBorders>
              <w:right w:val="single" w:sz="8" w:color="auto"/>
            </w:tcBorders>
          </w:tcPr>
          <w:p>
            <w:pPr>
              <w:jc w:val="right"/>
              <w:ind w:right="399"/>
              <w:spacing w:after="0" w:line="14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60" w:type="dxa"/>
            <w:vAlign w:val="bottom"/>
            <w:tcBorders>
              <w:lef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($)(a)</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($)(b)</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($)(d)</w:t>
            </w:r>
          </w:p>
        </w:tc>
        <w:tc>
          <w:tcPr>
            <w:tcW w:w="1340" w:type="dxa"/>
            <w:vAlign w:val="bottom"/>
            <w:tcBorders>
              <w:right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
        </w:trPr>
        <w:tc>
          <w:tcPr>
            <w:tcW w:w="286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00" w:type="dxa"/>
            <w:vAlign w:val="bottom"/>
            <w:shd w:val="clear" w:color="auto" w:fill="B3B3B3"/>
          </w:tcPr>
          <w:p>
            <w:pPr>
              <w:spacing w:after="0"/>
              <w:rPr>
                <w:sz w:val="19"/>
                <w:szCs w:val="19"/>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ind w:left="300"/>
              <w:spacing w:after="0"/>
              <w:rPr>
                <w:sz w:val="20"/>
                <w:szCs w:val="20"/>
                <w:color w:val="auto"/>
              </w:rPr>
            </w:pPr>
            <w:r>
              <w:rPr>
                <w:rFonts w:ascii="Arial" w:cs="Arial" w:eastAsia="Arial" w:hAnsi="Arial"/>
                <w:sz w:val="18"/>
                <w:szCs w:val="18"/>
                <w:color w:val="auto"/>
                <w:w w:val="98"/>
              </w:rPr>
              <w:t>615,000</w:t>
            </w:r>
          </w:p>
        </w:tc>
        <w:tc>
          <w:tcPr>
            <w:tcW w:w="100" w:type="dxa"/>
            <w:vAlign w:val="bottom"/>
            <w:shd w:val="clear" w:color="auto" w:fill="B3B3B3"/>
          </w:tcPr>
          <w:p>
            <w:pPr>
              <w:spacing w:after="0"/>
              <w:rPr>
                <w:sz w:val="19"/>
                <w:szCs w:val="19"/>
                <w:color w:val="auto"/>
              </w:rPr>
            </w:pPr>
          </w:p>
        </w:tc>
        <w:tc>
          <w:tcPr>
            <w:tcW w:w="1080" w:type="dxa"/>
            <w:vAlign w:val="bottom"/>
            <w:shd w:val="clear" w:color="auto" w:fill="B3B3B3"/>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614,952</w:t>
            </w:r>
          </w:p>
        </w:tc>
        <w:tc>
          <w:tcPr>
            <w:tcW w:w="120" w:type="dxa"/>
            <w:vAlign w:val="bottom"/>
            <w:shd w:val="clear" w:color="auto" w:fill="B3B3B3"/>
          </w:tcPr>
          <w:p>
            <w:pPr>
              <w:spacing w:after="0"/>
              <w:rPr>
                <w:sz w:val="19"/>
                <w:szCs w:val="19"/>
                <w:color w:val="auto"/>
              </w:rPr>
            </w:pPr>
          </w:p>
        </w:tc>
        <w:tc>
          <w:tcPr>
            <w:tcW w:w="12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930,495</w:t>
            </w:r>
          </w:p>
        </w:tc>
        <w:tc>
          <w:tcPr>
            <w:tcW w:w="120" w:type="dxa"/>
            <w:vAlign w:val="bottom"/>
            <w:shd w:val="clear" w:color="auto" w:fill="B3B3B3"/>
          </w:tcPr>
          <w:p>
            <w:pPr>
              <w:spacing w:after="0"/>
              <w:rPr>
                <w:sz w:val="19"/>
                <w:szCs w:val="19"/>
                <w:color w:val="auto"/>
              </w:rPr>
            </w:pPr>
          </w:p>
        </w:tc>
        <w:tc>
          <w:tcPr>
            <w:tcW w:w="1320" w:type="dxa"/>
            <w:vAlign w:val="bottom"/>
            <w:shd w:val="clear" w:color="auto" w:fill="B3B3B3"/>
          </w:tcPr>
          <w:p>
            <w:pPr>
              <w:jc w:val="right"/>
              <w:ind w:right="4"/>
              <w:spacing w:after="0"/>
              <w:rPr>
                <w:sz w:val="20"/>
                <w:szCs w:val="20"/>
                <w:color w:val="auto"/>
              </w:rPr>
            </w:pPr>
            <w:r>
              <w:rPr>
                <w:rFonts w:ascii="Arial" w:cs="Arial" w:eastAsia="Arial" w:hAnsi="Arial"/>
                <w:sz w:val="18"/>
                <w:szCs w:val="18"/>
                <w:color w:val="auto"/>
              </w:rPr>
              <w:t>62,962</w:t>
            </w:r>
          </w:p>
        </w:tc>
        <w:tc>
          <w:tcPr>
            <w:tcW w:w="100" w:type="dxa"/>
            <w:vAlign w:val="bottom"/>
            <w:shd w:val="clear" w:color="auto" w:fill="B3B3B3"/>
          </w:tcPr>
          <w:p>
            <w:pPr>
              <w:spacing w:after="0"/>
              <w:rPr>
                <w:sz w:val="19"/>
                <w:szCs w:val="19"/>
                <w:color w:val="auto"/>
              </w:rPr>
            </w:pPr>
          </w:p>
        </w:tc>
        <w:tc>
          <w:tcPr>
            <w:tcW w:w="1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2,223,409</w:t>
            </w:r>
          </w:p>
        </w:tc>
        <w:tc>
          <w:tcPr>
            <w:tcW w:w="0" w:type="dxa"/>
            <w:vAlign w:val="bottom"/>
          </w:tcPr>
          <w:p>
            <w:pPr>
              <w:spacing w:after="0"/>
              <w:rPr>
                <w:sz w:val="1"/>
                <w:szCs w:val="1"/>
                <w:color w:val="auto"/>
              </w:rPr>
            </w:pPr>
          </w:p>
        </w:tc>
      </w:tr>
      <w:tr>
        <w:trPr>
          <w:trHeight w:val="251"/>
        </w:trPr>
        <w:tc>
          <w:tcPr>
            <w:tcW w:w="286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w w:val="93"/>
              </w:rPr>
              <w:t>Chief Executve Ofcer and President</w:t>
            </w:r>
          </w:p>
        </w:tc>
        <w:tc>
          <w:tcPr>
            <w:tcW w:w="100" w:type="dxa"/>
            <w:vAlign w:val="bottom"/>
            <w:shd w:val="clear" w:color="auto" w:fill="B3B3B3"/>
          </w:tcPr>
          <w:p>
            <w:pPr>
              <w:spacing w:after="0"/>
              <w:rPr>
                <w:sz w:val="21"/>
                <w:szCs w:val="21"/>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2022</w:t>
            </w:r>
          </w:p>
        </w:tc>
        <w:tc>
          <w:tcPr>
            <w:tcW w:w="1080" w:type="dxa"/>
            <w:vAlign w:val="bottom"/>
            <w:gridSpan w:val="2"/>
            <w:shd w:val="clear" w:color="auto" w:fill="B3B3B3"/>
          </w:tcPr>
          <w:p>
            <w:pPr>
              <w:ind w:left="420"/>
              <w:spacing w:after="0"/>
              <w:rPr>
                <w:sz w:val="20"/>
                <w:szCs w:val="20"/>
                <w:color w:val="auto"/>
              </w:rPr>
            </w:pPr>
            <w:r>
              <w:rPr>
                <w:rFonts w:ascii="Arial" w:cs="Arial" w:eastAsia="Arial" w:hAnsi="Arial"/>
                <w:sz w:val="18"/>
                <w:szCs w:val="18"/>
                <w:color w:val="auto"/>
                <w:w w:val="98"/>
              </w:rPr>
              <w:t>515,000</w:t>
            </w:r>
          </w:p>
        </w:tc>
        <w:tc>
          <w:tcPr>
            <w:tcW w:w="100" w:type="dxa"/>
            <w:vAlign w:val="bottom"/>
            <w:shd w:val="clear" w:color="auto" w:fill="B3B3B3"/>
          </w:tcPr>
          <w:p>
            <w:pPr>
              <w:spacing w:after="0"/>
              <w:rPr>
                <w:sz w:val="21"/>
                <w:szCs w:val="21"/>
                <w:color w:val="auto"/>
              </w:rPr>
            </w:pPr>
          </w:p>
        </w:tc>
        <w:tc>
          <w:tcPr>
            <w:tcW w:w="1080" w:type="dxa"/>
            <w:vAlign w:val="bottom"/>
            <w:shd w:val="clear" w:color="auto" w:fill="B3B3B3"/>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514,950</w:t>
            </w:r>
          </w:p>
        </w:tc>
        <w:tc>
          <w:tcPr>
            <w:tcW w:w="14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1,030,000</w:t>
            </w:r>
          </w:p>
        </w:tc>
        <w:tc>
          <w:tcPr>
            <w:tcW w:w="144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59,515</w:t>
            </w:r>
          </w:p>
        </w:tc>
        <w:tc>
          <w:tcPr>
            <w:tcW w:w="134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2,119,465</w:t>
            </w:r>
          </w:p>
        </w:tc>
        <w:tc>
          <w:tcPr>
            <w:tcW w:w="0" w:type="dxa"/>
            <w:vAlign w:val="bottom"/>
          </w:tcPr>
          <w:p>
            <w:pPr>
              <w:spacing w:after="0"/>
              <w:rPr>
                <w:sz w:val="1"/>
                <w:szCs w:val="1"/>
                <w:color w:val="auto"/>
              </w:rPr>
            </w:pPr>
          </w:p>
        </w:tc>
      </w:tr>
      <w:tr>
        <w:trPr>
          <w:trHeight w:val="272"/>
        </w:trPr>
        <w:tc>
          <w:tcPr>
            <w:tcW w:w="2860" w:type="dxa"/>
            <w:vAlign w:val="bottom"/>
            <w:tcBorders>
              <w:left w:val="single" w:sz="8" w:color="auto"/>
              <w:bottom w:val="single" w:sz="8" w:color="B3B3B3"/>
            </w:tcBorders>
            <w:shd w:val="clear" w:color="auto" w:fill="B3B3B3"/>
          </w:tcPr>
          <w:p>
            <w:pPr>
              <w:spacing w:after="0"/>
              <w:rPr>
                <w:sz w:val="23"/>
                <w:szCs w:val="23"/>
                <w:color w:val="auto"/>
              </w:rPr>
            </w:pPr>
          </w:p>
        </w:tc>
        <w:tc>
          <w:tcPr>
            <w:tcW w:w="100" w:type="dxa"/>
            <w:vAlign w:val="bottom"/>
            <w:tcBorders>
              <w:bottom w:val="single" w:sz="8" w:color="B3B3B3"/>
            </w:tcBorders>
            <w:shd w:val="clear" w:color="auto" w:fill="B3B3B3"/>
          </w:tcPr>
          <w:p>
            <w:pPr>
              <w:spacing w:after="0"/>
              <w:rPr>
                <w:sz w:val="23"/>
                <w:szCs w:val="23"/>
                <w:color w:val="auto"/>
              </w:rPr>
            </w:pPr>
          </w:p>
        </w:tc>
        <w:tc>
          <w:tcPr>
            <w:tcW w:w="660" w:type="dxa"/>
            <w:vAlign w:val="bottom"/>
            <w:tcBorders>
              <w:bottom w:val="single" w:sz="8" w:color="B3B3B3"/>
            </w:tcBorders>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B3B3B3"/>
            </w:tcBorders>
            <w:gridSpan w:val="2"/>
            <w:shd w:val="clear" w:color="auto" w:fill="B3B3B3"/>
          </w:tcPr>
          <w:p>
            <w:pPr>
              <w:ind w:left="420"/>
              <w:spacing w:after="0"/>
              <w:rPr>
                <w:sz w:val="20"/>
                <w:szCs w:val="20"/>
                <w:color w:val="auto"/>
              </w:rPr>
            </w:pPr>
            <w:r>
              <w:rPr>
                <w:rFonts w:ascii="Arial" w:cs="Arial" w:eastAsia="Arial" w:hAnsi="Arial"/>
                <w:sz w:val="18"/>
                <w:szCs w:val="18"/>
                <w:color w:val="auto"/>
                <w:w w:val="98"/>
              </w:rPr>
              <w:t>500,000</w:t>
            </w:r>
          </w:p>
        </w:tc>
        <w:tc>
          <w:tcPr>
            <w:tcW w:w="1180" w:type="dxa"/>
            <w:vAlign w:val="bottom"/>
            <w:tcBorders>
              <w:bottom w:val="single" w:sz="8" w:color="B3B3B3"/>
            </w:tcBorders>
            <w:gridSpan w:val="2"/>
            <w:shd w:val="clear" w:color="auto" w:fill="B3B3B3"/>
          </w:tcPr>
          <w:p>
            <w:pPr>
              <w:jc w:val="right"/>
              <w:ind w:right="153"/>
              <w:spacing w:after="0"/>
              <w:rPr>
                <w:sz w:val="20"/>
                <w:szCs w:val="20"/>
                <w:color w:val="auto"/>
              </w:rPr>
            </w:pPr>
            <w:r>
              <w:rPr>
                <w:rFonts w:ascii="Arial" w:cs="Arial" w:eastAsia="Arial" w:hAnsi="Arial"/>
                <w:sz w:val="18"/>
                <w:szCs w:val="18"/>
                <w:color w:val="auto"/>
              </w:rPr>
              <w:t>100,000</w:t>
            </w:r>
          </w:p>
        </w:tc>
        <w:tc>
          <w:tcPr>
            <w:tcW w:w="980" w:type="dxa"/>
            <w:vAlign w:val="bottom"/>
            <w:tcBorders>
              <w:bottom w:val="single" w:sz="8" w:color="B3B3B3"/>
            </w:tcBorders>
            <w:shd w:val="clear" w:color="auto" w:fill="B3B3B3"/>
          </w:tcPr>
          <w:p>
            <w:pPr>
              <w:jc w:val="right"/>
              <w:spacing w:after="0"/>
              <w:rPr>
                <w:sz w:val="20"/>
                <w:szCs w:val="20"/>
                <w:color w:val="auto"/>
              </w:rPr>
            </w:pPr>
            <w:r>
              <w:rPr>
                <w:rFonts w:ascii="Arial" w:cs="Arial" w:eastAsia="Arial" w:hAnsi="Arial"/>
                <w:sz w:val="18"/>
                <w:szCs w:val="18"/>
                <w:color w:val="auto"/>
              </w:rPr>
              <w:t>499,839</w:t>
            </w:r>
          </w:p>
        </w:tc>
        <w:tc>
          <w:tcPr>
            <w:tcW w:w="1400" w:type="dxa"/>
            <w:vAlign w:val="bottom"/>
            <w:tcBorders>
              <w:bottom w:val="single" w:sz="8" w:color="B3B3B3"/>
            </w:tcBorders>
            <w:gridSpan w:val="2"/>
            <w:shd w:val="clear" w:color="auto" w:fill="B3B3B3"/>
          </w:tcPr>
          <w:p>
            <w:pPr>
              <w:jc w:val="right"/>
              <w:spacing w:after="0"/>
              <w:rPr>
                <w:sz w:val="20"/>
                <w:szCs w:val="20"/>
                <w:color w:val="auto"/>
              </w:rPr>
            </w:pPr>
            <w:r>
              <w:rPr>
                <w:rFonts w:ascii="Arial" w:cs="Arial" w:eastAsia="Arial" w:hAnsi="Arial"/>
                <w:sz w:val="18"/>
                <w:szCs w:val="18"/>
                <w:color w:val="auto"/>
              </w:rPr>
              <w:t>1,000,000</w:t>
            </w:r>
          </w:p>
        </w:tc>
        <w:tc>
          <w:tcPr>
            <w:tcW w:w="1440" w:type="dxa"/>
            <w:vAlign w:val="bottom"/>
            <w:tcBorders>
              <w:bottom w:val="single" w:sz="8" w:color="B3B3B3"/>
            </w:tcBorders>
            <w:gridSpan w:val="2"/>
            <w:shd w:val="clear" w:color="auto" w:fill="B3B3B3"/>
          </w:tcPr>
          <w:p>
            <w:pPr>
              <w:jc w:val="right"/>
              <w:ind w:right="4"/>
              <w:spacing w:after="0"/>
              <w:rPr>
                <w:sz w:val="20"/>
                <w:szCs w:val="20"/>
                <w:color w:val="auto"/>
              </w:rPr>
            </w:pPr>
            <w:r>
              <w:rPr>
                <w:rFonts w:ascii="Arial" w:cs="Arial" w:eastAsia="Arial" w:hAnsi="Arial"/>
                <w:sz w:val="18"/>
                <w:szCs w:val="18"/>
                <w:color w:val="auto"/>
              </w:rPr>
              <w:t>57,742</w:t>
            </w:r>
          </w:p>
        </w:tc>
        <w:tc>
          <w:tcPr>
            <w:tcW w:w="1340" w:type="dxa"/>
            <w:vAlign w:val="bottom"/>
            <w:tcBorders>
              <w:bottom w:val="single" w:sz="8" w:color="B3B3B3"/>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2,157,581</w:t>
            </w:r>
          </w:p>
        </w:tc>
        <w:tc>
          <w:tcPr>
            <w:tcW w:w="0" w:type="dxa"/>
            <w:vAlign w:val="bottom"/>
          </w:tcPr>
          <w:p>
            <w:pPr>
              <w:spacing w:after="0"/>
              <w:rPr>
                <w:sz w:val="1"/>
                <w:szCs w:val="1"/>
                <w:color w:val="auto"/>
              </w:rPr>
            </w:pPr>
          </w:p>
        </w:tc>
      </w:tr>
      <w:tr>
        <w:trPr>
          <w:trHeight w:val="211"/>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Jefrey P. Oldenkamp</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2023</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8"/>
              </w:rPr>
              <w:t>452,000</w:t>
            </w:r>
          </w:p>
        </w:tc>
        <w:tc>
          <w:tcPr>
            <w:tcW w:w="100" w:type="dxa"/>
            <w:vAlign w:val="bottom"/>
          </w:tcPr>
          <w:p>
            <w:pPr>
              <w:spacing w:after="0"/>
              <w:rPr>
                <w:sz w:val="18"/>
                <w:szCs w:val="18"/>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338,967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512,907</w:t>
            </w:r>
          </w:p>
        </w:tc>
        <w:tc>
          <w:tcPr>
            <w:tcW w:w="1440" w:type="dxa"/>
            <w:vAlign w:val="bottom"/>
            <w:gridSpan w:val="2"/>
          </w:tcPr>
          <w:p>
            <w:pPr>
              <w:jc w:val="right"/>
              <w:ind w:right="4"/>
              <w:spacing w:after="0"/>
              <w:rPr>
                <w:sz w:val="20"/>
                <w:szCs w:val="20"/>
                <w:color w:val="auto"/>
              </w:rPr>
            </w:pPr>
            <w:r>
              <w:rPr>
                <w:rFonts w:ascii="Arial" w:cs="Arial" w:eastAsia="Arial" w:hAnsi="Arial"/>
                <w:sz w:val="18"/>
                <w:szCs w:val="18"/>
                <w:color w:val="auto"/>
              </w:rPr>
              <w:t>49,009</w:t>
            </w:r>
          </w:p>
        </w:tc>
        <w:tc>
          <w:tcPr>
            <w:tcW w:w="13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1,352,883</w:t>
            </w:r>
          </w:p>
        </w:tc>
        <w:tc>
          <w:tcPr>
            <w:tcW w:w="0" w:type="dxa"/>
            <w:vAlign w:val="bottom"/>
          </w:tcPr>
          <w:p>
            <w:pPr>
              <w:spacing w:after="0"/>
              <w:rPr>
                <w:sz w:val="1"/>
                <w:szCs w:val="1"/>
                <w:color w:val="auto"/>
              </w:rPr>
            </w:pPr>
          </w:p>
        </w:tc>
      </w:tr>
      <w:tr>
        <w:trPr>
          <w:trHeight w:val="189"/>
        </w:trPr>
        <w:tc>
          <w:tcPr>
            <w:tcW w:w="2860" w:type="dxa"/>
            <w:vAlign w:val="bottom"/>
            <w:tcBorders>
              <w:left w:val="single" w:sz="8" w:color="auto"/>
            </w:tcBorders>
          </w:tcPr>
          <w:p>
            <w:pPr>
              <w:ind w:left="160"/>
              <w:spacing w:after="0" w:line="189" w:lineRule="exact"/>
              <w:rPr>
                <w:sz w:val="20"/>
                <w:szCs w:val="20"/>
                <w:color w:val="auto"/>
              </w:rPr>
            </w:pPr>
            <w:r>
              <w:rPr>
                <w:rFonts w:ascii="Arial" w:cs="Arial" w:eastAsia="Arial" w:hAnsi="Arial"/>
                <w:sz w:val="18"/>
                <w:szCs w:val="18"/>
                <w:i w:val="1"/>
                <w:iCs w:val="1"/>
                <w:color w:val="auto"/>
              </w:rPr>
              <w:t>Executve Vice President, Chief</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2022</w:t>
            </w:r>
          </w:p>
        </w:tc>
        <w:tc>
          <w:tcPr>
            <w:tcW w:w="1080" w:type="dxa"/>
            <w:vAlign w:val="bottom"/>
            <w:gridSpan w:val="2"/>
            <w:vMerge w:val="restart"/>
          </w:tcPr>
          <w:p>
            <w:pPr>
              <w:ind w:left="420"/>
              <w:spacing w:after="0"/>
              <w:rPr>
                <w:sz w:val="20"/>
                <w:szCs w:val="20"/>
                <w:color w:val="auto"/>
              </w:rPr>
            </w:pPr>
            <w:r>
              <w:rPr>
                <w:rFonts w:ascii="Arial" w:cs="Arial" w:eastAsia="Arial" w:hAnsi="Arial"/>
                <w:sz w:val="18"/>
                <w:szCs w:val="18"/>
                <w:color w:val="auto"/>
                <w:w w:val="98"/>
              </w:rPr>
              <w:t>412,000</w:t>
            </w:r>
          </w:p>
        </w:tc>
        <w:tc>
          <w:tcPr>
            <w:tcW w:w="100" w:type="dxa"/>
            <w:vAlign w:val="bottom"/>
          </w:tcPr>
          <w:p>
            <w:pPr>
              <w:spacing w:after="0"/>
              <w:rPr>
                <w:sz w:val="16"/>
                <w:szCs w:val="16"/>
                <w:color w:val="auto"/>
              </w:rPr>
            </w:pPr>
          </w:p>
        </w:tc>
        <w:tc>
          <w:tcPr>
            <w:tcW w:w="1080" w:type="dxa"/>
            <w:vAlign w:val="bottom"/>
            <w:vMerge w:val="restart"/>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308,989</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618,000</w:t>
            </w: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40,055</w:t>
            </w:r>
          </w:p>
        </w:tc>
        <w:tc>
          <w:tcPr>
            <w:tcW w:w="134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1,379,044</w:t>
            </w:r>
          </w:p>
        </w:tc>
        <w:tc>
          <w:tcPr>
            <w:tcW w:w="0" w:type="dxa"/>
            <w:vAlign w:val="bottom"/>
          </w:tcPr>
          <w:p>
            <w:pPr>
              <w:spacing w:after="0"/>
              <w:rPr>
                <w:sz w:val="1"/>
                <w:szCs w:val="1"/>
                <w:color w:val="auto"/>
              </w:rPr>
            </w:pPr>
          </w:p>
        </w:tc>
      </w:tr>
      <w:tr>
        <w:trPr>
          <w:trHeight w:val="119"/>
        </w:trPr>
        <w:tc>
          <w:tcPr>
            <w:tcW w:w="286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Financial Ofcer and Treasurer</w:t>
            </w:r>
          </w:p>
        </w:tc>
        <w:tc>
          <w:tcPr>
            <w:tcW w:w="7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Borders>
              <w:left w:val="single" w:sz="8" w:color="auto"/>
            </w:tcBorders>
            <w:vMerge w:val="continue"/>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2021</w:t>
            </w:r>
          </w:p>
        </w:tc>
        <w:tc>
          <w:tcPr>
            <w:tcW w:w="1080" w:type="dxa"/>
            <w:vAlign w:val="bottom"/>
            <w:gridSpan w:val="2"/>
            <w:vMerge w:val="restart"/>
          </w:tcPr>
          <w:p>
            <w:pPr>
              <w:ind w:left="420"/>
              <w:spacing w:after="0"/>
              <w:rPr>
                <w:sz w:val="20"/>
                <w:szCs w:val="20"/>
                <w:color w:val="auto"/>
              </w:rPr>
            </w:pPr>
            <w:r>
              <w:rPr>
                <w:rFonts w:ascii="Arial" w:cs="Arial" w:eastAsia="Arial" w:hAnsi="Arial"/>
                <w:sz w:val="18"/>
                <w:szCs w:val="18"/>
                <w:color w:val="auto"/>
                <w:w w:val="98"/>
              </w:rPr>
              <w:t>376,667</w:t>
            </w:r>
          </w:p>
        </w:tc>
        <w:tc>
          <w:tcPr>
            <w:tcW w:w="1180" w:type="dxa"/>
            <w:vAlign w:val="bottom"/>
            <w:gridSpan w:val="2"/>
            <w:vMerge w:val="restart"/>
          </w:tcPr>
          <w:p>
            <w:pPr>
              <w:jc w:val="right"/>
              <w:ind w:right="153"/>
              <w:spacing w:after="0"/>
              <w:rPr>
                <w:sz w:val="20"/>
                <w:szCs w:val="20"/>
                <w:color w:val="auto"/>
              </w:rPr>
            </w:pPr>
            <w:r>
              <w:rPr>
                <w:rFonts w:ascii="Arial" w:cs="Arial" w:eastAsia="Arial" w:hAnsi="Arial"/>
                <w:sz w:val="18"/>
                <w:szCs w:val="18"/>
                <w:color w:val="auto"/>
              </w:rPr>
              <w:t>100,000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234,247</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460,000</w:t>
            </w: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43,596</w:t>
            </w:r>
          </w:p>
        </w:tc>
        <w:tc>
          <w:tcPr>
            <w:tcW w:w="134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1,214,510</w:t>
            </w: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34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860" w:type="dxa"/>
            <w:vAlign w:val="bottom"/>
            <w:tcBorders>
              <w:lef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2023</w:t>
            </w:r>
          </w:p>
        </w:tc>
        <w:tc>
          <w:tcPr>
            <w:tcW w:w="1080" w:type="dxa"/>
            <w:vAlign w:val="bottom"/>
            <w:gridSpan w:val="2"/>
            <w:shd w:val="clear" w:color="auto" w:fill="B3B3B3"/>
          </w:tcPr>
          <w:p>
            <w:pPr>
              <w:ind w:left="420"/>
              <w:spacing w:after="0"/>
              <w:rPr>
                <w:sz w:val="20"/>
                <w:szCs w:val="20"/>
                <w:color w:val="auto"/>
              </w:rPr>
            </w:pPr>
            <w:r>
              <w:rPr>
                <w:rFonts w:ascii="Arial" w:cs="Arial" w:eastAsia="Arial" w:hAnsi="Arial"/>
                <w:sz w:val="18"/>
                <w:szCs w:val="18"/>
                <w:color w:val="auto"/>
                <w:w w:val="98"/>
              </w:rPr>
              <w:t>355,000</w:t>
            </w:r>
          </w:p>
        </w:tc>
        <w:tc>
          <w:tcPr>
            <w:tcW w:w="100" w:type="dxa"/>
            <w:vAlign w:val="bottom"/>
            <w:shd w:val="clear" w:color="auto" w:fill="B3B3B3"/>
          </w:tcPr>
          <w:p>
            <w:pPr>
              <w:spacing w:after="0"/>
              <w:rPr>
                <w:sz w:val="19"/>
                <w:szCs w:val="19"/>
                <w:color w:val="auto"/>
              </w:rPr>
            </w:pPr>
          </w:p>
        </w:tc>
        <w:tc>
          <w:tcPr>
            <w:tcW w:w="1080" w:type="dxa"/>
            <w:vAlign w:val="bottom"/>
            <w:shd w:val="clear" w:color="auto" w:fill="B3B3B3"/>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212,927</w:t>
            </w:r>
          </w:p>
        </w:tc>
        <w:tc>
          <w:tcPr>
            <w:tcW w:w="14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214,846</w:t>
            </w:r>
          </w:p>
        </w:tc>
        <w:tc>
          <w:tcPr>
            <w:tcW w:w="144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45,023</w:t>
            </w:r>
          </w:p>
        </w:tc>
        <w:tc>
          <w:tcPr>
            <w:tcW w:w="134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827,796</w:t>
            </w:r>
          </w:p>
        </w:tc>
        <w:tc>
          <w:tcPr>
            <w:tcW w:w="0" w:type="dxa"/>
            <w:vAlign w:val="bottom"/>
          </w:tcPr>
          <w:p>
            <w:pPr>
              <w:spacing w:after="0"/>
              <w:rPr>
                <w:sz w:val="1"/>
                <w:szCs w:val="1"/>
                <w:color w:val="auto"/>
              </w:rPr>
            </w:pPr>
          </w:p>
        </w:tc>
      </w:tr>
      <w:tr>
        <w:trPr>
          <w:trHeight w:val="251"/>
        </w:trPr>
        <w:tc>
          <w:tcPr>
            <w:tcW w:w="286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Vice President – Operatons</w:t>
            </w:r>
          </w:p>
        </w:tc>
        <w:tc>
          <w:tcPr>
            <w:tcW w:w="100" w:type="dxa"/>
            <w:vAlign w:val="bottom"/>
            <w:shd w:val="clear" w:color="auto" w:fill="B3B3B3"/>
          </w:tcPr>
          <w:p>
            <w:pPr>
              <w:spacing w:after="0"/>
              <w:rPr>
                <w:sz w:val="21"/>
                <w:szCs w:val="21"/>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2022</w:t>
            </w:r>
          </w:p>
        </w:tc>
        <w:tc>
          <w:tcPr>
            <w:tcW w:w="1080" w:type="dxa"/>
            <w:vAlign w:val="bottom"/>
            <w:gridSpan w:val="2"/>
            <w:shd w:val="clear" w:color="auto" w:fill="B3B3B3"/>
          </w:tcPr>
          <w:p>
            <w:pPr>
              <w:ind w:left="420"/>
              <w:spacing w:after="0"/>
              <w:rPr>
                <w:sz w:val="20"/>
                <w:szCs w:val="20"/>
                <w:color w:val="auto"/>
              </w:rPr>
            </w:pPr>
            <w:r>
              <w:rPr>
                <w:rFonts w:ascii="Arial" w:cs="Arial" w:eastAsia="Arial" w:hAnsi="Arial"/>
                <w:sz w:val="18"/>
                <w:szCs w:val="18"/>
                <w:color w:val="auto"/>
                <w:w w:val="98"/>
              </w:rPr>
              <w:t>325,000</w:t>
            </w:r>
          </w:p>
        </w:tc>
        <w:tc>
          <w:tcPr>
            <w:tcW w:w="100" w:type="dxa"/>
            <w:vAlign w:val="bottom"/>
            <w:shd w:val="clear" w:color="auto" w:fill="B3B3B3"/>
          </w:tcPr>
          <w:p>
            <w:pPr>
              <w:spacing w:after="0"/>
              <w:rPr>
                <w:sz w:val="21"/>
                <w:szCs w:val="21"/>
                <w:color w:val="auto"/>
              </w:rPr>
            </w:pPr>
          </w:p>
        </w:tc>
        <w:tc>
          <w:tcPr>
            <w:tcW w:w="1080" w:type="dxa"/>
            <w:vAlign w:val="bottom"/>
            <w:shd w:val="clear" w:color="auto" w:fill="B3B3B3"/>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194,947</w:t>
            </w:r>
          </w:p>
        </w:tc>
        <w:tc>
          <w:tcPr>
            <w:tcW w:w="14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260,000</w:t>
            </w:r>
          </w:p>
        </w:tc>
        <w:tc>
          <w:tcPr>
            <w:tcW w:w="144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40,810</w:t>
            </w:r>
          </w:p>
        </w:tc>
        <w:tc>
          <w:tcPr>
            <w:tcW w:w="134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820,757</w:t>
            </w:r>
          </w:p>
        </w:tc>
        <w:tc>
          <w:tcPr>
            <w:tcW w:w="0" w:type="dxa"/>
            <w:vAlign w:val="bottom"/>
          </w:tcPr>
          <w:p>
            <w:pPr>
              <w:spacing w:after="0"/>
              <w:rPr>
                <w:sz w:val="1"/>
                <w:szCs w:val="1"/>
                <w:color w:val="auto"/>
              </w:rPr>
            </w:pPr>
          </w:p>
        </w:tc>
      </w:tr>
      <w:tr>
        <w:trPr>
          <w:trHeight w:val="272"/>
        </w:trPr>
        <w:tc>
          <w:tcPr>
            <w:tcW w:w="2860" w:type="dxa"/>
            <w:vAlign w:val="bottom"/>
            <w:tcBorders>
              <w:left w:val="single" w:sz="8" w:color="auto"/>
              <w:bottom w:val="single" w:sz="8" w:color="B3B3B3"/>
            </w:tcBorders>
            <w:shd w:val="clear" w:color="auto" w:fill="B3B3B3"/>
          </w:tcPr>
          <w:p>
            <w:pPr>
              <w:spacing w:after="0"/>
              <w:rPr>
                <w:sz w:val="23"/>
                <w:szCs w:val="23"/>
                <w:color w:val="auto"/>
              </w:rPr>
            </w:pPr>
          </w:p>
        </w:tc>
        <w:tc>
          <w:tcPr>
            <w:tcW w:w="100" w:type="dxa"/>
            <w:vAlign w:val="bottom"/>
            <w:tcBorders>
              <w:bottom w:val="single" w:sz="8" w:color="B3B3B3"/>
            </w:tcBorders>
            <w:shd w:val="clear" w:color="auto" w:fill="B3B3B3"/>
          </w:tcPr>
          <w:p>
            <w:pPr>
              <w:spacing w:after="0"/>
              <w:rPr>
                <w:sz w:val="23"/>
                <w:szCs w:val="23"/>
                <w:color w:val="auto"/>
              </w:rPr>
            </w:pPr>
          </w:p>
        </w:tc>
        <w:tc>
          <w:tcPr>
            <w:tcW w:w="660" w:type="dxa"/>
            <w:vAlign w:val="bottom"/>
            <w:tcBorders>
              <w:bottom w:val="single" w:sz="8" w:color="B3B3B3"/>
            </w:tcBorders>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B3B3B3"/>
            </w:tcBorders>
            <w:gridSpan w:val="2"/>
            <w:shd w:val="clear" w:color="auto" w:fill="B3B3B3"/>
          </w:tcPr>
          <w:p>
            <w:pPr>
              <w:ind w:left="420"/>
              <w:spacing w:after="0"/>
              <w:rPr>
                <w:sz w:val="20"/>
                <w:szCs w:val="20"/>
                <w:color w:val="auto"/>
              </w:rPr>
            </w:pPr>
            <w:r>
              <w:rPr>
                <w:rFonts w:ascii="Arial" w:cs="Arial" w:eastAsia="Arial" w:hAnsi="Arial"/>
                <w:sz w:val="18"/>
                <w:szCs w:val="18"/>
                <w:color w:val="auto"/>
                <w:w w:val="98"/>
              </w:rPr>
              <w:t>283,333</w:t>
            </w:r>
          </w:p>
        </w:tc>
        <w:tc>
          <w:tcPr>
            <w:tcW w:w="1180" w:type="dxa"/>
            <w:vAlign w:val="bottom"/>
            <w:tcBorders>
              <w:bottom w:val="single" w:sz="8" w:color="B3B3B3"/>
            </w:tcBorders>
            <w:gridSpan w:val="2"/>
            <w:shd w:val="clear" w:color="auto" w:fill="B3B3B3"/>
          </w:tcPr>
          <w:p>
            <w:pPr>
              <w:jc w:val="right"/>
              <w:ind w:right="153"/>
              <w:spacing w:after="0"/>
              <w:rPr>
                <w:sz w:val="20"/>
                <w:szCs w:val="20"/>
                <w:color w:val="auto"/>
              </w:rPr>
            </w:pPr>
            <w:r>
              <w:rPr>
                <w:rFonts w:ascii="Arial" w:cs="Arial" w:eastAsia="Arial" w:hAnsi="Arial"/>
                <w:sz w:val="18"/>
                <w:szCs w:val="18"/>
                <w:color w:val="auto"/>
              </w:rPr>
              <w:t>25,000</w:t>
            </w:r>
          </w:p>
        </w:tc>
        <w:tc>
          <w:tcPr>
            <w:tcW w:w="980" w:type="dxa"/>
            <w:vAlign w:val="bottom"/>
            <w:tcBorders>
              <w:bottom w:val="single" w:sz="8" w:color="B3B3B3"/>
            </w:tcBorders>
            <w:shd w:val="clear" w:color="auto" w:fill="B3B3B3"/>
          </w:tcPr>
          <w:p>
            <w:pPr>
              <w:jc w:val="right"/>
              <w:spacing w:after="0"/>
              <w:rPr>
                <w:sz w:val="20"/>
                <w:szCs w:val="20"/>
                <w:color w:val="auto"/>
              </w:rPr>
            </w:pPr>
            <w:r>
              <w:rPr>
                <w:rFonts w:ascii="Arial" w:cs="Arial" w:eastAsia="Arial" w:hAnsi="Arial"/>
                <w:sz w:val="18"/>
                <w:szCs w:val="18"/>
                <w:color w:val="auto"/>
              </w:rPr>
              <w:t>103,936</w:t>
            </w:r>
          </w:p>
        </w:tc>
        <w:tc>
          <w:tcPr>
            <w:tcW w:w="1400" w:type="dxa"/>
            <w:vAlign w:val="bottom"/>
            <w:tcBorders>
              <w:bottom w:val="single" w:sz="8" w:color="B3B3B3"/>
            </w:tcBorders>
            <w:gridSpan w:val="2"/>
            <w:shd w:val="clear" w:color="auto" w:fill="B3B3B3"/>
          </w:tcPr>
          <w:p>
            <w:pPr>
              <w:jc w:val="right"/>
              <w:spacing w:after="0"/>
              <w:rPr>
                <w:sz w:val="20"/>
                <w:szCs w:val="20"/>
                <w:color w:val="auto"/>
              </w:rPr>
            </w:pPr>
            <w:r>
              <w:rPr>
                <w:rFonts w:ascii="Arial" w:cs="Arial" w:eastAsia="Arial" w:hAnsi="Arial"/>
                <w:sz w:val="18"/>
                <w:szCs w:val="18"/>
                <w:color w:val="auto"/>
              </w:rPr>
              <w:t>226,667</w:t>
            </w:r>
          </w:p>
        </w:tc>
        <w:tc>
          <w:tcPr>
            <w:tcW w:w="1440" w:type="dxa"/>
            <w:vAlign w:val="bottom"/>
            <w:tcBorders>
              <w:bottom w:val="single" w:sz="8" w:color="B3B3B3"/>
            </w:tcBorders>
            <w:gridSpan w:val="2"/>
            <w:shd w:val="clear" w:color="auto" w:fill="B3B3B3"/>
          </w:tcPr>
          <w:p>
            <w:pPr>
              <w:jc w:val="right"/>
              <w:ind w:right="4"/>
              <w:spacing w:after="0"/>
              <w:rPr>
                <w:sz w:val="20"/>
                <w:szCs w:val="20"/>
                <w:color w:val="auto"/>
              </w:rPr>
            </w:pPr>
            <w:r>
              <w:rPr>
                <w:rFonts w:ascii="Arial" w:cs="Arial" w:eastAsia="Arial" w:hAnsi="Arial"/>
                <w:sz w:val="18"/>
                <w:szCs w:val="18"/>
                <w:color w:val="auto"/>
              </w:rPr>
              <w:t>40,693</w:t>
            </w:r>
          </w:p>
        </w:tc>
        <w:tc>
          <w:tcPr>
            <w:tcW w:w="1340" w:type="dxa"/>
            <w:vAlign w:val="bottom"/>
            <w:tcBorders>
              <w:bottom w:val="single" w:sz="8" w:color="B3B3B3"/>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679,629</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Richard G. Erstad</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2023</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8"/>
              </w:rPr>
              <w:t>325,000</w:t>
            </w:r>
          </w:p>
        </w:tc>
        <w:tc>
          <w:tcPr>
            <w:tcW w:w="10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211,241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196,690</w:t>
            </w:r>
          </w:p>
        </w:tc>
        <w:tc>
          <w:tcPr>
            <w:tcW w:w="1440" w:type="dxa"/>
            <w:vAlign w:val="bottom"/>
            <w:gridSpan w:val="2"/>
          </w:tcPr>
          <w:p>
            <w:pPr>
              <w:jc w:val="right"/>
              <w:ind w:right="4"/>
              <w:spacing w:after="0"/>
              <w:rPr>
                <w:sz w:val="20"/>
                <w:szCs w:val="20"/>
                <w:color w:val="auto"/>
              </w:rPr>
            </w:pPr>
            <w:r>
              <w:rPr>
                <w:rFonts w:ascii="Arial" w:cs="Arial" w:eastAsia="Arial" w:hAnsi="Arial"/>
                <w:sz w:val="18"/>
                <w:szCs w:val="18"/>
                <w:color w:val="auto"/>
              </w:rPr>
              <w:t>59,950</w:t>
            </w:r>
          </w:p>
        </w:tc>
        <w:tc>
          <w:tcPr>
            <w:tcW w:w="13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792,881</w:t>
            </w:r>
          </w:p>
        </w:tc>
        <w:tc>
          <w:tcPr>
            <w:tcW w:w="0" w:type="dxa"/>
            <w:vAlign w:val="bottom"/>
          </w:tcPr>
          <w:p>
            <w:pPr>
              <w:spacing w:after="0"/>
              <w:rPr>
                <w:sz w:val="1"/>
                <w:szCs w:val="1"/>
                <w:color w:val="auto"/>
              </w:rPr>
            </w:pPr>
          </w:p>
        </w:tc>
      </w:tr>
      <w:tr>
        <w:trPr>
          <w:trHeight w:val="208"/>
        </w:trPr>
        <w:tc>
          <w:tcPr>
            <w:tcW w:w="286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w w:val="90"/>
              </w:rPr>
              <w:t>Vice President, General Counsel and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8"/>
              </w:rPr>
              <w:t>298,200</w:t>
            </w:r>
          </w:p>
        </w:tc>
        <w:tc>
          <w:tcPr>
            <w:tcW w:w="100" w:type="dxa"/>
            <w:vAlign w:val="bottom"/>
          </w:tcPr>
          <w:p>
            <w:pPr>
              <w:spacing w:after="0"/>
              <w:rPr>
                <w:sz w:val="18"/>
                <w:szCs w:val="18"/>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193,804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238,560</w:t>
            </w:r>
          </w:p>
        </w:tc>
        <w:tc>
          <w:tcPr>
            <w:tcW w:w="1440" w:type="dxa"/>
            <w:vAlign w:val="bottom"/>
            <w:gridSpan w:val="2"/>
          </w:tcPr>
          <w:p>
            <w:pPr>
              <w:jc w:val="right"/>
              <w:ind w:right="4"/>
              <w:spacing w:after="0"/>
              <w:rPr>
                <w:sz w:val="20"/>
                <w:szCs w:val="20"/>
                <w:color w:val="auto"/>
              </w:rPr>
            </w:pPr>
            <w:r>
              <w:rPr>
                <w:rFonts w:ascii="Arial" w:cs="Arial" w:eastAsia="Arial" w:hAnsi="Arial"/>
                <w:sz w:val="18"/>
                <w:szCs w:val="18"/>
                <w:color w:val="auto"/>
              </w:rPr>
              <w:t>58,459</w:t>
            </w:r>
          </w:p>
        </w:tc>
        <w:tc>
          <w:tcPr>
            <w:tcW w:w="13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789,023</w:t>
            </w:r>
          </w:p>
        </w:tc>
        <w:tc>
          <w:tcPr>
            <w:tcW w:w="0" w:type="dxa"/>
            <w:vAlign w:val="bottom"/>
          </w:tcPr>
          <w:p>
            <w:pPr>
              <w:spacing w:after="0"/>
              <w:rPr>
                <w:sz w:val="1"/>
                <w:szCs w:val="1"/>
                <w:color w:val="auto"/>
              </w:rPr>
            </w:pPr>
          </w:p>
        </w:tc>
      </w:tr>
      <w:tr>
        <w:trPr>
          <w:trHeight w:val="227"/>
        </w:trPr>
        <w:tc>
          <w:tcPr>
            <w:tcW w:w="286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Secretary</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2021</w:t>
            </w:r>
          </w:p>
        </w:tc>
        <w:tc>
          <w:tcPr>
            <w:tcW w:w="1080" w:type="dxa"/>
            <w:vAlign w:val="bottom"/>
            <w:gridSpan w:val="2"/>
            <w:vMerge w:val="restart"/>
          </w:tcPr>
          <w:p>
            <w:pPr>
              <w:ind w:left="420"/>
              <w:spacing w:after="0"/>
              <w:rPr>
                <w:sz w:val="20"/>
                <w:szCs w:val="20"/>
                <w:color w:val="auto"/>
              </w:rPr>
            </w:pPr>
            <w:r>
              <w:rPr>
                <w:rFonts w:ascii="Arial" w:cs="Arial" w:eastAsia="Arial" w:hAnsi="Arial"/>
                <w:sz w:val="18"/>
                <w:szCs w:val="18"/>
                <w:color w:val="auto"/>
                <w:w w:val="98"/>
              </w:rPr>
              <w:t>289,430</w:t>
            </w:r>
          </w:p>
        </w:tc>
        <w:tc>
          <w:tcPr>
            <w:tcW w:w="1180" w:type="dxa"/>
            <w:vAlign w:val="bottom"/>
            <w:gridSpan w:val="2"/>
            <w:vMerge w:val="restart"/>
          </w:tcPr>
          <w:p>
            <w:pPr>
              <w:jc w:val="right"/>
              <w:ind w:right="153"/>
              <w:spacing w:after="0"/>
              <w:rPr>
                <w:sz w:val="20"/>
                <w:szCs w:val="20"/>
                <w:color w:val="auto"/>
              </w:rPr>
            </w:pPr>
            <w:r>
              <w:rPr>
                <w:rFonts w:ascii="Arial" w:cs="Arial" w:eastAsia="Arial" w:hAnsi="Arial"/>
                <w:sz w:val="18"/>
                <w:szCs w:val="18"/>
                <w:color w:val="auto"/>
              </w:rPr>
              <w:t>25,000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188,070</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231,544</w:t>
            </w: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57,565</w:t>
            </w:r>
          </w:p>
        </w:tc>
        <w:tc>
          <w:tcPr>
            <w:tcW w:w="134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791,609</w:t>
            </w:r>
          </w:p>
        </w:tc>
        <w:tc>
          <w:tcPr>
            <w:tcW w:w="0" w:type="dxa"/>
            <w:vAlign w:val="bottom"/>
          </w:tcPr>
          <w:p>
            <w:pPr>
              <w:spacing w:after="0"/>
              <w:rPr>
                <w:sz w:val="1"/>
                <w:szCs w:val="1"/>
                <w:color w:val="auto"/>
              </w:rPr>
            </w:pPr>
          </w:p>
        </w:tc>
      </w:tr>
      <w:tr>
        <w:trPr>
          <w:trHeight w:val="89"/>
        </w:trPr>
        <w:tc>
          <w:tcPr>
            <w:tcW w:w="2860" w:type="dxa"/>
            <w:vAlign w:val="bottom"/>
            <w:tcBorders>
              <w:lef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3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860" w:type="dxa"/>
            <w:vAlign w:val="bottom"/>
            <w:tcBorders>
              <w:left w:val="single" w:sz="8" w:color="auto"/>
            </w:tcBorders>
          </w:tcPr>
          <w:p>
            <w:pPr>
              <w:spacing w:after="0"/>
              <w:rPr>
                <w:sz w:val="3"/>
                <w:szCs w:val="3"/>
                <w:color w:val="auto"/>
              </w:rPr>
            </w:pPr>
          </w:p>
        </w:tc>
        <w:tc>
          <w:tcPr>
            <w:tcW w:w="7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860" w:type="dxa"/>
            <w:vAlign w:val="bottom"/>
            <w:tcBorders>
              <w:left w:val="single" w:sz="8" w:color="auto"/>
            </w:tcBorders>
            <w:shd w:val="clear" w:color="auto" w:fill="B6B6B6"/>
          </w:tcPr>
          <w:p>
            <w:pPr>
              <w:ind w:left="40"/>
              <w:spacing w:after="0"/>
              <w:rPr>
                <w:sz w:val="20"/>
                <w:szCs w:val="20"/>
                <w:color w:val="auto"/>
              </w:rPr>
            </w:pPr>
            <w:r>
              <w:rPr>
                <w:rFonts w:ascii="Arial" w:cs="Arial" w:eastAsia="Arial" w:hAnsi="Arial"/>
                <w:sz w:val="18"/>
                <w:szCs w:val="18"/>
                <w:color w:val="auto"/>
              </w:rPr>
              <w:t>David J. Mangine</w:t>
            </w:r>
          </w:p>
        </w:tc>
        <w:tc>
          <w:tcPr>
            <w:tcW w:w="7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2023</w:t>
            </w:r>
          </w:p>
        </w:tc>
        <w:tc>
          <w:tcPr>
            <w:tcW w:w="1080" w:type="dxa"/>
            <w:vAlign w:val="bottom"/>
            <w:gridSpan w:val="2"/>
            <w:shd w:val="clear" w:color="auto" w:fill="B6B6B6"/>
          </w:tcPr>
          <w:p>
            <w:pPr>
              <w:ind w:left="420"/>
              <w:spacing w:after="0"/>
              <w:rPr>
                <w:sz w:val="20"/>
                <w:szCs w:val="20"/>
                <w:color w:val="auto"/>
              </w:rPr>
            </w:pPr>
            <w:r>
              <w:rPr>
                <w:rFonts w:ascii="Arial" w:cs="Arial" w:eastAsia="Arial" w:hAnsi="Arial"/>
                <w:sz w:val="18"/>
                <w:szCs w:val="18"/>
                <w:color w:val="auto"/>
                <w:w w:val="98"/>
              </w:rPr>
              <w:t>325,000</w:t>
            </w:r>
          </w:p>
        </w:tc>
        <w:tc>
          <w:tcPr>
            <w:tcW w:w="100" w:type="dxa"/>
            <w:vAlign w:val="bottom"/>
            <w:shd w:val="clear" w:color="auto" w:fill="B6B6B6"/>
          </w:tcPr>
          <w:p>
            <w:pPr>
              <w:spacing w:after="0"/>
              <w:rPr>
                <w:sz w:val="19"/>
                <w:szCs w:val="19"/>
                <w:color w:val="auto"/>
              </w:rPr>
            </w:pPr>
          </w:p>
        </w:tc>
        <w:tc>
          <w:tcPr>
            <w:tcW w:w="1080" w:type="dxa"/>
            <w:vAlign w:val="bottom"/>
            <w:shd w:val="clear" w:color="auto" w:fill="B6B6B6"/>
          </w:tcPr>
          <w:p>
            <w:pPr>
              <w:jc w:val="right"/>
              <w:ind w:right="153"/>
              <w:spacing w:after="0"/>
              <w:rPr>
                <w:sz w:val="20"/>
                <w:szCs w:val="20"/>
                <w:color w:val="auto"/>
              </w:rPr>
            </w:pPr>
            <w:r>
              <w:rPr>
                <w:rFonts w:ascii="Arial" w:cs="Arial" w:eastAsia="Arial" w:hAnsi="Arial"/>
                <w:sz w:val="18"/>
                <w:szCs w:val="18"/>
                <w:color w:val="auto"/>
              </w:rPr>
              <w:t>—</w:t>
            </w: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194,998</w:t>
            </w:r>
          </w:p>
        </w:tc>
        <w:tc>
          <w:tcPr>
            <w:tcW w:w="140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217,942</w:t>
            </w:r>
          </w:p>
        </w:tc>
        <w:tc>
          <w:tcPr>
            <w:tcW w:w="1440" w:type="dxa"/>
            <w:vAlign w:val="bottom"/>
            <w:gridSpan w:val="2"/>
            <w:shd w:val="clear" w:color="auto" w:fill="B6B6B6"/>
          </w:tcPr>
          <w:p>
            <w:pPr>
              <w:jc w:val="right"/>
              <w:ind w:right="4"/>
              <w:spacing w:after="0"/>
              <w:rPr>
                <w:sz w:val="20"/>
                <w:szCs w:val="20"/>
                <w:color w:val="auto"/>
              </w:rPr>
            </w:pPr>
            <w:r>
              <w:rPr>
                <w:rFonts w:ascii="Arial" w:cs="Arial" w:eastAsia="Arial" w:hAnsi="Arial"/>
                <w:sz w:val="18"/>
                <w:szCs w:val="18"/>
                <w:color w:val="auto"/>
              </w:rPr>
              <w:t>57,214</w:t>
            </w:r>
          </w:p>
        </w:tc>
        <w:tc>
          <w:tcPr>
            <w:tcW w:w="1340" w:type="dxa"/>
            <w:vAlign w:val="bottom"/>
            <w:tcBorders>
              <w:right w:val="single" w:sz="8" w:color="auto"/>
            </w:tcBorders>
            <w:gridSpan w:val="2"/>
            <w:shd w:val="clear" w:color="auto" w:fill="B6B6B6"/>
          </w:tcPr>
          <w:p>
            <w:pPr>
              <w:jc w:val="right"/>
              <w:spacing w:after="0"/>
              <w:rPr>
                <w:sz w:val="20"/>
                <w:szCs w:val="20"/>
                <w:color w:val="auto"/>
              </w:rPr>
            </w:pPr>
            <w:r>
              <w:rPr>
                <w:rFonts w:ascii="Arial" w:cs="Arial" w:eastAsia="Arial" w:hAnsi="Arial"/>
                <w:sz w:val="18"/>
                <w:szCs w:val="18"/>
                <w:color w:val="auto"/>
              </w:rPr>
              <w:t>795,154</w:t>
            </w:r>
          </w:p>
        </w:tc>
        <w:tc>
          <w:tcPr>
            <w:tcW w:w="0" w:type="dxa"/>
            <w:vAlign w:val="bottom"/>
          </w:tcPr>
          <w:p>
            <w:pPr>
              <w:spacing w:after="0"/>
              <w:rPr>
                <w:sz w:val="1"/>
                <w:szCs w:val="1"/>
                <w:color w:val="auto"/>
              </w:rPr>
            </w:pPr>
          </w:p>
        </w:tc>
      </w:tr>
      <w:tr>
        <w:trPr>
          <w:trHeight w:val="230"/>
        </w:trPr>
        <w:tc>
          <w:tcPr>
            <w:tcW w:w="2860" w:type="dxa"/>
            <w:vAlign w:val="bottom"/>
            <w:tcBorders>
              <w:left w:val="single" w:sz="8" w:color="auto"/>
              <w:bottom w:val="single" w:sz="8" w:color="auto"/>
            </w:tcBorders>
            <w:shd w:val="clear" w:color="auto" w:fill="B6B6B6"/>
          </w:tcPr>
          <w:p>
            <w:pPr>
              <w:ind w:left="160"/>
              <w:spacing w:after="0"/>
              <w:rPr>
                <w:sz w:val="20"/>
                <w:szCs w:val="20"/>
                <w:color w:val="auto"/>
              </w:rPr>
            </w:pPr>
            <w:r>
              <w:rPr>
                <w:rFonts w:ascii="Arial" w:cs="Arial" w:eastAsia="Arial" w:hAnsi="Arial"/>
                <w:sz w:val="18"/>
                <w:szCs w:val="18"/>
                <w:i w:val="1"/>
                <w:iCs w:val="1"/>
                <w:color w:val="auto"/>
              </w:rPr>
              <w:t>Vice President – Industrial</w:t>
            </w:r>
          </w:p>
        </w:tc>
        <w:tc>
          <w:tcPr>
            <w:tcW w:w="100" w:type="dxa"/>
            <w:vAlign w:val="bottom"/>
            <w:tcBorders>
              <w:bottom w:val="single" w:sz="8" w:color="auto"/>
            </w:tcBorders>
            <w:shd w:val="clear" w:color="auto" w:fill="B6B6B6"/>
          </w:tcPr>
          <w:p>
            <w:pPr>
              <w:spacing w:after="0"/>
              <w:rPr>
                <w:sz w:val="19"/>
                <w:szCs w:val="19"/>
                <w:color w:val="auto"/>
              </w:rPr>
            </w:pPr>
          </w:p>
        </w:tc>
        <w:tc>
          <w:tcPr>
            <w:tcW w:w="660" w:type="dxa"/>
            <w:vAlign w:val="bottom"/>
            <w:tcBorders>
              <w:bottom w:val="single" w:sz="8" w:color="auto"/>
            </w:tcBorders>
            <w:shd w:val="clear" w:color="auto" w:fill="B6B6B6"/>
          </w:tcPr>
          <w:p>
            <w:pPr>
              <w:spacing w:after="0"/>
              <w:rPr>
                <w:sz w:val="19"/>
                <w:szCs w:val="19"/>
                <w:color w:val="auto"/>
              </w:rPr>
            </w:pPr>
          </w:p>
        </w:tc>
        <w:tc>
          <w:tcPr>
            <w:tcW w:w="12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tcBorders>
              <w:bottom w:val="single" w:sz="8" w:color="auto"/>
            </w:tcBorders>
            <w:shd w:val="clear" w:color="auto" w:fill="B6B6B6"/>
          </w:tcPr>
          <w:p>
            <w:pPr>
              <w:spacing w:after="0"/>
              <w:rPr>
                <w:sz w:val="19"/>
                <w:szCs w:val="19"/>
                <w:color w:val="auto"/>
              </w:rPr>
            </w:pPr>
          </w:p>
        </w:tc>
        <w:tc>
          <w:tcPr>
            <w:tcW w:w="108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20" w:type="dxa"/>
            <w:vAlign w:val="bottom"/>
            <w:tcBorders>
              <w:bottom w:val="single" w:sz="8" w:color="auto"/>
            </w:tcBorders>
            <w:shd w:val="clear" w:color="auto" w:fill="B6B6B6"/>
          </w:tcPr>
          <w:p>
            <w:pPr>
              <w:spacing w:after="0"/>
              <w:rPr>
                <w:sz w:val="19"/>
                <w:szCs w:val="19"/>
                <w:color w:val="auto"/>
              </w:rPr>
            </w:pPr>
          </w:p>
        </w:tc>
        <w:tc>
          <w:tcPr>
            <w:tcW w:w="1280" w:type="dxa"/>
            <w:vAlign w:val="bottom"/>
            <w:tcBorders>
              <w:bottom w:val="single" w:sz="8" w:color="auto"/>
            </w:tcBorders>
            <w:shd w:val="clear" w:color="auto" w:fill="B6B6B6"/>
          </w:tcPr>
          <w:p>
            <w:pPr>
              <w:spacing w:after="0"/>
              <w:rPr>
                <w:sz w:val="19"/>
                <w:szCs w:val="19"/>
                <w:color w:val="auto"/>
              </w:rPr>
            </w:pPr>
          </w:p>
        </w:tc>
        <w:tc>
          <w:tcPr>
            <w:tcW w:w="120" w:type="dxa"/>
            <w:vAlign w:val="bottom"/>
            <w:tcBorders>
              <w:bottom w:val="single" w:sz="8" w:color="auto"/>
            </w:tcBorders>
            <w:shd w:val="clear" w:color="auto" w:fill="B6B6B6"/>
          </w:tcPr>
          <w:p>
            <w:pPr>
              <w:spacing w:after="0"/>
              <w:rPr>
                <w:sz w:val="19"/>
                <w:szCs w:val="19"/>
                <w:color w:val="auto"/>
              </w:rPr>
            </w:pPr>
          </w:p>
        </w:tc>
        <w:tc>
          <w:tcPr>
            <w:tcW w:w="1320" w:type="dxa"/>
            <w:vAlign w:val="bottom"/>
            <w:tcBorders>
              <w:bottom w:val="single" w:sz="8" w:color="auto"/>
            </w:tcBorders>
            <w:shd w:val="clear" w:color="auto" w:fill="B6B6B6"/>
          </w:tcPr>
          <w:p>
            <w:pPr>
              <w:spacing w:after="0"/>
              <w:rPr>
                <w:sz w:val="19"/>
                <w:szCs w:val="19"/>
                <w:color w:val="auto"/>
              </w:rPr>
            </w:pPr>
          </w:p>
        </w:tc>
        <w:tc>
          <w:tcPr>
            <w:tcW w:w="100" w:type="dxa"/>
            <w:vAlign w:val="bottom"/>
            <w:tcBorders>
              <w:bottom w:val="single" w:sz="8" w:color="auto"/>
            </w:tcBorders>
            <w:shd w:val="clear" w:color="auto" w:fill="B6B6B6"/>
          </w:tcPr>
          <w:p>
            <w:pPr>
              <w:spacing w:after="0"/>
              <w:rPr>
                <w:sz w:val="19"/>
                <w:szCs w:val="19"/>
                <w:color w:val="auto"/>
              </w:rPr>
            </w:pPr>
          </w:p>
        </w:tc>
        <w:tc>
          <w:tcPr>
            <w:tcW w:w="1240" w:type="dxa"/>
            <w:vAlign w:val="bottom"/>
            <w:tcBorders>
              <w:bottom w:val="single" w:sz="8" w:color="auto"/>
              <w:right w:val="single" w:sz="8" w:color="auto"/>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shown represent discretonary cash bonuses approved by the Compensaton Commitee.</w:t>
      </w:r>
    </w:p>
    <w:p>
      <w:pPr>
        <w:spacing w:after="0" w:line="103" w:lineRule="exact"/>
        <w:rPr>
          <w:rFonts w:ascii="Arial" w:cs="Arial" w:eastAsia="Arial" w:hAnsi="Arial"/>
          <w:sz w:val="18"/>
          <w:szCs w:val="18"/>
          <w:color w:val="auto"/>
        </w:rPr>
      </w:pPr>
    </w:p>
    <w:p>
      <w:pPr>
        <w:ind w:left="420" w:right="120" w:hanging="412"/>
        <w:spacing w:after="0" w:line="272" w:lineRule="auto"/>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Amounts represent the aggregate grant date fair value of awards made each fscal year, as computed in accordance with Financial Accountng Standards Board (FASB) Accountng Standards Codifcaton (ASC) Topic 718. See Note 9, </w:t>
      </w:r>
      <w:r>
        <w:rPr>
          <w:rFonts w:ascii="Arial" w:cs="Arial" w:eastAsia="Arial" w:hAnsi="Arial"/>
          <w:sz w:val="17"/>
          <w:szCs w:val="17"/>
          <w:i w:val="1"/>
          <w:iCs w:val="1"/>
          <w:color w:val="auto"/>
        </w:rPr>
        <w:t>Share-Based Compensaton</w:t>
      </w:r>
      <w:r>
        <w:rPr>
          <w:rFonts w:ascii="Arial" w:cs="Arial" w:eastAsia="Arial" w:hAnsi="Arial"/>
          <w:sz w:val="17"/>
          <w:szCs w:val="17"/>
          <w:color w:val="auto"/>
        </w:rPr>
        <w:t>, to our audited fnancial statements included in our Annual Report on Form 10-K for fscal 2023 for a descripton of our accountng for these awards and the assumptons used in valuing the awards. The value is computed based on the estmated probable outcome of the applicable performance conditons as of the grant date. The following table shows the grant date fair values of the performance-based restricted unit awards granted in fscal 2023 as reported, and what such values would have been assuming the highest level of performance conditons would be achieved:</w:t>
      </w:r>
    </w:p>
    <w:p>
      <w:pPr>
        <w:spacing w:after="0" w:line="6" w:lineRule="exact"/>
        <w:rPr>
          <w:sz w:val="20"/>
          <w:szCs w:val="20"/>
          <w:color w:val="auto"/>
        </w:rPr>
      </w:pPr>
    </w:p>
    <w:tbl>
      <w:tblPr>
        <w:tblLayout w:type="fixed"/>
        <w:tblInd w:w="430" w:type="dxa"/>
        <w:tblCellMar>
          <w:top w:w="0" w:type="dxa"/>
          <w:left w:w="0" w:type="dxa"/>
          <w:bottom w:w="0" w:type="dxa"/>
          <w:right w:w="0" w:type="dxa"/>
        </w:tblCellMar>
      </w:tblPr>
      <w:tr>
        <w:trPr>
          <w:trHeight w:val="200"/>
        </w:trPr>
        <w:tc>
          <w:tcPr>
            <w:tcW w:w="532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Amount Reported</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right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Maximum Amount</w:t>
            </w:r>
          </w:p>
        </w:tc>
      </w:tr>
      <w:tr>
        <w:trPr>
          <w:trHeight w:val="239"/>
        </w:trPr>
        <w:tc>
          <w:tcPr>
            <w:tcW w:w="5320" w:type="dxa"/>
            <w:vAlign w:val="bottom"/>
            <w:tcBorders>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280" w:type="dxa"/>
            <w:vAlign w:val="bottom"/>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614,952</w:t>
            </w:r>
          </w:p>
        </w:tc>
        <w:tc>
          <w:tcPr>
            <w:tcW w:w="280" w:type="dxa"/>
            <w:vAlign w:val="bottom"/>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922,428</w:t>
            </w:r>
          </w:p>
        </w:tc>
      </w:tr>
      <w:tr>
        <w:trPr>
          <w:trHeight w:val="228"/>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Jefrey P. Oldenkamp</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338,967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508,450</w:t>
            </w:r>
          </w:p>
        </w:tc>
      </w:tr>
      <w:tr>
        <w:trPr>
          <w:trHeight w:val="231"/>
        </w:trPr>
        <w:tc>
          <w:tcPr>
            <w:tcW w:w="5320" w:type="dxa"/>
            <w:vAlign w:val="bottom"/>
            <w:tcBorders>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280" w:type="dxa"/>
            <w:vAlign w:val="bottom"/>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212,927</w:t>
            </w:r>
          </w:p>
        </w:tc>
        <w:tc>
          <w:tcPr>
            <w:tcW w:w="280" w:type="dxa"/>
            <w:vAlign w:val="bottom"/>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319,390</w:t>
            </w:r>
          </w:p>
        </w:tc>
      </w:tr>
      <w:tr>
        <w:trPr>
          <w:trHeight w:val="235"/>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Richard G. Erstad</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211,241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316,862</w:t>
            </w:r>
          </w:p>
        </w:tc>
      </w:tr>
      <w:tr>
        <w:trPr>
          <w:trHeight w:val="236"/>
        </w:trPr>
        <w:tc>
          <w:tcPr>
            <w:tcW w:w="5320" w:type="dxa"/>
            <w:vAlign w:val="bottom"/>
            <w:tcBorders>
              <w:left w:val="single" w:sz="8" w:color="auto"/>
              <w:bottom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David. J. Mangine</w:t>
            </w:r>
          </w:p>
        </w:tc>
        <w:tc>
          <w:tcPr>
            <w:tcW w:w="280" w:type="dxa"/>
            <w:vAlign w:val="bottom"/>
            <w:tcBorders>
              <w:bottom w:val="single" w:sz="8" w:color="auto"/>
            </w:tcBorders>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194,998</w:t>
            </w:r>
          </w:p>
        </w:tc>
        <w:tc>
          <w:tcPr>
            <w:tcW w:w="280" w:type="dxa"/>
            <w:vAlign w:val="bottom"/>
            <w:tcBorders>
              <w:bottom w:val="single" w:sz="8" w:color="auto"/>
            </w:tcBorders>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292,497</w:t>
            </w:r>
          </w:p>
        </w:tc>
      </w:tr>
    </w:tbl>
    <w:p>
      <w:pPr>
        <w:spacing w:after="0" w:line="143" w:lineRule="exact"/>
        <w:rPr>
          <w:sz w:val="20"/>
          <w:szCs w:val="20"/>
          <w:color w:val="auto"/>
        </w:rPr>
      </w:pPr>
    </w:p>
    <w:p>
      <w:pPr>
        <w:ind w:left="420" w:right="260" w:hanging="412"/>
        <w:spacing w:after="0" w:line="262"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the descripton of target levels of corporate performance and business unit performance, as described under “Annual Non-Equity Incentve Compensaton” in the Compensaton Discussion and Analysis above. The amounts reported for fscal 2023 were paid in fscal 2024 promptly afer approval by the Compensaton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 w:name="page24"/>
    <w:bookmarkEnd w:id="23"/>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reported for fscal 2023 include:</w:t>
      </w:r>
    </w:p>
    <w:p>
      <w:pPr>
        <w:spacing w:after="0" w:line="19" w:lineRule="exact"/>
        <w:rPr>
          <w:rFonts w:ascii="Arial" w:cs="Arial" w:eastAsia="Arial" w:hAnsi="Arial"/>
          <w:sz w:val="18"/>
          <w:szCs w:val="18"/>
          <w:color w:val="auto"/>
        </w:rPr>
      </w:pPr>
    </w:p>
    <w:p>
      <w:pPr>
        <w:ind w:left="740" w:right="20" w:hanging="327"/>
        <w:spacing w:after="0" w:line="260"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Contributons by the company on behalf of each of each of our named executve ofcers to our nonqualifed deferred compensaton plan, proft sharing plan, ESOP and employer matching contributons to our 401(k) plan, if applicable, as set forth below.</w:t>
      </w:r>
    </w:p>
    <w:p>
      <w:pPr>
        <w:spacing w:after="0" w:line="12" w:lineRule="exact"/>
        <w:rPr>
          <w:sz w:val="20"/>
          <w:szCs w:val="20"/>
          <w:color w:val="auto"/>
        </w:rPr>
      </w:pPr>
    </w:p>
    <w:tbl>
      <w:tblPr>
        <w:tblLayout w:type="fixed"/>
        <w:tblInd w:w="750" w:type="dxa"/>
        <w:tblCellMar>
          <w:top w:w="0" w:type="dxa"/>
          <w:left w:w="0" w:type="dxa"/>
          <w:bottom w:w="0" w:type="dxa"/>
          <w:right w:w="0" w:type="dxa"/>
        </w:tblCellMar>
      </w:tblPr>
      <w:tr>
        <w:trPr>
          <w:trHeight w:val="135"/>
        </w:trPr>
        <w:tc>
          <w:tcPr>
            <w:tcW w:w="2840" w:type="dxa"/>
            <w:vAlign w:val="bottom"/>
            <w:tcBorders>
              <w:top w:val="single" w:sz="8" w:color="auto"/>
              <w:lef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5"/>
              </w:rPr>
              <w:t>Nonqualifed Deferred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0"/>
              </w:rPr>
              <w:t>Proft Sharing Plan</w:t>
            </w: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ESOP</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w w:val="99"/>
              </w:rPr>
              <w:t>Employer Matching</w:t>
            </w: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Compensaton Plan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right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Contributon to 401(k)</w:t>
            </w:r>
          </w:p>
        </w:tc>
        <w:tc>
          <w:tcPr>
            <w:tcW w:w="0" w:type="dxa"/>
            <w:vAlign w:val="bottom"/>
          </w:tcPr>
          <w:p>
            <w:pPr>
              <w:spacing w:after="0"/>
              <w:rPr>
                <w:sz w:val="1"/>
                <w:szCs w:val="1"/>
                <w:color w:val="auto"/>
              </w:rPr>
            </w:pPr>
          </w:p>
        </w:tc>
      </w:tr>
      <w:tr>
        <w:trPr>
          <w:trHeight w:val="32"/>
        </w:trPr>
        <w:tc>
          <w:tcPr>
            <w:tcW w:w="28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B3B3B3"/>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60" w:type="dxa"/>
            <w:vAlign w:val="bottom"/>
            <w:shd w:val="clear" w:color="auto" w:fill="B3B3B3"/>
          </w:tcPr>
          <w:p>
            <w:pPr>
              <w:spacing w:after="0"/>
              <w:rPr>
                <w:sz w:val="19"/>
                <w:szCs w:val="19"/>
                <w:color w:val="auto"/>
              </w:rPr>
            </w:pP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30,500</w:t>
            </w:r>
          </w:p>
        </w:tc>
        <w:tc>
          <w:tcPr>
            <w:tcW w:w="120" w:type="dxa"/>
            <w:vAlign w:val="bottom"/>
            <w:shd w:val="clear" w:color="auto" w:fill="B3B3B3"/>
          </w:tcPr>
          <w:p>
            <w:pPr>
              <w:spacing w:after="0"/>
              <w:rPr>
                <w:sz w:val="19"/>
                <w:szCs w:val="19"/>
                <w:color w:val="auto"/>
              </w:rPr>
            </w:pPr>
          </w:p>
        </w:tc>
        <w:tc>
          <w:tcPr>
            <w:tcW w:w="100" w:type="dxa"/>
            <w:vAlign w:val="bottom"/>
            <w:shd w:val="clear" w:color="auto" w:fill="B3B3B3"/>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3B3B3"/>
          </w:tcPr>
          <w:p>
            <w:pPr>
              <w:spacing w:after="0"/>
              <w:rPr>
                <w:sz w:val="19"/>
                <w:szCs w:val="19"/>
                <w:color w:val="auto"/>
              </w:rPr>
            </w:pPr>
          </w:p>
        </w:tc>
        <w:tc>
          <w:tcPr>
            <w:tcW w:w="320" w:type="dxa"/>
            <w:vAlign w:val="bottom"/>
            <w:shd w:val="clear" w:color="auto" w:fill="B3B3B3"/>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3B3B3"/>
          </w:tcPr>
          <w:p>
            <w:pPr>
              <w:spacing w:after="0"/>
              <w:rPr>
                <w:sz w:val="19"/>
                <w:szCs w:val="19"/>
                <w:color w:val="auto"/>
              </w:rPr>
            </w:pPr>
          </w:p>
        </w:tc>
        <w:tc>
          <w:tcPr>
            <w:tcW w:w="18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35"/>
        </w:trPr>
        <w:tc>
          <w:tcPr>
            <w:tcW w:w="28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Jefrey P. Oldenkamp</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7,625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38"/>
        </w:trPr>
        <w:tc>
          <w:tcPr>
            <w:tcW w:w="2840" w:type="dxa"/>
            <w:vAlign w:val="bottom"/>
            <w:tcBorders>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3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7,625</w:t>
            </w:r>
          </w:p>
        </w:tc>
        <w:tc>
          <w:tcPr>
            <w:tcW w:w="440" w:type="dxa"/>
            <w:vAlign w:val="bottom"/>
            <w:gridSpan w:val="2"/>
            <w:shd w:val="clear" w:color="auto" w:fill="B3B3B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7,625</w:t>
            </w:r>
          </w:p>
        </w:tc>
        <w:tc>
          <w:tcPr>
            <w:tcW w:w="28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28"/>
        </w:trPr>
        <w:tc>
          <w:tcPr>
            <w:tcW w:w="28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Richard G. Erstad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14,850</w:t>
            </w:r>
          </w:p>
        </w:tc>
        <w:tc>
          <w:tcPr>
            <w:tcW w:w="0" w:type="dxa"/>
            <w:vAlign w:val="bottom"/>
          </w:tcPr>
          <w:p>
            <w:pPr>
              <w:spacing w:after="0"/>
              <w:rPr>
                <w:sz w:val="1"/>
                <w:szCs w:val="1"/>
                <w:color w:val="auto"/>
              </w:rPr>
            </w:pPr>
          </w:p>
        </w:tc>
      </w:tr>
      <w:tr>
        <w:trPr>
          <w:trHeight w:val="238"/>
        </w:trPr>
        <w:tc>
          <w:tcPr>
            <w:tcW w:w="2840" w:type="dxa"/>
            <w:vAlign w:val="bottom"/>
            <w:tcBorders>
              <w:left w:val="single" w:sz="8" w:color="auto"/>
              <w:bottom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David J. Mangine</w:t>
            </w:r>
          </w:p>
        </w:tc>
        <w:tc>
          <w:tcPr>
            <w:tcW w:w="32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30,500</w:t>
            </w:r>
          </w:p>
        </w:tc>
        <w:tc>
          <w:tcPr>
            <w:tcW w:w="22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shd w:val="clear" w:color="auto" w:fill="B3B3B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740" w:right="80"/>
        <w:spacing w:after="0" w:line="258" w:lineRule="auto"/>
        <w:rPr>
          <w:sz w:val="20"/>
          <w:szCs w:val="20"/>
          <w:color w:val="auto"/>
        </w:rPr>
      </w:pPr>
      <w:r>
        <w:rPr>
          <w:rFonts w:ascii="Arial" w:cs="Arial" w:eastAsia="Arial" w:hAnsi="Arial"/>
          <w:sz w:val="18"/>
          <w:szCs w:val="18"/>
          <w:color w:val="auto"/>
        </w:rPr>
        <w:t>The remaining amount included for each individual, if any, consists of the personal value of a company-provided car (based on the incremental cost to the company, calculated as the personal use porton of the amortzed cost of acquiring and operatng the car). For income tax purposes, the amount included in the executve ofcer’s income is based on IRS regulatons. The company does not provide the named executve ofcers with any tax reimbursement or gross-up of this amount.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None of the named executve ofcers have employment agreements with us.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informaton concerning grants of plan-based awards to our named executve ofcers during fscal 2023.</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486"/>
        </w:trPr>
        <w:tc>
          <w:tcPr>
            <w:tcW w:w="134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Estmated Future Payouts Under</w:t>
            </w:r>
          </w:p>
        </w:tc>
        <w:tc>
          <w:tcPr>
            <w:tcW w:w="10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Estmated Future Payouts Under</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Non-Equity Incentve Plan Awards(a)</w:t>
            </w:r>
          </w:p>
        </w:tc>
        <w:tc>
          <w:tcPr>
            <w:tcW w:w="100" w:type="dxa"/>
            <w:vAlign w:val="bottom"/>
          </w:tcPr>
          <w:p>
            <w:pPr>
              <w:spacing w:after="0"/>
              <w:rPr>
                <w:sz w:val="15"/>
                <w:szCs w:val="15"/>
                <w:color w:val="auto"/>
              </w:rPr>
            </w:pP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Equity Incentve Plan Awards(b)</w:t>
            </w:r>
          </w:p>
        </w:tc>
        <w:tc>
          <w:tcPr>
            <w:tcW w:w="1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3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Value of Stock</w:t>
            </w:r>
          </w:p>
        </w:tc>
        <w:tc>
          <w:tcPr>
            <w:tcW w:w="0" w:type="dxa"/>
            <w:vAlign w:val="bottom"/>
          </w:tcPr>
          <w:p>
            <w:pPr>
              <w:spacing w:after="0"/>
              <w:rPr>
                <w:sz w:val="1"/>
                <w:szCs w:val="1"/>
                <w:color w:val="auto"/>
              </w:rPr>
            </w:pPr>
          </w:p>
        </w:tc>
      </w:tr>
      <w:tr>
        <w:trPr>
          <w:trHeight w:val="146"/>
        </w:trPr>
        <w:tc>
          <w:tcPr>
            <w:tcW w:w="14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right"/>
              <w:ind w:right="293"/>
              <w:spacing w:after="0" w:line="146"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900" w:type="dxa"/>
            <w:vAlign w:val="bottom"/>
          </w:tcPr>
          <w:p>
            <w:pPr>
              <w:jc w:val="right"/>
              <w:ind w:right="84"/>
              <w:spacing w:after="0" w:line="146" w:lineRule="exact"/>
              <w:rPr>
                <w:sz w:val="20"/>
                <w:szCs w:val="20"/>
                <w:color w:val="auto"/>
              </w:rPr>
            </w:pPr>
            <w:r>
              <w:rPr>
                <w:rFonts w:ascii="Arial" w:cs="Arial" w:eastAsia="Arial" w:hAnsi="Arial"/>
                <w:sz w:val="14"/>
                <w:szCs w:val="14"/>
                <w:b w:val="1"/>
                <w:bCs w:val="1"/>
                <w:color w:val="auto"/>
              </w:rPr>
              <w:t>Threshold</w:t>
            </w:r>
          </w:p>
        </w:tc>
        <w:tc>
          <w:tcPr>
            <w:tcW w:w="120" w:type="dxa"/>
            <w:vAlign w:val="bottom"/>
          </w:tcPr>
          <w:p>
            <w:pPr>
              <w:spacing w:after="0"/>
              <w:rPr>
                <w:sz w:val="12"/>
                <w:szCs w:val="12"/>
                <w:color w:val="auto"/>
              </w:rPr>
            </w:pPr>
          </w:p>
        </w:tc>
        <w:tc>
          <w:tcPr>
            <w:tcW w:w="900" w:type="dxa"/>
            <w:vAlign w:val="bottom"/>
          </w:tcPr>
          <w:p>
            <w:pPr>
              <w:ind w:left="260"/>
              <w:spacing w:after="0" w:line="146" w:lineRule="exact"/>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2"/>
                <w:szCs w:val="12"/>
                <w:color w:val="auto"/>
              </w:rPr>
            </w:pPr>
          </w:p>
        </w:tc>
        <w:tc>
          <w:tcPr>
            <w:tcW w:w="940" w:type="dxa"/>
            <w:vAlign w:val="bottom"/>
          </w:tcPr>
          <w:p>
            <w:pPr>
              <w:jc w:val="right"/>
              <w:ind w:right="79"/>
              <w:spacing w:after="0" w:line="146"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2"/>
                <w:szCs w:val="12"/>
                <w:color w:val="auto"/>
              </w:rPr>
            </w:pPr>
          </w:p>
        </w:tc>
        <w:tc>
          <w:tcPr>
            <w:tcW w:w="920" w:type="dxa"/>
            <w:vAlign w:val="bottom"/>
          </w:tcPr>
          <w:p>
            <w:pPr>
              <w:jc w:val="right"/>
              <w:ind w:right="88"/>
              <w:spacing w:after="0" w:line="146" w:lineRule="exact"/>
              <w:rPr>
                <w:sz w:val="20"/>
                <w:szCs w:val="20"/>
                <w:color w:val="auto"/>
              </w:rPr>
            </w:pPr>
            <w:r>
              <w:rPr>
                <w:rFonts w:ascii="Arial" w:cs="Arial" w:eastAsia="Arial" w:hAnsi="Arial"/>
                <w:sz w:val="14"/>
                <w:szCs w:val="14"/>
                <w:b w:val="1"/>
                <w:bCs w:val="1"/>
                <w:color w:val="auto"/>
              </w:rPr>
              <w:t>Threshold</w:t>
            </w:r>
          </w:p>
        </w:tc>
        <w:tc>
          <w:tcPr>
            <w:tcW w:w="1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4"/>
              </w:rPr>
              <w:t>Target</w:t>
            </w:r>
          </w:p>
        </w:tc>
        <w:tc>
          <w:tcPr>
            <w:tcW w:w="120" w:type="dxa"/>
            <w:vAlign w:val="bottom"/>
          </w:tcPr>
          <w:p>
            <w:pPr>
              <w:spacing w:after="0"/>
              <w:rPr>
                <w:sz w:val="12"/>
                <w:szCs w:val="12"/>
                <w:color w:val="auto"/>
              </w:rPr>
            </w:pPr>
          </w:p>
        </w:tc>
        <w:tc>
          <w:tcPr>
            <w:tcW w:w="900" w:type="dxa"/>
            <w:vAlign w:val="bottom"/>
          </w:tcPr>
          <w:p>
            <w:pPr>
              <w:jc w:val="right"/>
              <w:ind w:right="68"/>
              <w:spacing w:after="0" w:line="146"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2"/>
                <w:szCs w:val="12"/>
                <w:color w:val="auto"/>
              </w:rPr>
            </w:pPr>
          </w:p>
        </w:tc>
        <w:tc>
          <w:tcPr>
            <w:tcW w:w="13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84"/>
        </w:trPr>
        <w:tc>
          <w:tcPr>
            <w:tcW w:w="1480" w:type="dxa"/>
            <w:vAlign w:val="bottom"/>
            <w:tcBorders>
              <w:left w:val="single" w:sz="8" w:color="auto"/>
            </w:tcBorders>
            <w:gridSpan w:val="2"/>
            <w:vMerge w:val="continue"/>
          </w:tcPr>
          <w:p>
            <w:pPr>
              <w:spacing w:after="0"/>
              <w:rPr>
                <w:sz w:val="15"/>
                <w:szCs w:val="15"/>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right"/>
              <w:ind w:right="304"/>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32"/>
        </w:trPr>
        <w:tc>
          <w:tcPr>
            <w:tcW w:w="13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tcBorders>
            <w:shd w:val="clear" w:color="auto" w:fill="B3B3B3"/>
          </w:tcPr>
          <w:p>
            <w:pPr>
              <w:ind w:left="40"/>
              <w:spacing w:after="0" w:line="169" w:lineRule="exact"/>
              <w:rPr>
                <w:sz w:val="20"/>
                <w:szCs w:val="20"/>
                <w:color w:val="auto"/>
              </w:rPr>
            </w:pPr>
            <w:r>
              <w:rPr>
                <w:rFonts w:ascii="Arial" w:cs="Arial" w:eastAsia="Arial" w:hAnsi="Arial"/>
                <w:sz w:val="18"/>
                <w:szCs w:val="18"/>
                <w:color w:val="auto"/>
              </w:rPr>
              <w:t>Patrick H.</w:t>
            </w:r>
          </w:p>
        </w:tc>
        <w:tc>
          <w:tcPr>
            <w:tcW w:w="140" w:type="dxa"/>
            <w:vAlign w:val="bottom"/>
            <w:shd w:val="clear" w:color="auto" w:fill="B3B3B3"/>
          </w:tcPr>
          <w:p>
            <w:pPr>
              <w:spacing w:after="0"/>
              <w:rPr>
                <w:sz w:val="14"/>
                <w:szCs w:val="14"/>
                <w:color w:val="auto"/>
              </w:rPr>
            </w:pPr>
          </w:p>
        </w:tc>
        <w:tc>
          <w:tcPr>
            <w:tcW w:w="1100" w:type="dxa"/>
            <w:vAlign w:val="bottom"/>
            <w:shd w:val="clear" w:color="auto" w:fill="B3B3B3"/>
          </w:tcPr>
          <w:p>
            <w:pPr>
              <w:jc w:val="right"/>
              <w:spacing w:after="0" w:line="169" w:lineRule="exact"/>
              <w:rPr>
                <w:sz w:val="20"/>
                <w:szCs w:val="20"/>
                <w:color w:val="auto"/>
              </w:rPr>
            </w:pPr>
            <w:r>
              <w:rPr>
                <w:rFonts w:ascii="Arial" w:cs="Arial" w:eastAsia="Arial" w:hAnsi="Arial"/>
                <w:sz w:val="18"/>
                <w:szCs w:val="18"/>
                <w:color w:val="auto"/>
              </w:rPr>
              <w:t>5/18/2022</w:t>
            </w:r>
          </w:p>
        </w:tc>
        <w:tc>
          <w:tcPr>
            <w:tcW w:w="120" w:type="dxa"/>
            <w:vAlign w:val="bottom"/>
            <w:shd w:val="clear" w:color="auto" w:fill="B3B3B3"/>
          </w:tcPr>
          <w:p>
            <w:pPr>
              <w:spacing w:after="0"/>
              <w:rPr>
                <w:sz w:val="14"/>
                <w:szCs w:val="14"/>
                <w:color w:val="auto"/>
              </w:rPr>
            </w:pPr>
          </w:p>
        </w:tc>
        <w:tc>
          <w:tcPr>
            <w:tcW w:w="900" w:type="dxa"/>
            <w:vAlign w:val="bottom"/>
            <w:shd w:val="clear" w:color="auto" w:fill="B3B3B3"/>
          </w:tcPr>
          <w:p>
            <w:pPr>
              <w:jc w:val="right"/>
              <w:spacing w:after="0" w:line="169" w:lineRule="exact"/>
              <w:rPr>
                <w:sz w:val="20"/>
                <w:szCs w:val="20"/>
                <w:color w:val="auto"/>
              </w:rPr>
            </w:pPr>
            <w:r>
              <w:rPr>
                <w:rFonts w:ascii="Arial" w:cs="Arial" w:eastAsia="Arial" w:hAnsi="Arial"/>
                <w:sz w:val="18"/>
                <w:szCs w:val="18"/>
                <w:color w:val="auto"/>
              </w:rPr>
              <w:t>307,500</w:t>
            </w:r>
          </w:p>
        </w:tc>
        <w:tc>
          <w:tcPr>
            <w:tcW w:w="120" w:type="dxa"/>
            <w:vAlign w:val="bottom"/>
            <w:shd w:val="clear" w:color="auto" w:fill="B3B3B3"/>
          </w:tcPr>
          <w:p>
            <w:pPr>
              <w:spacing w:after="0"/>
              <w:rPr>
                <w:sz w:val="14"/>
                <w:szCs w:val="14"/>
                <w:color w:val="auto"/>
              </w:rPr>
            </w:pPr>
          </w:p>
        </w:tc>
        <w:tc>
          <w:tcPr>
            <w:tcW w:w="900" w:type="dxa"/>
            <w:vAlign w:val="bottom"/>
            <w:shd w:val="clear" w:color="auto" w:fill="B3B3B3"/>
          </w:tcPr>
          <w:p>
            <w:pPr>
              <w:ind w:left="260"/>
              <w:spacing w:after="0" w:line="169" w:lineRule="exact"/>
              <w:rPr>
                <w:sz w:val="20"/>
                <w:szCs w:val="20"/>
                <w:color w:val="auto"/>
              </w:rPr>
            </w:pPr>
            <w:r>
              <w:rPr>
                <w:rFonts w:ascii="Arial" w:cs="Arial" w:eastAsia="Arial" w:hAnsi="Arial"/>
                <w:sz w:val="18"/>
                <w:szCs w:val="18"/>
                <w:color w:val="auto"/>
                <w:w w:val="95"/>
              </w:rPr>
              <w:t>615,000</w:t>
            </w:r>
          </w:p>
        </w:tc>
        <w:tc>
          <w:tcPr>
            <w:tcW w:w="120" w:type="dxa"/>
            <w:vAlign w:val="bottom"/>
            <w:shd w:val="clear" w:color="auto" w:fill="B3B3B3"/>
          </w:tcPr>
          <w:p>
            <w:pPr>
              <w:spacing w:after="0"/>
              <w:rPr>
                <w:sz w:val="14"/>
                <w:szCs w:val="14"/>
                <w:color w:val="auto"/>
              </w:rPr>
            </w:pPr>
          </w:p>
        </w:tc>
        <w:tc>
          <w:tcPr>
            <w:tcW w:w="940" w:type="dxa"/>
            <w:vAlign w:val="bottom"/>
            <w:shd w:val="clear" w:color="auto" w:fill="B3B3B3"/>
          </w:tcPr>
          <w:p>
            <w:pPr>
              <w:jc w:val="right"/>
              <w:spacing w:after="0" w:line="169" w:lineRule="exact"/>
              <w:rPr>
                <w:sz w:val="20"/>
                <w:szCs w:val="20"/>
                <w:color w:val="auto"/>
              </w:rPr>
            </w:pPr>
            <w:r>
              <w:rPr>
                <w:rFonts w:ascii="Arial" w:cs="Arial" w:eastAsia="Arial" w:hAnsi="Arial"/>
                <w:sz w:val="18"/>
                <w:szCs w:val="18"/>
                <w:color w:val="auto"/>
              </w:rPr>
              <w:t>1,230,000</w:t>
            </w:r>
          </w:p>
        </w:tc>
        <w:tc>
          <w:tcPr>
            <w:tcW w:w="100" w:type="dxa"/>
            <w:vAlign w:val="bottom"/>
            <w:shd w:val="clear" w:color="auto" w:fill="B3B3B3"/>
          </w:tcPr>
          <w:p>
            <w:pPr>
              <w:spacing w:after="0"/>
              <w:rPr>
                <w:sz w:val="14"/>
                <w:szCs w:val="14"/>
                <w:color w:val="auto"/>
              </w:rPr>
            </w:pPr>
          </w:p>
        </w:tc>
        <w:tc>
          <w:tcPr>
            <w:tcW w:w="920" w:type="dxa"/>
            <w:vAlign w:val="bottom"/>
            <w:shd w:val="clear" w:color="auto" w:fill="B3B3B3"/>
          </w:tcPr>
          <w:p>
            <w:pPr>
              <w:spacing w:after="0"/>
              <w:rPr>
                <w:sz w:val="14"/>
                <w:szCs w:val="14"/>
                <w:color w:val="auto"/>
              </w:rPr>
            </w:pPr>
          </w:p>
        </w:tc>
        <w:tc>
          <w:tcPr>
            <w:tcW w:w="120" w:type="dxa"/>
            <w:vAlign w:val="bottom"/>
            <w:shd w:val="clear" w:color="auto" w:fill="B3B3B3"/>
          </w:tcPr>
          <w:p>
            <w:pPr>
              <w:spacing w:after="0"/>
              <w:rPr>
                <w:sz w:val="14"/>
                <w:szCs w:val="14"/>
                <w:color w:val="auto"/>
              </w:rPr>
            </w:pPr>
          </w:p>
        </w:tc>
        <w:tc>
          <w:tcPr>
            <w:tcW w:w="880" w:type="dxa"/>
            <w:vAlign w:val="bottom"/>
            <w:shd w:val="clear" w:color="auto" w:fill="B3B3B3"/>
          </w:tcPr>
          <w:p>
            <w:pPr>
              <w:spacing w:after="0"/>
              <w:rPr>
                <w:sz w:val="14"/>
                <w:szCs w:val="14"/>
                <w:color w:val="auto"/>
              </w:rPr>
            </w:pPr>
          </w:p>
        </w:tc>
        <w:tc>
          <w:tcPr>
            <w:tcW w:w="120" w:type="dxa"/>
            <w:vAlign w:val="bottom"/>
            <w:shd w:val="clear" w:color="auto" w:fill="B3B3B3"/>
          </w:tcPr>
          <w:p>
            <w:pPr>
              <w:spacing w:after="0"/>
              <w:rPr>
                <w:sz w:val="14"/>
                <w:szCs w:val="14"/>
                <w:color w:val="auto"/>
              </w:rPr>
            </w:pPr>
          </w:p>
        </w:tc>
        <w:tc>
          <w:tcPr>
            <w:tcW w:w="900" w:type="dxa"/>
            <w:vAlign w:val="bottom"/>
            <w:shd w:val="clear" w:color="auto" w:fill="B3B3B3"/>
          </w:tcPr>
          <w:p>
            <w:pPr>
              <w:spacing w:after="0"/>
              <w:rPr>
                <w:sz w:val="14"/>
                <w:szCs w:val="14"/>
                <w:color w:val="auto"/>
              </w:rPr>
            </w:pPr>
          </w:p>
        </w:tc>
        <w:tc>
          <w:tcPr>
            <w:tcW w:w="120" w:type="dxa"/>
            <w:vAlign w:val="bottom"/>
            <w:shd w:val="clear" w:color="auto" w:fill="B3B3B3"/>
          </w:tcPr>
          <w:p>
            <w:pPr>
              <w:spacing w:after="0"/>
              <w:rPr>
                <w:sz w:val="14"/>
                <w:szCs w:val="14"/>
                <w:color w:val="auto"/>
              </w:rPr>
            </w:pPr>
          </w:p>
        </w:tc>
        <w:tc>
          <w:tcPr>
            <w:tcW w:w="1340" w:type="dxa"/>
            <w:vAlign w:val="bottom"/>
            <w:tcBorders>
              <w:right w:val="single" w:sz="8" w:color="auto"/>
            </w:tcBorders>
            <w:shd w:val="clear" w:color="auto" w:fill="B3B3B3"/>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4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Hawkins</w:t>
            </w: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5/18/2022</w:t>
            </w:r>
          </w:p>
        </w:tc>
        <w:tc>
          <w:tcPr>
            <w:tcW w:w="120" w:type="dxa"/>
            <w:vAlign w:val="bottom"/>
            <w:shd w:val="clear" w:color="auto" w:fill="B3B3B3"/>
          </w:tcPr>
          <w:p>
            <w:pPr>
              <w:spacing w:after="0"/>
              <w:rPr>
                <w:sz w:val="19"/>
                <w:szCs w:val="19"/>
                <w:color w:val="auto"/>
              </w:rPr>
            </w:pPr>
          </w:p>
        </w:tc>
        <w:tc>
          <w:tcPr>
            <w:tcW w:w="90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90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1020" w:type="dxa"/>
            <w:vAlign w:val="bottom"/>
            <w:gridSpan w:val="2"/>
            <w:vMerge w:val="restart"/>
            <w:shd w:val="clear" w:color="auto" w:fill="B3B3B3"/>
          </w:tcPr>
          <w:p>
            <w:pPr>
              <w:jc w:val="right"/>
              <w:ind w:right="8"/>
              <w:spacing w:after="0"/>
              <w:rPr>
                <w:sz w:val="20"/>
                <w:szCs w:val="20"/>
                <w:color w:val="auto"/>
              </w:rPr>
            </w:pPr>
            <w:r>
              <w:rPr>
                <w:rFonts w:ascii="Arial" w:cs="Arial" w:eastAsia="Arial" w:hAnsi="Arial"/>
                <w:sz w:val="18"/>
                <w:szCs w:val="18"/>
                <w:color w:val="auto"/>
              </w:rPr>
              <w:t>8,026</w:t>
            </w:r>
          </w:p>
        </w:tc>
        <w:tc>
          <w:tcPr>
            <w:tcW w:w="1000" w:type="dxa"/>
            <w:vAlign w:val="bottom"/>
            <w:gridSpan w:val="2"/>
            <w:vMerge w:val="restart"/>
            <w:shd w:val="clear" w:color="auto" w:fill="B3B3B3"/>
          </w:tcPr>
          <w:p>
            <w:pPr>
              <w:jc w:val="right"/>
              <w:spacing w:after="0"/>
              <w:rPr>
                <w:sz w:val="20"/>
                <w:szCs w:val="20"/>
                <w:color w:val="auto"/>
              </w:rPr>
            </w:pPr>
            <w:r>
              <w:rPr>
                <w:rFonts w:ascii="Arial" w:cs="Arial" w:eastAsia="Arial" w:hAnsi="Arial"/>
                <w:sz w:val="18"/>
                <w:szCs w:val="18"/>
                <w:color w:val="auto"/>
              </w:rPr>
              <w:t>16,052</w:t>
            </w:r>
          </w:p>
        </w:tc>
        <w:tc>
          <w:tcPr>
            <w:tcW w:w="1020" w:type="dxa"/>
            <w:vAlign w:val="bottom"/>
            <w:gridSpan w:val="2"/>
            <w:vMerge w:val="restart"/>
            <w:shd w:val="clear" w:color="auto" w:fill="B3B3B3"/>
          </w:tcPr>
          <w:p>
            <w:pPr>
              <w:jc w:val="right"/>
              <w:spacing w:after="0"/>
              <w:rPr>
                <w:sz w:val="20"/>
                <w:szCs w:val="20"/>
                <w:color w:val="auto"/>
              </w:rPr>
            </w:pPr>
            <w:r>
              <w:rPr>
                <w:rFonts w:ascii="Arial" w:cs="Arial" w:eastAsia="Arial" w:hAnsi="Arial"/>
                <w:sz w:val="18"/>
                <w:szCs w:val="18"/>
                <w:color w:val="auto"/>
              </w:rPr>
              <w:t>24,078</w:t>
            </w:r>
          </w:p>
        </w:tc>
        <w:tc>
          <w:tcPr>
            <w:tcW w:w="1460" w:type="dxa"/>
            <w:vAlign w:val="bottom"/>
            <w:tcBorders>
              <w:right w:val="single" w:sz="8" w:color="auto"/>
            </w:tcBorders>
            <w:gridSpan w:val="2"/>
            <w:vMerge w:val="restart"/>
            <w:shd w:val="clear" w:color="auto" w:fill="B3B3B3"/>
          </w:tcPr>
          <w:p>
            <w:pPr>
              <w:jc w:val="right"/>
              <w:ind w:right="8"/>
              <w:spacing w:after="0"/>
              <w:rPr>
                <w:sz w:val="20"/>
                <w:szCs w:val="20"/>
                <w:color w:val="auto"/>
              </w:rPr>
            </w:pPr>
            <w:r>
              <w:rPr>
                <w:rFonts w:ascii="Arial" w:cs="Arial" w:eastAsia="Arial" w:hAnsi="Arial"/>
                <w:sz w:val="18"/>
                <w:szCs w:val="18"/>
                <w:color w:val="auto"/>
              </w:rPr>
              <w:t>614,952</w:t>
            </w:r>
          </w:p>
        </w:tc>
        <w:tc>
          <w:tcPr>
            <w:tcW w:w="0" w:type="dxa"/>
            <w:vAlign w:val="bottom"/>
          </w:tcPr>
          <w:p>
            <w:pPr>
              <w:spacing w:after="0"/>
              <w:rPr>
                <w:sz w:val="1"/>
                <w:szCs w:val="1"/>
                <w:color w:val="auto"/>
              </w:rPr>
            </w:pPr>
          </w:p>
        </w:tc>
      </w:tr>
      <w:tr>
        <w:trPr>
          <w:trHeight w:val="77"/>
        </w:trPr>
        <w:tc>
          <w:tcPr>
            <w:tcW w:w="1340" w:type="dxa"/>
            <w:vAlign w:val="bottom"/>
            <w:tcBorders>
              <w:left w:val="single" w:sz="8" w:color="auto"/>
              <w:bottom w:val="single" w:sz="8" w:color="B3B3B3"/>
            </w:tcBorders>
            <w:shd w:val="clear" w:color="auto" w:fill="B3B3B3"/>
          </w:tcPr>
          <w:p>
            <w:pPr>
              <w:spacing w:after="0"/>
              <w:rPr>
                <w:sz w:val="6"/>
                <w:szCs w:val="6"/>
                <w:color w:val="auto"/>
              </w:rPr>
            </w:pPr>
          </w:p>
        </w:tc>
        <w:tc>
          <w:tcPr>
            <w:tcW w:w="140" w:type="dxa"/>
            <w:vAlign w:val="bottom"/>
            <w:tcBorders>
              <w:bottom w:val="single" w:sz="8" w:color="B3B3B3"/>
            </w:tcBorders>
            <w:shd w:val="clear" w:color="auto" w:fill="B3B3B3"/>
          </w:tcPr>
          <w:p>
            <w:pPr>
              <w:spacing w:after="0"/>
              <w:rPr>
                <w:sz w:val="6"/>
                <w:szCs w:val="6"/>
                <w:color w:val="auto"/>
              </w:rPr>
            </w:pPr>
          </w:p>
        </w:tc>
        <w:tc>
          <w:tcPr>
            <w:tcW w:w="1100" w:type="dxa"/>
            <w:vAlign w:val="bottom"/>
            <w:tcBorders>
              <w:bottom w:val="single" w:sz="8" w:color="B3B3B3"/>
            </w:tcBorders>
            <w:vMerge w:val="continue"/>
            <w:shd w:val="clear" w:color="auto" w:fill="B3B3B3"/>
          </w:tcPr>
          <w:p>
            <w:pPr>
              <w:spacing w:after="0"/>
              <w:rPr>
                <w:sz w:val="6"/>
                <w:szCs w:val="6"/>
                <w:color w:val="auto"/>
              </w:rPr>
            </w:pPr>
          </w:p>
        </w:tc>
        <w:tc>
          <w:tcPr>
            <w:tcW w:w="120" w:type="dxa"/>
            <w:vAlign w:val="bottom"/>
            <w:tcBorders>
              <w:bottom w:val="single" w:sz="8" w:color="B3B3B3"/>
            </w:tcBorders>
            <w:shd w:val="clear" w:color="auto" w:fill="B3B3B3"/>
          </w:tcPr>
          <w:p>
            <w:pPr>
              <w:spacing w:after="0"/>
              <w:rPr>
                <w:sz w:val="6"/>
                <w:szCs w:val="6"/>
                <w:color w:val="auto"/>
              </w:rPr>
            </w:pPr>
          </w:p>
        </w:tc>
        <w:tc>
          <w:tcPr>
            <w:tcW w:w="900" w:type="dxa"/>
            <w:vAlign w:val="bottom"/>
            <w:tcBorders>
              <w:bottom w:val="single" w:sz="8" w:color="B3B3B3"/>
            </w:tcBorders>
            <w:shd w:val="clear" w:color="auto" w:fill="B3B3B3"/>
          </w:tcPr>
          <w:p>
            <w:pPr>
              <w:spacing w:after="0"/>
              <w:rPr>
                <w:sz w:val="6"/>
                <w:szCs w:val="6"/>
                <w:color w:val="auto"/>
              </w:rPr>
            </w:pPr>
          </w:p>
        </w:tc>
        <w:tc>
          <w:tcPr>
            <w:tcW w:w="120" w:type="dxa"/>
            <w:vAlign w:val="bottom"/>
            <w:tcBorders>
              <w:bottom w:val="single" w:sz="8" w:color="B3B3B3"/>
            </w:tcBorders>
            <w:shd w:val="clear" w:color="auto" w:fill="B3B3B3"/>
          </w:tcPr>
          <w:p>
            <w:pPr>
              <w:spacing w:after="0"/>
              <w:rPr>
                <w:sz w:val="6"/>
                <w:szCs w:val="6"/>
                <w:color w:val="auto"/>
              </w:rPr>
            </w:pPr>
          </w:p>
        </w:tc>
        <w:tc>
          <w:tcPr>
            <w:tcW w:w="900" w:type="dxa"/>
            <w:vAlign w:val="bottom"/>
            <w:tcBorders>
              <w:bottom w:val="single" w:sz="8" w:color="B3B3B3"/>
            </w:tcBorders>
            <w:shd w:val="clear" w:color="auto" w:fill="B3B3B3"/>
          </w:tcPr>
          <w:p>
            <w:pPr>
              <w:spacing w:after="0"/>
              <w:rPr>
                <w:sz w:val="6"/>
                <w:szCs w:val="6"/>
                <w:color w:val="auto"/>
              </w:rPr>
            </w:pPr>
          </w:p>
        </w:tc>
        <w:tc>
          <w:tcPr>
            <w:tcW w:w="120" w:type="dxa"/>
            <w:vAlign w:val="bottom"/>
            <w:tcBorders>
              <w:bottom w:val="single" w:sz="8" w:color="B3B3B3"/>
            </w:tcBorders>
            <w:shd w:val="clear" w:color="auto" w:fill="B3B3B3"/>
          </w:tcPr>
          <w:p>
            <w:pPr>
              <w:spacing w:after="0"/>
              <w:rPr>
                <w:sz w:val="6"/>
                <w:szCs w:val="6"/>
                <w:color w:val="auto"/>
              </w:rPr>
            </w:pPr>
          </w:p>
        </w:tc>
        <w:tc>
          <w:tcPr>
            <w:tcW w:w="940" w:type="dxa"/>
            <w:vAlign w:val="bottom"/>
            <w:tcBorders>
              <w:bottom w:val="single" w:sz="8" w:color="B3B3B3"/>
            </w:tcBorders>
            <w:shd w:val="clear" w:color="auto" w:fill="B3B3B3"/>
          </w:tcPr>
          <w:p>
            <w:pPr>
              <w:spacing w:after="0"/>
              <w:rPr>
                <w:sz w:val="6"/>
                <w:szCs w:val="6"/>
                <w:color w:val="auto"/>
              </w:rPr>
            </w:pPr>
          </w:p>
        </w:tc>
        <w:tc>
          <w:tcPr>
            <w:tcW w:w="1020" w:type="dxa"/>
            <w:vAlign w:val="bottom"/>
            <w:tcBorders>
              <w:bottom w:val="single" w:sz="8" w:color="B3B3B3"/>
            </w:tcBorders>
            <w:gridSpan w:val="2"/>
            <w:vMerge w:val="continue"/>
            <w:shd w:val="clear" w:color="auto" w:fill="B3B3B3"/>
          </w:tcPr>
          <w:p>
            <w:pPr>
              <w:spacing w:after="0"/>
              <w:rPr>
                <w:sz w:val="6"/>
                <w:szCs w:val="6"/>
                <w:color w:val="auto"/>
              </w:rPr>
            </w:pPr>
          </w:p>
        </w:tc>
        <w:tc>
          <w:tcPr>
            <w:tcW w:w="1000" w:type="dxa"/>
            <w:vAlign w:val="bottom"/>
            <w:tcBorders>
              <w:bottom w:val="single" w:sz="8" w:color="B3B3B3"/>
            </w:tcBorders>
            <w:gridSpan w:val="2"/>
            <w:vMerge w:val="continue"/>
            <w:shd w:val="clear" w:color="auto" w:fill="B3B3B3"/>
          </w:tcPr>
          <w:p>
            <w:pPr>
              <w:spacing w:after="0"/>
              <w:rPr>
                <w:sz w:val="6"/>
                <w:szCs w:val="6"/>
                <w:color w:val="auto"/>
              </w:rPr>
            </w:pPr>
          </w:p>
        </w:tc>
        <w:tc>
          <w:tcPr>
            <w:tcW w:w="1020" w:type="dxa"/>
            <w:vAlign w:val="bottom"/>
            <w:tcBorders>
              <w:bottom w:val="single" w:sz="8" w:color="B3B3B3"/>
            </w:tcBorders>
            <w:gridSpan w:val="2"/>
            <w:vMerge w:val="continue"/>
            <w:shd w:val="clear" w:color="auto" w:fill="B3B3B3"/>
          </w:tcPr>
          <w:p>
            <w:pPr>
              <w:spacing w:after="0"/>
              <w:rPr>
                <w:sz w:val="6"/>
                <w:szCs w:val="6"/>
                <w:color w:val="auto"/>
              </w:rPr>
            </w:pPr>
          </w:p>
        </w:tc>
        <w:tc>
          <w:tcPr>
            <w:tcW w:w="1460" w:type="dxa"/>
            <w:vAlign w:val="bottom"/>
            <w:tcBorders>
              <w:bottom w:val="single" w:sz="8" w:color="B3B3B3"/>
              <w:right w:val="single" w:sz="8" w:color="auto"/>
            </w:tcBorders>
            <w:gridSpan w:val="2"/>
            <w:vMerge w:val="continue"/>
            <w:shd w:val="clear" w:color="auto" w:fill="B3B3B3"/>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tcBorders>
            <w:gridSpan w:val="2"/>
          </w:tcPr>
          <w:p>
            <w:pPr>
              <w:ind w:left="40"/>
              <w:spacing w:after="0" w:line="176" w:lineRule="exact"/>
              <w:rPr>
                <w:sz w:val="20"/>
                <w:szCs w:val="20"/>
                <w:color w:val="auto"/>
              </w:rPr>
            </w:pPr>
            <w:r>
              <w:rPr>
                <w:rFonts w:ascii="Arial" w:cs="Arial" w:eastAsia="Arial" w:hAnsi="Arial"/>
                <w:sz w:val="18"/>
                <w:szCs w:val="18"/>
                <w:color w:val="auto"/>
              </w:rPr>
              <w:t>Jefrey P.</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5/18/2022</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169,500</w:t>
            </w:r>
          </w:p>
        </w:tc>
        <w:tc>
          <w:tcPr>
            <w:tcW w:w="102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5"/>
              </w:rPr>
              <w:t>339,000</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678,000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4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Oldenkamp</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5/18/2022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4,424</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8,848</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13,272</w:t>
            </w:r>
          </w:p>
        </w:tc>
        <w:tc>
          <w:tcPr>
            <w:tcW w:w="1460" w:type="dxa"/>
            <w:vAlign w:val="bottom"/>
            <w:tcBorders>
              <w:right w:val="single" w:sz="8" w:color="auto"/>
            </w:tcBorders>
            <w:gridSpan w:val="2"/>
            <w:vMerge w:val="restart"/>
          </w:tcPr>
          <w:p>
            <w:pPr>
              <w:jc w:val="right"/>
              <w:ind w:right="8"/>
              <w:spacing w:after="0"/>
              <w:rPr>
                <w:sz w:val="20"/>
                <w:szCs w:val="20"/>
                <w:color w:val="auto"/>
              </w:rPr>
            </w:pPr>
            <w:r>
              <w:rPr>
                <w:rFonts w:ascii="Arial" w:cs="Arial" w:eastAsia="Arial" w:hAnsi="Arial"/>
                <w:sz w:val="18"/>
                <w:szCs w:val="18"/>
                <w:color w:val="auto"/>
              </w:rPr>
              <w:t>338,967</w:t>
            </w:r>
          </w:p>
        </w:tc>
        <w:tc>
          <w:tcPr>
            <w:tcW w:w="0" w:type="dxa"/>
            <w:vAlign w:val="bottom"/>
          </w:tcPr>
          <w:p>
            <w:pPr>
              <w:spacing w:after="0"/>
              <w:rPr>
                <w:sz w:val="1"/>
                <w:szCs w:val="1"/>
                <w:color w:val="auto"/>
              </w:rPr>
            </w:pPr>
          </w:p>
        </w:tc>
      </w:tr>
      <w:tr>
        <w:trPr>
          <w:trHeight w:val="76"/>
        </w:trPr>
        <w:tc>
          <w:tcPr>
            <w:tcW w:w="134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13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w w:val="97"/>
              </w:rPr>
              <w:t>Drew M. Grahek</w:t>
            </w:r>
          </w:p>
        </w:tc>
        <w:tc>
          <w:tcPr>
            <w:tcW w:w="140" w:type="dxa"/>
            <w:vAlign w:val="bottom"/>
            <w:shd w:val="clear" w:color="auto" w:fill="B3B3B3"/>
          </w:tcPr>
          <w:p>
            <w:pPr>
              <w:spacing w:after="0"/>
              <w:rPr>
                <w:sz w:val="19"/>
                <w:szCs w:val="19"/>
                <w:color w:val="auto"/>
              </w:rPr>
            </w:pPr>
          </w:p>
        </w:tc>
        <w:tc>
          <w:tcPr>
            <w:tcW w:w="11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5/18/2022</w:t>
            </w:r>
          </w:p>
        </w:tc>
        <w:tc>
          <w:tcPr>
            <w:tcW w:w="10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71,000</w:t>
            </w:r>
          </w:p>
        </w:tc>
        <w:tc>
          <w:tcPr>
            <w:tcW w:w="1020" w:type="dxa"/>
            <w:vAlign w:val="bottom"/>
            <w:gridSpan w:val="2"/>
            <w:shd w:val="clear" w:color="auto" w:fill="B3B3B3"/>
          </w:tcPr>
          <w:p>
            <w:pPr>
              <w:ind w:left="380"/>
              <w:spacing w:after="0"/>
              <w:rPr>
                <w:sz w:val="20"/>
                <w:szCs w:val="20"/>
                <w:color w:val="auto"/>
              </w:rPr>
            </w:pPr>
            <w:r>
              <w:rPr>
                <w:rFonts w:ascii="Arial" w:cs="Arial" w:eastAsia="Arial" w:hAnsi="Arial"/>
                <w:sz w:val="18"/>
                <w:szCs w:val="18"/>
                <w:color w:val="auto"/>
                <w:w w:val="95"/>
              </w:rPr>
              <w:t>142,000</w:t>
            </w:r>
          </w:p>
        </w:tc>
        <w:tc>
          <w:tcPr>
            <w:tcW w:w="10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284,000</w:t>
            </w:r>
          </w:p>
        </w:tc>
        <w:tc>
          <w:tcPr>
            <w:tcW w:w="100" w:type="dxa"/>
            <w:vAlign w:val="bottom"/>
            <w:shd w:val="clear" w:color="auto" w:fill="B3B3B3"/>
          </w:tcPr>
          <w:p>
            <w:pPr>
              <w:spacing w:after="0"/>
              <w:rPr>
                <w:sz w:val="19"/>
                <w:szCs w:val="19"/>
                <w:color w:val="auto"/>
              </w:rPr>
            </w:pPr>
          </w:p>
        </w:tc>
        <w:tc>
          <w:tcPr>
            <w:tcW w:w="92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88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90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34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340" w:type="dxa"/>
            <w:vAlign w:val="bottom"/>
            <w:tcBorders>
              <w:left w:val="single" w:sz="8" w:color="auto"/>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100" w:type="dxa"/>
            <w:vAlign w:val="bottom"/>
            <w:tcBorders>
              <w:bottom w:val="single" w:sz="8" w:color="B3B3B3"/>
            </w:tcBorders>
            <w:shd w:val="clear" w:color="auto" w:fill="B3B3B3"/>
          </w:tcPr>
          <w:p>
            <w:pPr>
              <w:jc w:val="right"/>
              <w:spacing w:after="0"/>
              <w:rPr>
                <w:sz w:val="20"/>
                <w:szCs w:val="20"/>
                <w:color w:val="auto"/>
              </w:rPr>
            </w:pPr>
            <w:r>
              <w:rPr>
                <w:rFonts w:ascii="Arial" w:cs="Arial" w:eastAsia="Arial" w:hAnsi="Arial"/>
                <w:sz w:val="18"/>
                <w:szCs w:val="18"/>
                <w:color w:val="auto"/>
              </w:rPr>
              <w:t>5/18/2022</w:t>
            </w:r>
          </w:p>
        </w:tc>
        <w:tc>
          <w:tcPr>
            <w:tcW w:w="120" w:type="dxa"/>
            <w:vAlign w:val="bottom"/>
            <w:tcBorders>
              <w:bottom w:val="single" w:sz="8" w:color="B3B3B3"/>
            </w:tcBorders>
            <w:shd w:val="clear" w:color="auto" w:fill="B3B3B3"/>
          </w:tcPr>
          <w:p>
            <w:pPr>
              <w:spacing w:after="0"/>
              <w:rPr>
                <w:sz w:val="21"/>
                <w:szCs w:val="21"/>
                <w:color w:val="auto"/>
              </w:rPr>
            </w:pPr>
          </w:p>
        </w:tc>
        <w:tc>
          <w:tcPr>
            <w:tcW w:w="900" w:type="dxa"/>
            <w:vAlign w:val="bottom"/>
            <w:tcBorders>
              <w:bottom w:val="single" w:sz="8" w:color="B3B3B3"/>
            </w:tcBorders>
            <w:shd w:val="clear" w:color="auto" w:fill="B3B3B3"/>
          </w:tcPr>
          <w:p>
            <w:pPr>
              <w:spacing w:after="0"/>
              <w:rPr>
                <w:sz w:val="21"/>
                <w:szCs w:val="21"/>
                <w:color w:val="auto"/>
              </w:rPr>
            </w:pPr>
          </w:p>
        </w:tc>
        <w:tc>
          <w:tcPr>
            <w:tcW w:w="120" w:type="dxa"/>
            <w:vAlign w:val="bottom"/>
            <w:tcBorders>
              <w:bottom w:val="single" w:sz="8" w:color="B3B3B3"/>
            </w:tcBorders>
            <w:shd w:val="clear" w:color="auto" w:fill="B3B3B3"/>
          </w:tcPr>
          <w:p>
            <w:pPr>
              <w:spacing w:after="0"/>
              <w:rPr>
                <w:sz w:val="21"/>
                <w:szCs w:val="21"/>
                <w:color w:val="auto"/>
              </w:rPr>
            </w:pPr>
          </w:p>
        </w:tc>
        <w:tc>
          <w:tcPr>
            <w:tcW w:w="900" w:type="dxa"/>
            <w:vAlign w:val="bottom"/>
            <w:tcBorders>
              <w:bottom w:val="single" w:sz="8" w:color="B3B3B3"/>
            </w:tcBorders>
            <w:shd w:val="clear" w:color="auto" w:fill="B3B3B3"/>
          </w:tcPr>
          <w:p>
            <w:pPr>
              <w:spacing w:after="0"/>
              <w:rPr>
                <w:sz w:val="21"/>
                <w:szCs w:val="21"/>
                <w:color w:val="auto"/>
              </w:rPr>
            </w:pPr>
          </w:p>
        </w:tc>
        <w:tc>
          <w:tcPr>
            <w:tcW w:w="120" w:type="dxa"/>
            <w:vAlign w:val="bottom"/>
            <w:tcBorders>
              <w:bottom w:val="single" w:sz="8" w:color="B3B3B3"/>
            </w:tcBorders>
            <w:shd w:val="clear" w:color="auto" w:fill="B3B3B3"/>
          </w:tcPr>
          <w:p>
            <w:pPr>
              <w:spacing w:after="0"/>
              <w:rPr>
                <w:sz w:val="21"/>
                <w:szCs w:val="21"/>
                <w:color w:val="auto"/>
              </w:rPr>
            </w:pPr>
          </w:p>
        </w:tc>
        <w:tc>
          <w:tcPr>
            <w:tcW w:w="940" w:type="dxa"/>
            <w:vAlign w:val="bottom"/>
            <w:tcBorders>
              <w:bottom w:val="single" w:sz="8" w:color="B3B3B3"/>
            </w:tcBorders>
            <w:shd w:val="clear" w:color="auto" w:fill="B3B3B3"/>
          </w:tcPr>
          <w:p>
            <w:pPr>
              <w:spacing w:after="0"/>
              <w:rPr>
                <w:sz w:val="21"/>
                <w:szCs w:val="21"/>
                <w:color w:val="auto"/>
              </w:rPr>
            </w:pPr>
          </w:p>
        </w:tc>
        <w:tc>
          <w:tcPr>
            <w:tcW w:w="1020" w:type="dxa"/>
            <w:vAlign w:val="bottom"/>
            <w:tcBorders>
              <w:bottom w:val="single" w:sz="8" w:color="B3B3B3"/>
            </w:tcBorders>
            <w:gridSpan w:val="2"/>
            <w:shd w:val="clear" w:color="auto" w:fill="B3B3B3"/>
          </w:tcPr>
          <w:p>
            <w:pPr>
              <w:jc w:val="right"/>
              <w:ind w:right="8"/>
              <w:spacing w:after="0"/>
              <w:rPr>
                <w:sz w:val="20"/>
                <w:szCs w:val="20"/>
                <w:color w:val="auto"/>
              </w:rPr>
            </w:pPr>
            <w:r>
              <w:rPr>
                <w:rFonts w:ascii="Arial" w:cs="Arial" w:eastAsia="Arial" w:hAnsi="Arial"/>
                <w:sz w:val="18"/>
                <w:szCs w:val="18"/>
                <w:color w:val="auto"/>
              </w:rPr>
              <w:t>2,779</w:t>
            </w:r>
          </w:p>
        </w:tc>
        <w:tc>
          <w:tcPr>
            <w:tcW w:w="1000" w:type="dxa"/>
            <w:vAlign w:val="bottom"/>
            <w:tcBorders>
              <w:bottom w:val="single" w:sz="8" w:color="B3B3B3"/>
            </w:tcBorders>
            <w:gridSpan w:val="2"/>
            <w:shd w:val="clear" w:color="auto" w:fill="B3B3B3"/>
          </w:tcPr>
          <w:p>
            <w:pPr>
              <w:jc w:val="right"/>
              <w:spacing w:after="0"/>
              <w:rPr>
                <w:sz w:val="20"/>
                <w:szCs w:val="20"/>
                <w:color w:val="auto"/>
              </w:rPr>
            </w:pPr>
            <w:r>
              <w:rPr>
                <w:rFonts w:ascii="Arial" w:cs="Arial" w:eastAsia="Arial" w:hAnsi="Arial"/>
                <w:sz w:val="18"/>
                <w:szCs w:val="18"/>
                <w:color w:val="auto"/>
              </w:rPr>
              <w:t>5,558</w:t>
            </w:r>
          </w:p>
        </w:tc>
        <w:tc>
          <w:tcPr>
            <w:tcW w:w="1020" w:type="dxa"/>
            <w:vAlign w:val="bottom"/>
            <w:tcBorders>
              <w:bottom w:val="single" w:sz="8" w:color="B3B3B3"/>
            </w:tcBorders>
            <w:gridSpan w:val="2"/>
            <w:shd w:val="clear" w:color="auto" w:fill="B3B3B3"/>
          </w:tcPr>
          <w:p>
            <w:pPr>
              <w:jc w:val="right"/>
              <w:spacing w:after="0"/>
              <w:rPr>
                <w:sz w:val="20"/>
                <w:szCs w:val="20"/>
                <w:color w:val="auto"/>
              </w:rPr>
            </w:pPr>
            <w:r>
              <w:rPr>
                <w:rFonts w:ascii="Arial" w:cs="Arial" w:eastAsia="Arial" w:hAnsi="Arial"/>
                <w:sz w:val="18"/>
                <w:szCs w:val="18"/>
                <w:color w:val="auto"/>
              </w:rPr>
              <w:t>8,337</w:t>
            </w:r>
          </w:p>
        </w:tc>
        <w:tc>
          <w:tcPr>
            <w:tcW w:w="1460" w:type="dxa"/>
            <w:vAlign w:val="bottom"/>
            <w:tcBorders>
              <w:bottom w:val="single" w:sz="8" w:color="B3B3B3"/>
              <w:right w:val="single" w:sz="8" w:color="auto"/>
            </w:tcBorders>
            <w:gridSpan w:val="2"/>
            <w:shd w:val="clear" w:color="auto" w:fill="B3B3B3"/>
          </w:tcPr>
          <w:p>
            <w:pPr>
              <w:jc w:val="right"/>
              <w:ind w:right="8"/>
              <w:spacing w:after="0"/>
              <w:rPr>
                <w:sz w:val="20"/>
                <w:szCs w:val="20"/>
                <w:color w:val="auto"/>
              </w:rPr>
            </w:pPr>
            <w:r>
              <w:rPr>
                <w:rFonts w:ascii="Arial" w:cs="Arial" w:eastAsia="Arial" w:hAnsi="Arial"/>
                <w:sz w:val="18"/>
                <w:szCs w:val="18"/>
                <w:color w:val="auto"/>
              </w:rPr>
              <w:t>212,927</w:t>
            </w:r>
          </w:p>
        </w:tc>
        <w:tc>
          <w:tcPr>
            <w:tcW w:w="0" w:type="dxa"/>
            <w:vAlign w:val="bottom"/>
          </w:tcPr>
          <w:p>
            <w:pPr>
              <w:spacing w:after="0"/>
              <w:rPr>
                <w:sz w:val="1"/>
                <w:szCs w:val="1"/>
                <w:color w:val="auto"/>
              </w:rPr>
            </w:pPr>
          </w:p>
        </w:tc>
      </w:tr>
      <w:tr>
        <w:trPr>
          <w:trHeight w:val="235"/>
        </w:trPr>
        <w:tc>
          <w:tcPr>
            <w:tcW w:w="14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99"/>
              </w:rPr>
              <w:t>Richard G. Erstad</w:t>
            </w:r>
          </w:p>
        </w:tc>
        <w:tc>
          <w:tcPr>
            <w:tcW w:w="1100" w:type="dxa"/>
            <w:vAlign w:val="bottom"/>
          </w:tcPr>
          <w:p>
            <w:pPr>
              <w:jc w:val="right"/>
              <w:spacing w:after="0"/>
              <w:rPr>
                <w:sz w:val="20"/>
                <w:szCs w:val="20"/>
                <w:color w:val="auto"/>
              </w:rPr>
            </w:pPr>
            <w:r>
              <w:rPr>
                <w:rFonts w:ascii="Arial" w:cs="Arial" w:eastAsia="Arial" w:hAnsi="Arial"/>
                <w:sz w:val="18"/>
                <w:szCs w:val="18"/>
                <w:color w:val="auto"/>
              </w:rPr>
              <w:t>5/18/2022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w w:val="95"/>
              </w:rPr>
              <w:t>130,000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5/18/2022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2,757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8,271</w:t>
            </w:r>
          </w:p>
        </w:tc>
        <w:tc>
          <w:tcPr>
            <w:tcW w:w="146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211,241</w:t>
            </w:r>
          </w:p>
        </w:tc>
        <w:tc>
          <w:tcPr>
            <w:tcW w:w="0" w:type="dxa"/>
            <w:vAlign w:val="bottom"/>
          </w:tcPr>
          <w:p>
            <w:pPr>
              <w:spacing w:after="0"/>
              <w:rPr>
                <w:sz w:val="1"/>
                <w:szCs w:val="1"/>
                <w:color w:val="auto"/>
              </w:rPr>
            </w:pPr>
          </w:p>
        </w:tc>
      </w:tr>
      <w:tr>
        <w:trPr>
          <w:trHeight w:val="35"/>
        </w:trPr>
        <w:tc>
          <w:tcPr>
            <w:tcW w:w="1480" w:type="dxa"/>
            <w:vAlign w:val="bottom"/>
            <w:tcBorders>
              <w:left w:val="single" w:sz="8" w:color="auto"/>
            </w:tcBorders>
            <w:gridSpan w:val="2"/>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1480" w:type="dxa"/>
            <w:vAlign w:val="bottom"/>
            <w:tcBorders>
              <w:left w:val="single" w:sz="8" w:color="auto"/>
            </w:tcBorders>
            <w:gridSpan w:val="2"/>
            <w:shd w:val="clear" w:color="auto" w:fill="B6B6B6"/>
          </w:tcPr>
          <w:p>
            <w:pPr>
              <w:ind w:left="40"/>
              <w:spacing w:after="0"/>
              <w:rPr>
                <w:sz w:val="20"/>
                <w:szCs w:val="20"/>
                <w:color w:val="auto"/>
              </w:rPr>
            </w:pPr>
            <w:r>
              <w:rPr>
                <w:rFonts w:ascii="Arial" w:cs="Arial" w:eastAsia="Arial" w:hAnsi="Arial"/>
                <w:sz w:val="18"/>
                <w:szCs w:val="18"/>
                <w:color w:val="auto"/>
              </w:rPr>
              <w:t>David J. Mangine</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5/18/2022</w:t>
            </w:r>
          </w:p>
        </w:tc>
        <w:tc>
          <w:tcPr>
            <w:tcW w:w="102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65,000</w:t>
            </w:r>
          </w:p>
        </w:tc>
        <w:tc>
          <w:tcPr>
            <w:tcW w:w="1020" w:type="dxa"/>
            <w:vAlign w:val="bottom"/>
            <w:gridSpan w:val="2"/>
            <w:shd w:val="clear" w:color="auto" w:fill="B6B6B6"/>
          </w:tcPr>
          <w:p>
            <w:pPr>
              <w:ind w:left="380"/>
              <w:spacing w:after="0"/>
              <w:rPr>
                <w:sz w:val="20"/>
                <w:szCs w:val="20"/>
                <w:color w:val="auto"/>
              </w:rPr>
            </w:pPr>
            <w:r>
              <w:rPr>
                <w:rFonts w:ascii="Arial" w:cs="Arial" w:eastAsia="Arial" w:hAnsi="Arial"/>
                <w:sz w:val="18"/>
                <w:szCs w:val="18"/>
                <w:color w:val="auto"/>
                <w:w w:val="95"/>
              </w:rPr>
              <w:t>130,000</w:t>
            </w:r>
          </w:p>
        </w:tc>
        <w:tc>
          <w:tcPr>
            <w:tcW w:w="10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B6B6B6"/>
          </w:tcPr>
          <w:p>
            <w:pPr>
              <w:spacing w:after="0"/>
              <w:rPr>
                <w:sz w:val="19"/>
                <w:szCs w:val="19"/>
                <w:color w:val="auto"/>
              </w:rPr>
            </w:pPr>
          </w:p>
        </w:tc>
        <w:tc>
          <w:tcPr>
            <w:tcW w:w="92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340" w:type="dxa"/>
            <w:vAlign w:val="bottom"/>
            <w:tcBorders>
              <w:right w:val="single" w:sz="8" w:color="auto"/>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40" w:type="dxa"/>
            <w:vAlign w:val="bottom"/>
            <w:tcBorders>
              <w:left w:val="single" w:sz="8" w:color="auto"/>
              <w:bottom w:val="single" w:sz="8" w:color="B6B6B6"/>
            </w:tcBorders>
            <w:shd w:val="clear" w:color="auto" w:fill="B6B6B6"/>
          </w:tcPr>
          <w:p>
            <w:pPr>
              <w:spacing w:after="0"/>
              <w:rPr>
                <w:sz w:val="20"/>
                <w:szCs w:val="20"/>
                <w:color w:val="auto"/>
              </w:rPr>
            </w:pPr>
          </w:p>
        </w:tc>
        <w:tc>
          <w:tcPr>
            <w:tcW w:w="140" w:type="dxa"/>
            <w:vAlign w:val="bottom"/>
            <w:tcBorders>
              <w:bottom w:val="single" w:sz="8" w:color="B6B6B6"/>
            </w:tcBorders>
            <w:shd w:val="clear" w:color="auto" w:fill="B6B6B6"/>
          </w:tcPr>
          <w:p>
            <w:pPr>
              <w:spacing w:after="0"/>
              <w:rPr>
                <w:sz w:val="20"/>
                <w:szCs w:val="20"/>
                <w:color w:val="auto"/>
              </w:rPr>
            </w:pPr>
          </w:p>
        </w:tc>
        <w:tc>
          <w:tcPr>
            <w:tcW w:w="11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5/18/2022</w:t>
            </w:r>
          </w:p>
        </w:tc>
        <w:tc>
          <w:tcPr>
            <w:tcW w:w="12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spacing w:after="0"/>
              <w:rPr>
                <w:sz w:val="20"/>
                <w:szCs w:val="20"/>
                <w:color w:val="auto"/>
              </w:rPr>
            </w:pPr>
          </w:p>
        </w:tc>
        <w:tc>
          <w:tcPr>
            <w:tcW w:w="12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spacing w:after="0"/>
              <w:rPr>
                <w:sz w:val="20"/>
                <w:szCs w:val="20"/>
                <w:color w:val="auto"/>
              </w:rPr>
            </w:pPr>
          </w:p>
        </w:tc>
        <w:tc>
          <w:tcPr>
            <w:tcW w:w="120" w:type="dxa"/>
            <w:vAlign w:val="bottom"/>
            <w:tcBorders>
              <w:bottom w:val="single" w:sz="8" w:color="B6B6B6"/>
            </w:tcBorders>
            <w:shd w:val="clear" w:color="auto" w:fill="B6B6B6"/>
          </w:tcPr>
          <w:p>
            <w:pPr>
              <w:spacing w:after="0"/>
              <w:rPr>
                <w:sz w:val="20"/>
                <w:szCs w:val="20"/>
                <w:color w:val="auto"/>
              </w:rPr>
            </w:pPr>
          </w:p>
        </w:tc>
        <w:tc>
          <w:tcPr>
            <w:tcW w:w="940" w:type="dxa"/>
            <w:vAlign w:val="bottom"/>
            <w:tcBorders>
              <w:bottom w:val="single" w:sz="8" w:color="B6B6B6"/>
            </w:tcBorders>
            <w:shd w:val="clear" w:color="auto" w:fill="B6B6B6"/>
          </w:tcPr>
          <w:p>
            <w:pPr>
              <w:spacing w:after="0"/>
              <w:rPr>
                <w:sz w:val="20"/>
                <w:szCs w:val="20"/>
                <w:color w:val="auto"/>
              </w:rPr>
            </w:pPr>
          </w:p>
        </w:tc>
        <w:tc>
          <w:tcPr>
            <w:tcW w:w="1020" w:type="dxa"/>
            <w:vAlign w:val="bottom"/>
            <w:tcBorders>
              <w:bottom w:val="single" w:sz="8" w:color="B6B6B6"/>
            </w:tcBorders>
            <w:gridSpan w:val="2"/>
            <w:shd w:val="clear" w:color="auto" w:fill="B6B6B6"/>
          </w:tcPr>
          <w:p>
            <w:pPr>
              <w:jc w:val="right"/>
              <w:ind w:right="8"/>
              <w:spacing w:after="0"/>
              <w:rPr>
                <w:sz w:val="20"/>
                <w:szCs w:val="20"/>
                <w:color w:val="auto"/>
              </w:rPr>
            </w:pPr>
            <w:r>
              <w:rPr>
                <w:rFonts w:ascii="Arial" w:cs="Arial" w:eastAsia="Arial" w:hAnsi="Arial"/>
                <w:sz w:val="18"/>
                <w:szCs w:val="18"/>
                <w:color w:val="auto"/>
              </w:rPr>
              <w:t>2,545</w:t>
            </w:r>
          </w:p>
        </w:tc>
        <w:tc>
          <w:tcPr>
            <w:tcW w:w="1000" w:type="dxa"/>
            <w:vAlign w:val="bottom"/>
            <w:tcBorders>
              <w:bottom w:val="single" w:sz="8" w:color="B6B6B6"/>
            </w:tcBorders>
            <w:gridSpan w:val="2"/>
            <w:shd w:val="clear" w:color="auto" w:fill="B6B6B6"/>
          </w:tcPr>
          <w:p>
            <w:pPr>
              <w:jc w:val="right"/>
              <w:spacing w:after="0"/>
              <w:rPr>
                <w:sz w:val="20"/>
                <w:szCs w:val="20"/>
                <w:color w:val="auto"/>
              </w:rPr>
            </w:pPr>
            <w:r>
              <w:rPr>
                <w:rFonts w:ascii="Arial" w:cs="Arial" w:eastAsia="Arial" w:hAnsi="Arial"/>
                <w:sz w:val="18"/>
                <w:szCs w:val="18"/>
                <w:color w:val="auto"/>
              </w:rPr>
              <w:t>5,090</w:t>
            </w:r>
          </w:p>
        </w:tc>
        <w:tc>
          <w:tcPr>
            <w:tcW w:w="1020" w:type="dxa"/>
            <w:vAlign w:val="bottom"/>
            <w:tcBorders>
              <w:bottom w:val="single" w:sz="8" w:color="B6B6B6"/>
            </w:tcBorders>
            <w:gridSpan w:val="2"/>
            <w:shd w:val="clear" w:color="auto" w:fill="B6B6B6"/>
          </w:tcPr>
          <w:p>
            <w:pPr>
              <w:jc w:val="right"/>
              <w:spacing w:after="0"/>
              <w:rPr>
                <w:sz w:val="20"/>
                <w:szCs w:val="20"/>
                <w:color w:val="auto"/>
              </w:rPr>
            </w:pPr>
            <w:r>
              <w:rPr>
                <w:rFonts w:ascii="Arial" w:cs="Arial" w:eastAsia="Arial" w:hAnsi="Arial"/>
                <w:sz w:val="18"/>
                <w:szCs w:val="18"/>
                <w:color w:val="auto"/>
              </w:rPr>
              <w:t>7,635</w:t>
            </w:r>
          </w:p>
        </w:tc>
        <w:tc>
          <w:tcPr>
            <w:tcW w:w="1460" w:type="dxa"/>
            <w:vAlign w:val="bottom"/>
            <w:tcBorders>
              <w:bottom w:val="single" w:sz="8" w:color="B6B6B6"/>
              <w:right w:val="single" w:sz="8" w:color="auto"/>
            </w:tcBorders>
            <w:gridSpan w:val="2"/>
            <w:shd w:val="clear" w:color="auto" w:fill="B6B6B6"/>
          </w:tcPr>
          <w:p>
            <w:pPr>
              <w:jc w:val="right"/>
              <w:ind w:right="8"/>
              <w:spacing w:after="0"/>
              <w:rPr>
                <w:sz w:val="20"/>
                <w:szCs w:val="20"/>
                <w:color w:val="auto"/>
              </w:rPr>
            </w:pPr>
            <w:r>
              <w:rPr>
                <w:rFonts w:ascii="Arial" w:cs="Arial" w:eastAsia="Arial" w:hAnsi="Arial"/>
                <w:sz w:val="18"/>
                <w:szCs w:val="18"/>
                <w:color w:val="auto"/>
              </w:rPr>
              <w:t>194,998</w:t>
            </w:r>
          </w:p>
        </w:tc>
        <w:tc>
          <w:tcPr>
            <w:tcW w:w="0" w:type="dxa"/>
            <w:vAlign w:val="bottom"/>
          </w:tcPr>
          <w:p>
            <w:pPr>
              <w:spacing w:after="0"/>
              <w:rPr>
                <w:sz w:val="1"/>
                <w:szCs w:val="1"/>
                <w:color w:val="auto"/>
              </w:rPr>
            </w:pPr>
          </w:p>
        </w:tc>
      </w:tr>
      <w:tr>
        <w:trPr>
          <w:trHeight w:val="20"/>
        </w:trPr>
        <w:tc>
          <w:tcPr>
            <w:tcW w:w="13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420" w:hanging="412"/>
        <w:spacing w:after="0" w:line="253"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Awards represent potental payments under our annual non-equity incentve arrangement for fscal 2023. Potental payments are based on specifed levels of performance against corporate and business unit objectves, as applicable, as described under “Annual Non-Equity Incentve Compensaton” in the Compensaton Discussion and Analysis. The actual amounts earned for fscal 2023 are the sole components of “Non-Equity Incentve Plan Compensaton” in the Summary Compensaton Table above. Except in the case of death or retrement, executves must be employed on the last day of the fscal year to be eligible for a payment. The threshold, target and maximum payments are based on the plan’s requirements, which were 50%, 100% and 200% of base salary, respectvely, for our Chief Executve Ofcer; 37.5%, 75% and 150% of base salary, respectvely, for the CFO; and 20%, 40% and 80% of base salary, respectvely, for the Vice President - Operatons, General Counsel and Vice President - Industrial Group.</w:t>
      </w:r>
    </w:p>
    <w:p>
      <w:pPr>
        <w:spacing w:after="0" w:line="63" w:lineRule="exact"/>
        <w:rPr>
          <w:rFonts w:ascii="Arial" w:cs="Arial" w:eastAsia="Arial" w:hAnsi="Arial"/>
          <w:sz w:val="18"/>
          <w:szCs w:val="18"/>
          <w:color w:val="auto"/>
        </w:rPr>
      </w:pPr>
    </w:p>
    <w:p>
      <w:pPr>
        <w:ind w:left="420" w:right="60" w:hanging="412"/>
        <w:spacing w:after="0" w:line="262"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Awards represent potental issuances of shares of restricted stock in setlement of performance-based restricted stock unit awards granted for fscal 2023 under our 2019 Equity Incentve Plan. The number of shares of restricted stock to be issued was based on the degree to which we achieved specifed levels of income before taxes during fscal 2023. See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 w:name="page25"/>
    <w:bookmarkEnd w:id="24"/>
    <w:p>
      <w:pPr>
        <w:ind w:left="420" w:right="240"/>
        <w:spacing w:after="0" w:line="255" w:lineRule="auto"/>
        <w:rPr>
          <w:sz w:val="20"/>
          <w:szCs w:val="20"/>
          <w:color w:val="auto"/>
        </w:rPr>
      </w:pPr>
      <w:r>
        <w:rPr>
          <w:rFonts w:ascii="Arial" w:cs="Arial" w:eastAsia="Arial" w:hAnsi="Arial"/>
          <w:sz w:val="18"/>
          <w:szCs w:val="18"/>
          <w:color w:val="auto"/>
        </w:rPr>
        <w:t>“Annual Equity Awards” in the Compensaton Discussion and Analysis for the performance goals applicable to the performance-based restricted stock units granted for performance in fscal 2023. Additonal terms of the outstanding performance-based restricted stock units are described in Note (a) to the Outstanding Equity Awards table. The number of restricted stock shares actually earned by each individual for fscal 2023 performance was 121% of target, and is as follows: Mr. Hawkins, 19,365 shares; Mr. Oldenkamp, 10,674 shares; Mr. Grahek, 6,705 shares; Mr. Erstad, 6,652 shares; and Mr. Mangine, 6,141 shares. Restricted stock underlying restricted stock units is not enttled to dividends untl afer the underlying shares have been issued.</w:t>
      </w:r>
    </w:p>
    <w:p>
      <w:pPr>
        <w:spacing w:after="0" w:line="57" w:lineRule="exact"/>
        <w:rPr>
          <w:sz w:val="20"/>
          <w:szCs w:val="20"/>
          <w:color w:val="auto"/>
        </w:rPr>
      </w:pPr>
    </w:p>
    <w:p>
      <w:pPr>
        <w:ind w:left="420" w:hanging="412"/>
        <w:spacing w:after="0" w:line="258"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shares of restricted stock that could be earned ranged from 0% to 150% of the target amount. For the performance-based restricted stock units, the amount reported is based on the assumed probable outcome of the performance conditons assessed as of the grant date of the performance-based restricted stock units.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Descripton of Plan-Based Awards: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Each of the “Equity Incentve Plan Awards” shown in the table enttled “Grants of Plan-Based Awards” was granted under our 2019 Equity Incentve Plan. The material terms of the 2023 equity and non-equity incentve awards are described under “Executve Compensaton—Compensaton Discussion and Analysis.”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2023 Fiscal Year-En</w:t>
      </w:r>
      <w:r>
        <w:rPr>
          <w:rFonts w:ascii="Arial" w:cs="Arial" w:eastAsia="Arial" w:hAnsi="Arial"/>
          <w:sz w:val="17"/>
          <w:szCs w:val="17"/>
          <w:b w:val="1"/>
          <w:bCs w:val="1"/>
          <w:color w:val="auto"/>
        </w:rPr>
        <w:t>d</w:t>
      </w:r>
    </w:p>
    <w:p>
      <w:pPr>
        <w:spacing w:after="0" w:line="113"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The following table sets forth certain informaton concerning outstanding equity awards held by our named executve ofcers as of April 2, 2023 which have been issued under our 2019 Equity Incentve Plan.</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600" w:type="dxa"/>
            <w:vAlign w:val="bottom"/>
            <w:tcBorders>
              <w:top w:val="single" w:sz="8" w:color="auto"/>
              <w:lef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ind w:left="1720"/>
              <w:spacing w:after="0"/>
              <w:rPr>
                <w:sz w:val="20"/>
                <w:szCs w:val="20"/>
                <w:color w:val="auto"/>
              </w:rPr>
            </w:pPr>
            <w:r>
              <w:rPr>
                <w:rFonts w:ascii="Arial" w:cs="Arial" w:eastAsia="Arial" w:hAnsi="Arial"/>
                <w:sz w:val="14"/>
                <w:szCs w:val="14"/>
                <w:b w:val="1"/>
                <w:bCs w:val="1"/>
                <w:color w:val="auto"/>
                <w:w w:val="90"/>
              </w:rPr>
              <w:t>Stock Awards</w:t>
            </w:r>
          </w:p>
        </w:tc>
        <w:tc>
          <w:tcPr>
            <w:tcW w:w="1700" w:type="dxa"/>
            <w:vAlign w:val="bottom"/>
            <w:tcBorders>
              <w:top w:val="single" w:sz="8" w:color="auto"/>
              <w:bottom w:val="single" w:sz="8" w:color="auto"/>
              <w:right w:val="single" w:sz="8" w:color="auto"/>
            </w:tcBorders>
          </w:tcPr>
          <w:p>
            <w:pPr>
              <w:spacing w:after="0"/>
              <w:rPr>
                <w:sz w:val="18"/>
                <w:szCs w:val="18"/>
                <w:color w:val="auto"/>
              </w:rPr>
            </w:pPr>
          </w:p>
        </w:tc>
      </w:tr>
      <w:tr>
        <w:trPr>
          <w:trHeight w:val="124"/>
        </w:trPr>
        <w:tc>
          <w:tcPr>
            <w:tcW w:w="66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3"/>
          </w:tcPr>
          <w:p>
            <w:pPr>
              <w:jc w:val="center"/>
              <w:ind w:right="520"/>
              <w:spacing w:after="0" w:line="124" w:lineRule="exact"/>
              <w:rPr>
                <w:sz w:val="20"/>
                <w:szCs w:val="20"/>
                <w:color w:val="auto"/>
              </w:rPr>
            </w:pPr>
            <w:r>
              <w:rPr>
                <w:rFonts w:ascii="Arial" w:cs="Arial" w:eastAsia="Arial" w:hAnsi="Arial"/>
                <w:sz w:val="14"/>
                <w:szCs w:val="14"/>
                <w:b w:val="1"/>
                <w:bCs w:val="1"/>
                <w:color w:val="auto"/>
                <w:w w:val="88"/>
              </w:rPr>
              <w:t>Number of Shares or</w:t>
            </w:r>
          </w:p>
        </w:tc>
        <w:tc>
          <w:tcPr>
            <w:tcW w:w="1700" w:type="dxa"/>
            <w:vAlign w:val="bottom"/>
            <w:tcBorders>
              <w:right w:val="single" w:sz="8" w:color="auto"/>
            </w:tcBorders>
          </w:tcPr>
          <w:p>
            <w:pPr>
              <w:jc w:val="center"/>
              <w:ind w:right="338"/>
              <w:spacing w:after="0" w:line="124" w:lineRule="exact"/>
              <w:rPr>
                <w:sz w:val="20"/>
                <w:szCs w:val="20"/>
                <w:color w:val="auto"/>
              </w:rPr>
            </w:pPr>
            <w:r>
              <w:rPr>
                <w:rFonts w:ascii="Arial" w:cs="Arial" w:eastAsia="Arial" w:hAnsi="Arial"/>
                <w:sz w:val="14"/>
                <w:szCs w:val="14"/>
                <w:b w:val="1"/>
                <w:bCs w:val="1"/>
                <w:color w:val="auto"/>
                <w:w w:val="92"/>
              </w:rPr>
              <w:t>Market Value of</w:t>
            </w:r>
          </w:p>
        </w:tc>
      </w:tr>
      <w:tr>
        <w:trPr>
          <w:trHeight w:val="146"/>
        </w:trPr>
        <w:tc>
          <w:tcPr>
            <w:tcW w:w="66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3"/>
          </w:tcPr>
          <w:p>
            <w:pPr>
              <w:jc w:val="center"/>
              <w:ind w:right="520"/>
              <w:spacing w:after="0" w:line="146" w:lineRule="exact"/>
              <w:rPr>
                <w:sz w:val="20"/>
                <w:szCs w:val="20"/>
                <w:color w:val="auto"/>
              </w:rPr>
            </w:pPr>
            <w:r>
              <w:rPr>
                <w:rFonts w:ascii="Arial" w:cs="Arial" w:eastAsia="Arial" w:hAnsi="Arial"/>
                <w:sz w:val="14"/>
                <w:szCs w:val="14"/>
                <w:b w:val="1"/>
                <w:bCs w:val="1"/>
                <w:color w:val="auto"/>
                <w:w w:val="89"/>
              </w:rPr>
              <w:t>Units of Stock That</w:t>
            </w:r>
          </w:p>
        </w:tc>
        <w:tc>
          <w:tcPr>
            <w:tcW w:w="1700" w:type="dxa"/>
            <w:vAlign w:val="bottom"/>
            <w:tcBorders>
              <w:right w:val="single" w:sz="8" w:color="auto"/>
            </w:tcBorders>
          </w:tcPr>
          <w:p>
            <w:pPr>
              <w:jc w:val="center"/>
              <w:ind w:right="318"/>
              <w:spacing w:after="0" w:line="146" w:lineRule="exact"/>
              <w:rPr>
                <w:sz w:val="20"/>
                <w:szCs w:val="20"/>
                <w:color w:val="auto"/>
              </w:rPr>
            </w:pPr>
            <w:r>
              <w:rPr>
                <w:rFonts w:ascii="Arial" w:cs="Arial" w:eastAsia="Arial" w:hAnsi="Arial"/>
                <w:sz w:val="14"/>
                <w:szCs w:val="14"/>
                <w:b w:val="1"/>
                <w:bCs w:val="1"/>
                <w:color w:val="auto"/>
                <w:w w:val="87"/>
              </w:rPr>
              <w:t>Shares or Units of</w:t>
            </w:r>
          </w:p>
        </w:tc>
      </w:tr>
      <w:tr>
        <w:trPr>
          <w:trHeight w:val="138"/>
        </w:trPr>
        <w:tc>
          <w:tcPr>
            <w:tcW w:w="660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gridSpan w:val="3"/>
          </w:tcPr>
          <w:p>
            <w:pPr>
              <w:jc w:val="center"/>
              <w:ind w:right="520"/>
              <w:spacing w:after="0" w:line="138" w:lineRule="exact"/>
              <w:rPr>
                <w:sz w:val="20"/>
                <w:szCs w:val="20"/>
                <w:color w:val="auto"/>
              </w:rPr>
            </w:pPr>
            <w:r>
              <w:rPr>
                <w:rFonts w:ascii="Arial" w:cs="Arial" w:eastAsia="Arial" w:hAnsi="Arial"/>
                <w:sz w:val="14"/>
                <w:szCs w:val="14"/>
                <w:b w:val="1"/>
                <w:bCs w:val="1"/>
                <w:color w:val="auto"/>
                <w:w w:val="88"/>
              </w:rPr>
              <w:t>Have Not Vested</w:t>
            </w:r>
          </w:p>
        </w:tc>
        <w:tc>
          <w:tcPr>
            <w:tcW w:w="1700" w:type="dxa"/>
            <w:vAlign w:val="bottom"/>
            <w:tcBorders>
              <w:right w:val="single" w:sz="8" w:color="auto"/>
            </w:tcBorders>
          </w:tcPr>
          <w:p>
            <w:pPr>
              <w:jc w:val="center"/>
              <w:ind w:right="338"/>
              <w:spacing w:after="0" w:line="138" w:lineRule="exact"/>
              <w:rPr>
                <w:sz w:val="20"/>
                <w:szCs w:val="20"/>
                <w:color w:val="auto"/>
              </w:rPr>
            </w:pPr>
            <w:r>
              <w:rPr>
                <w:rFonts w:ascii="Arial" w:cs="Arial" w:eastAsia="Arial" w:hAnsi="Arial"/>
                <w:sz w:val="14"/>
                <w:szCs w:val="14"/>
                <w:b w:val="1"/>
                <w:bCs w:val="1"/>
                <w:color w:val="auto"/>
                <w:w w:val="90"/>
              </w:rPr>
              <w:t>Stock that Have Not</w:t>
            </w:r>
          </w:p>
        </w:tc>
      </w:tr>
      <w:tr>
        <w:trPr>
          <w:trHeight w:val="184"/>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5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Borders>
              <w:right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89"/>
              </w:rPr>
              <w:t>Vested ($)(b)</w:t>
            </w:r>
          </w:p>
        </w:tc>
      </w:tr>
      <w:tr>
        <w:trPr>
          <w:trHeight w:val="43"/>
        </w:trPr>
        <w:tc>
          <w:tcPr>
            <w:tcW w:w="660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B3B3B3"/>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B3B3B3"/>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223"/>
        </w:trPr>
        <w:tc>
          <w:tcPr>
            <w:tcW w:w="66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20" w:type="dxa"/>
            <w:vAlign w:val="bottom"/>
            <w:shd w:val="clear" w:color="auto" w:fill="B3B3B3"/>
          </w:tcPr>
          <w:p>
            <w:pPr>
              <w:spacing w:after="0"/>
              <w:rPr>
                <w:sz w:val="19"/>
                <w:szCs w:val="19"/>
                <w:color w:val="auto"/>
              </w:rPr>
            </w:pP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88,838</w:t>
            </w:r>
          </w:p>
        </w:tc>
        <w:tc>
          <w:tcPr>
            <w:tcW w:w="100" w:type="dxa"/>
            <w:vAlign w:val="bottom"/>
            <w:shd w:val="clear" w:color="auto" w:fill="B3B3B3"/>
          </w:tcPr>
          <w:p>
            <w:pPr>
              <w:spacing w:after="0"/>
              <w:rPr>
                <w:sz w:val="19"/>
                <w:szCs w:val="19"/>
                <w:color w:val="auto"/>
              </w:rPr>
            </w:pPr>
          </w:p>
        </w:tc>
        <w:tc>
          <w:tcPr>
            <w:tcW w:w="400" w:type="dxa"/>
            <w:vAlign w:val="bottom"/>
            <w:shd w:val="clear" w:color="auto" w:fill="B3B3B3"/>
          </w:tcPr>
          <w:p>
            <w:pPr>
              <w:spacing w:after="0"/>
              <w:rPr>
                <w:sz w:val="19"/>
                <w:szCs w:val="19"/>
                <w:color w:val="auto"/>
              </w:rPr>
            </w:pP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3,670,428</w:t>
            </w:r>
          </w:p>
        </w:tc>
      </w:tr>
      <w:tr>
        <w:trPr>
          <w:trHeight w:val="228"/>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Jefrey.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44,087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1,930,129</w:t>
            </w:r>
          </w:p>
        </w:tc>
      </w:tr>
      <w:tr>
        <w:trPr>
          <w:trHeight w:val="231"/>
        </w:trPr>
        <w:tc>
          <w:tcPr>
            <w:tcW w:w="672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24,265</w:t>
            </w:r>
          </w:p>
        </w:tc>
        <w:tc>
          <w:tcPr>
            <w:tcW w:w="100" w:type="dxa"/>
            <w:vAlign w:val="bottom"/>
            <w:shd w:val="clear" w:color="auto" w:fill="B3B3B3"/>
          </w:tcPr>
          <w:p>
            <w:pPr>
              <w:spacing w:after="0"/>
              <w:rPr>
                <w:sz w:val="20"/>
                <w:szCs w:val="20"/>
                <w:color w:val="auto"/>
              </w:rPr>
            </w:pPr>
          </w:p>
        </w:tc>
        <w:tc>
          <w:tcPr>
            <w:tcW w:w="400" w:type="dxa"/>
            <w:vAlign w:val="bottom"/>
            <w:shd w:val="clear" w:color="auto" w:fill="B3B3B3"/>
          </w:tcPr>
          <w:p>
            <w:pPr>
              <w:spacing w:after="0"/>
              <w:rPr>
                <w:sz w:val="20"/>
                <w:szCs w:val="20"/>
                <w:color w:val="auto"/>
              </w:rPr>
            </w:pP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1,062,322</w:t>
            </w:r>
          </w:p>
        </w:tc>
      </w:tr>
      <w:tr>
        <w:trPr>
          <w:trHeight w:val="235"/>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tcPr>
          <w:p>
            <w:pPr>
              <w:jc w:val="right"/>
              <w:spacing w:after="0"/>
              <w:rPr>
                <w:sz w:val="20"/>
                <w:szCs w:val="20"/>
                <w:color w:val="auto"/>
              </w:rPr>
            </w:pPr>
            <w:r>
              <w:rPr>
                <w:rFonts w:ascii="Arial" w:cs="Arial" w:eastAsia="Arial" w:hAnsi="Arial"/>
                <w:sz w:val="18"/>
                <w:szCs w:val="18"/>
                <w:color w:val="auto"/>
              </w:rPr>
              <w:t>30,914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1,353,415</w:t>
            </w:r>
          </w:p>
        </w:tc>
      </w:tr>
      <w:tr>
        <w:trPr>
          <w:trHeight w:val="236"/>
        </w:trPr>
        <w:tc>
          <w:tcPr>
            <w:tcW w:w="672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David J. Mangine</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tcBorders>
              <w:bottom w:val="single" w:sz="8" w:color="auto"/>
            </w:tcBorders>
            <w:shd w:val="clear" w:color="auto" w:fill="B3B3B3"/>
          </w:tcPr>
          <w:p>
            <w:pPr>
              <w:spacing w:after="0"/>
              <w:rPr>
                <w:sz w:val="20"/>
                <w:szCs w:val="20"/>
                <w:color w:val="auto"/>
              </w:rPr>
            </w:pPr>
          </w:p>
        </w:tc>
        <w:tc>
          <w:tcPr>
            <w:tcW w:w="400" w:type="dxa"/>
            <w:vAlign w:val="bottom"/>
            <w:tcBorders>
              <w:bottom w:val="single" w:sz="8" w:color="auto"/>
            </w:tcBorders>
            <w:shd w:val="clear" w:color="auto" w:fill="B3B3B3"/>
          </w:tcPr>
          <w:p>
            <w:pPr>
              <w:spacing w:after="0"/>
              <w:rPr>
                <w:sz w:val="20"/>
                <w:szCs w:val="20"/>
                <w:color w:val="auto"/>
              </w:rPr>
            </w:pPr>
          </w:p>
        </w:tc>
        <w:tc>
          <w:tcPr>
            <w:tcW w:w="170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588,491</w:t>
            </w:r>
          </w:p>
        </w:tc>
      </w:tr>
    </w:tbl>
    <w:p>
      <w:pPr>
        <w:spacing w:after="0" w:line="143" w:lineRule="exact"/>
        <w:rPr>
          <w:sz w:val="20"/>
          <w:szCs w:val="20"/>
          <w:color w:val="auto"/>
        </w:rPr>
      </w:pPr>
    </w:p>
    <w:p>
      <w:pPr>
        <w:ind w:left="420" w:right="60" w:hanging="412"/>
        <w:spacing w:after="0" w:line="255"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shown consists of restricted stock units and shares of restricted stock actually issued in setlement of the performance-based restricted stock unit awards granted for fscal years 2021, 2022 and 2023. The restricted stock issued in setlement of the performance-based restricted stock unit awards vests 100% on approximately the frst day of the second fscal year following the end of the fscal year to which the awards pertain. The shares granted for fscal 2021 vested on April 3, 2023. The shares granted for fscal 2022 will vest on April 1, 2024. The shares granted for fscal 2023 will vest on March 31, 2025. The number of shares of restricted stock vestng on each of those dates for each of the named executve ofcers is as follows:</w:t>
      </w:r>
    </w:p>
    <w:p>
      <w:pPr>
        <w:spacing w:after="0" w:line="16" w:lineRule="exact"/>
        <w:rPr>
          <w:sz w:val="20"/>
          <w:szCs w:val="20"/>
          <w:color w:val="auto"/>
        </w:rPr>
      </w:pPr>
    </w:p>
    <w:tbl>
      <w:tblPr>
        <w:tblLayout w:type="fixed"/>
        <w:tblInd w:w="430" w:type="dxa"/>
        <w:tblCellMar>
          <w:top w:w="0" w:type="dxa"/>
          <w:left w:w="0" w:type="dxa"/>
          <w:bottom w:w="0" w:type="dxa"/>
          <w:right w:w="0" w:type="dxa"/>
        </w:tblCellMar>
      </w:tblPr>
      <w:tr>
        <w:trPr>
          <w:trHeight w:val="210"/>
        </w:trPr>
        <w:tc>
          <w:tcPr>
            <w:tcW w:w="6060" w:type="dxa"/>
            <w:vAlign w:val="bottom"/>
            <w:tcBorders>
              <w:top w:val="single" w:sz="8" w:color="auto"/>
              <w:lef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20" w:type="dxa"/>
            <w:vAlign w:val="bottom"/>
            <w:tcBorders>
              <w:top w:val="single" w:sz="8" w:color="auto"/>
              <w:bottom w:val="single" w:sz="8" w:color="auto"/>
              <w:right w:val="single" w:sz="8" w:color="auto"/>
            </w:tcBorders>
            <w:gridSpan w:val="5"/>
          </w:tcPr>
          <w:p>
            <w:pPr>
              <w:jc w:val="right"/>
              <w:ind w:right="739"/>
              <w:spacing w:after="0"/>
              <w:rPr>
                <w:sz w:val="20"/>
                <w:szCs w:val="20"/>
                <w:color w:val="auto"/>
              </w:rPr>
            </w:pPr>
            <w:r>
              <w:rPr>
                <w:rFonts w:ascii="Arial" w:cs="Arial" w:eastAsia="Arial" w:hAnsi="Arial"/>
                <w:sz w:val="14"/>
                <w:szCs w:val="14"/>
                <w:b w:val="1"/>
                <w:bCs w:val="1"/>
                <w:color w:val="auto"/>
              </w:rPr>
              <w:t>Number of Shares Vested or Vestng on:</w:t>
            </w:r>
          </w:p>
        </w:tc>
      </w:tr>
      <w:tr>
        <w:trPr>
          <w:trHeight w:val="196"/>
        </w:trPr>
        <w:tc>
          <w:tcPr>
            <w:tcW w:w="6180" w:type="dxa"/>
            <w:vAlign w:val="bottom"/>
            <w:tcBorders>
              <w:left w:val="single" w:sz="8" w:color="auto"/>
            </w:tcBorders>
            <w:gridSpan w:val="2"/>
          </w:tcPr>
          <w:p>
            <w:pPr>
              <w:ind w:left="20"/>
              <w:spacing w:after="0" w:line="159" w:lineRule="exact"/>
              <w:rPr>
                <w:sz w:val="20"/>
                <w:szCs w:val="20"/>
                <w:color w:val="auto"/>
              </w:rPr>
            </w:pPr>
            <w:r>
              <w:rPr>
                <w:rFonts w:ascii="Arial" w:cs="Arial" w:eastAsia="Arial" w:hAnsi="Arial"/>
                <w:sz w:val="14"/>
                <w:szCs w:val="14"/>
                <w:b w:val="1"/>
                <w:bCs w:val="1"/>
                <w:color w:val="auto"/>
              </w:rPr>
              <w:t>Name</w:t>
            </w: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April 3, 2023</w:t>
            </w:r>
          </w:p>
        </w:tc>
        <w:tc>
          <w:tcPr>
            <w:tcW w:w="2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April 1, 2024</w:t>
            </w:r>
          </w:p>
        </w:tc>
        <w:tc>
          <w:tcPr>
            <w:tcW w:w="140" w:type="dxa"/>
            <w:vAlign w:val="bottom"/>
          </w:tcPr>
          <w:p>
            <w:pPr>
              <w:spacing w:after="0"/>
              <w:rPr>
                <w:sz w:val="17"/>
                <w:szCs w:val="17"/>
                <w:color w:val="auto"/>
              </w:rPr>
            </w:pPr>
          </w:p>
        </w:tc>
        <w:tc>
          <w:tcPr>
            <w:tcW w:w="1220" w:type="dxa"/>
            <w:vAlign w:val="bottom"/>
            <w:tcBorders>
              <w:right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March 31, 2025</w:t>
            </w:r>
          </w:p>
        </w:tc>
      </w:tr>
      <w:tr>
        <w:trPr>
          <w:trHeight w:val="230"/>
        </w:trPr>
        <w:tc>
          <w:tcPr>
            <w:tcW w:w="6060" w:type="dxa"/>
            <w:vAlign w:val="bottom"/>
            <w:tcBorders>
              <w:top w:val="single" w:sz="8" w:color="auto"/>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20" w:type="dxa"/>
            <w:vAlign w:val="bottom"/>
            <w:tcBorders>
              <w:top w:val="single" w:sz="8" w:color="B3B3B3"/>
            </w:tcBorders>
            <w:shd w:val="clear" w:color="auto" w:fill="B3B3B3"/>
          </w:tcPr>
          <w:p>
            <w:pPr>
              <w:spacing w:after="0"/>
              <w:rPr>
                <w:sz w:val="19"/>
                <w:szCs w:val="19"/>
                <w:color w:val="auto"/>
              </w:rPr>
            </w:pPr>
          </w:p>
        </w:tc>
        <w:tc>
          <w:tcPr>
            <w:tcW w:w="12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40,137</w:t>
            </w:r>
          </w:p>
        </w:tc>
        <w:tc>
          <w:tcPr>
            <w:tcW w:w="200" w:type="dxa"/>
            <w:vAlign w:val="bottom"/>
            <w:tcBorders>
              <w:top w:val="single" w:sz="8" w:color="B3B3B3"/>
            </w:tcBorders>
            <w:shd w:val="clear" w:color="auto" w:fill="B3B3B3"/>
          </w:tcPr>
          <w:p>
            <w:pPr>
              <w:spacing w:after="0"/>
              <w:rPr>
                <w:sz w:val="19"/>
                <w:szCs w:val="19"/>
                <w:color w:val="auto"/>
              </w:rPr>
            </w:pPr>
          </w:p>
        </w:tc>
        <w:tc>
          <w:tcPr>
            <w:tcW w:w="12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24,336</w:t>
            </w:r>
          </w:p>
        </w:tc>
        <w:tc>
          <w:tcPr>
            <w:tcW w:w="140" w:type="dxa"/>
            <w:vAlign w:val="bottom"/>
            <w:tcBorders>
              <w:top w:val="single" w:sz="8" w:color="B3B3B3"/>
            </w:tcBorders>
            <w:shd w:val="clear" w:color="auto" w:fill="B3B3B3"/>
          </w:tcPr>
          <w:p>
            <w:pPr>
              <w:spacing w:after="0"/>
              <w:rPr>
                <w:sz w:val="19"/>
                <w:szCs w:val="19"/>
                <w:color w:val="auto"/>
              </w:rPr>
            </w:pPr>
          </w:p>
        </w:tc>
        <w:tc>
          <w:tcPr>
            <w:tcW w:w="122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19,365</w:t>
            </w:r>
          </w:p>
        </w:tc>
      </w:tr>
      <w:tr>
        <w:trPr>
          <w:trHeight w:val="228"/>
        </w:trPr>
        <w:tc>
          <w:tcPr>
            <w:tcW w:w="618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Jefrey. P. Oldenkamp</w:t>
            </w:r>
          </w:p>
        </w:tc>
        <w:tc>
          <w:tcPr>
            <w:tcW w:w="1240" w:type="dxa"/>
            <w:vAlign w:val="bottom"/>
          </w:tcPr>
          <w:p>
            <w:pPr>
              <w:jc w:val="right"/>
              <w:spacing w:after="0"/>
              <w:rPr>
                <w:sz w:val="20"/>
                <w:szCs w:val="20"/>
                <w:color w:val="auto"/>
              </w:rPr>
            </w:pPr>
            <w:r>
              <w:rPr>
                <w:rFonts w:ascii="Arial" w:cs="Arial" w:eastAsia="Arial" w:hAnsi="Arial"/>
                <w:sz w:val="18"/>
                <w:szCs w:val="18"/>
                <w:color w:val="auto"/>
              </w:rPr>
              <w:t>18,810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14,603</w:t>
            </w:r>
          </w:p>
        </w:tc>
        <w:tc>
          <w:tcPr>
            <w:tcW w:w="13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10,674</w:t>
            </w:r>
          </w:p>
        </w:tc>
      </w:tr>
      <w:tr>
        <w:trPr>
          <w:trHeight w:val="244"/>
        </w:trPr>
        <w:tc>
          <w:tcPr>
            <w:tcW w:w="618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1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8,346</w:t>
            </w:r>
          </w:p>
        </w:tc>
        <w:tc>
          <w:tcPr>
            <w:tcW w:w="14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9,214</w:t>
            </w:r>
          </w:p>
        </w:tc>
        <w:tc>
          <w:tcPr>
            <w:tcW w:w="136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6,705</w:t>
            </w:r>
          </w:p>
        </w:tc>
      </w:tr>
      <w:tr>
        <w:trPr>
          <w:trHeight w:val="228"/>
        </w:trPr>
        <w:tc>
          <w:tcPr>
            <w:tcW w:w="618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Richard G. Erstad</w:t>
            </w:r>
          </w:p>
        </w:tc>
        <w:tc>
          <w:tcPr>
            <w:tcW w:w="1240" w:type="dxa"/>
            <w:vAlign w:val="bottom"/>
          </w:tcPr>
          <w:p>
            <w:pPr>
              <w:jc w:val="right"/>
              <w:spacing w:after="0"/>
              <w:rPr>
                <w:sz w:val="20"/>
                <w:szCs w:val="20"/>
                <w:color w:val="auto"/>
              </w:rPr>
            </w:pPr>
            <w:r>
              <w:rPr>
                <w:rFonts w:ascii="Arial" w:cs="Arial" w:eastAsia="Arial" w:hAnsi="Arial"/>
                <w:sz w:val="18"/>
                <w:szCs w:val="18"/>
                <w:color w:val="auto"/>
              </w:rPr>
              <w:t>15,102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9,160</w:t>
            </w:r>
          </w:p>
        </w:tc>
        <w:tc>
          <w:tcPr>
            <w:tcW w:w="13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r>
      <w:tr>
        <w:trPr>
          <w:trHeight w:val="230"/>
        </w:trPr>
        <w:tc>
          <w:tcPr>
            <w:tcW w:w="618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David J. Mangine</w:t>
            </w:r>
          </w:p>
        </w:tc>
        <w:tc>
          <w:tcPr>
            <w:tcW w:w="12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7,301</w:t>
            </w:r>
          </w:p>
        </w:tc>
        <w:tc>
          <w:tcPr>
            <w:tcW w:w="1360" w:type="dxa"/>
            <w:vAlign w:val="bottom"/>
            <w:tcBorders>
              <w:bottom w:val="single" w:sz="8" w:color="auto"/>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6,141</w:t>
            </w:r>
          </w:p>
        </w:tc>
      </w:tr>
    </w:tbl>
    <w:p>
      <w:pPr>
        <w:spacing w:after="0" w:line="157" w:lineRule="exact"/>
        <w:rPr>
          <w:sz w:val="20"/>
          <w:szCs w:val="20"/>
          <w:color w:val="auto"/>
        </w:rPr>
      </w:pPr>
    </w:p>
    <w:p>
      <w:pPr>
        <w:ind w:left="420" w:right="580"/>
        <w:spacing w:after="0" w:line="262" w:lineRule="auto"/>
        <w:rPr>
          <w:sz w:val="20"/>
          <w:szCs w:val="20"/>
          <w:color w:val="auto"/>
        </w:rPr>
      </w:pPr>
      <w:r>
        <w:rPr>
          <w:rFonts w:ascii="Arial" w:cs="Arial" w:eastAsia="Arial" w:hAnsi="Arial"/>
          <w:sz w:val="18"/>
          <w:szCs w:val="18"/>
          <w:color w:val="auto"/>
        </w:rPr>
        <w:t>The unvested restricted stock generally will be forfeited in their entrety if the executve ofcer departs the company before the end of the applicable vestng period, except that the vestng of the units and restricted stock may be accelerated upon the occurrence of certain events described below under “Potental Payments Upon Terminaton or Change in Control”.</w:t>
      </w:r>
    </w:p>
    <w:p>
      <w:pPr>
        <w:spacing w:after="0" w:line="5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closing price of our common stock of $43.78 per share as reported by Nasdaq on March 31, 2023, the last business day of fscal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Stock Vested</w:t>
      </w:r>
    </w:p>
    <w:p>
      <w:pPr>
        <w:spacing w:after="0" w:line="127" w:lineRule="exact"/>
        <w:rPr>
          <w:sz w:val="20"/>
          <w:szCs w:val="20"/>
          <w:color w:val="auto"/>
        </w:rPr>
      </w:pPr>
    </w:p>
    <w:p>
      <w:pPr>
        <w:ind w:right="420"/>
        <w:spacing w:after="0" w:line="301" w:lineRule="auto"/>
        <w:rPr>
          <w:sz w:val="20"/>
          <w:szCs w:val="20"/>
          <w:color w:val="auto"/>
        </w:rPr>
      </w:pPr>
      <w:r>
        <w:rPr>
          <w:rFonts w:ascii="Arial" w:cs="Arial" w:eastAsia="Arial" w:hAnsi="Arial"/>
          <w:sz w:val="17"/>
          <w:szCs w:val="17"/>
          <w:color w:val="auto"/>
        </w:rPr>
        <w:t>The following table provides informaton concerning the aggregate number of shares of restricted stock that vested for each of our named executve ofcers during fscal 2023, and the aggregate dollar values realized by each of our named executve ofcers upon such vestng.</w:t>
      </w:r>
    </w:p>
    <w:tbl>
      <w:tblPr>
        <w:tblLayout w:type="fixed"/>
        <w:tblInd w:w="10" w:type="dxa"/>
        <w:tblCellMar>
          <w:top w:w="0" w:type="dxa"/>
          <w:left w:w="0" w:type="dxa"/>
          <w:bottom w:w="0" w:type="dxa"/>
          <w:right w:w="0" w:type="dxa"/>
        </w:tblCellMar>
      </w:tblPr>
      <w:tr>
        <w:trPr>
          <w:trHeight w:val="181"/>
        </w:trPr>
        <w:tc>
          <w:tcPr>
            <w:tcW w:w="660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80" w:type="dxa"/>
            <w:vAlign w:val="bottom"/>
            <w:tcBorders>
              <w:top w:val="single" w:sz="8" w:color="auto"/>
              <w:bottom w:val="single" w:sz="8" w:color="auto"/>
              <w:right w:val="single" w:sz="8" w:color="auto"/>
            </w:tcBorders>
            <w:gridSpan w:val="3"/>
          </w:tcPr>
          <w:p>
            <w:pPr>
              <w:jc w:val="right"/>
              <w:ind w:right="1679"/>
              <w:spacing w:after="0"/>
              <w:rPr>
                <w:sz w:val="20"/>
                <w:szCs w:val="20"/>
                <w:color w:val="auto"/>
              </w:rPr>
            </w:pPr>
            <w:r>
              <w:rPr>
                <w:rFonts w:ascii="Arial" w:cs="Arial" w:eastAsia="Arial" w:hAnsi="Arial"/>
                <w:sz w:val="14"/>
                <w:szCs w:val="14"/>
                <w:b w:val="1"/>
                <w:bCs w:val="1"/>
                <w:color w:val="auto"/>
              </w:rPr>
              <w:t>Stock Awards</w:t>
            </w:r>
          </w:p>
        </w:tc>
      </w:tr>
      <w:tr>
        <w:trPr>
          <w:trHeight w:val="120"/>
        </w:trPr>
        <w:tc>
          <w:tcPr>
            <w:tcW w:w="66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jc w:val="right"/>
              <w:ind w:right="58"/>
              <w:spacing w:after="0" w:line="120" w:lineRule="exact"/>
              <w:rPr>
                <w:sz w:val="20"/>
                <w:szCs w:val="20"/>
                <w:color w:val="auto"/>
              </w:rPr>
            </w:pPr>
            <w:r>
              <w:rPr>
                <w:rFonts w:ascii="Arial" w:cs="Arial" w:eastAsia="Arial" w:hAnsi="Arial"/>
                <w:sz w:val="13"/>
                <w:szCs w:val="13"/>
                <w:b w:val="1"/>
                <w:bCs w:val="1"/>
                <w:color w:val="auto"/>
              </w:rPr>
              <w:t>Number of Shares Acquired on</w:t>
            </w:r>
          </w:p>
        </w:tc>
        <w:tc>
          <w:tcPr>
            <w:tcW w:w="100" w:type="dxa"/>
            <w:vAlign w:val="bottom"/>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r>
      <w:tr>
        <w:trPr>
          <w:trHeight w:val="184"/>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jc w:val="right"/>
              <w:ind w:right="558"/>
              <w:spacing w:after="0"/>
              <w:rPr>
                <w:sz w:val="20"/>
                <w:szCs w:val="20"/>
                <w:color w:val="auto"/>
              </w:rPr>
            </w:pPr>
            <w:r>
              <w:rPr>
                <w:rFonts w:ascii="Arial" w:cs="Arial" w:eastAsia="Arial" w:hAnsi="Arial"/>
                <w:sz w:val="14"/>
                <w:szCs w:val="14"/>
                <w:b w:val="1"/>
                <w:bCs w:val="1"/>
                <w:color w:val="auto"/>
              </w:rPr>
              <w:t>Vestng (#) (a)</w:t>
            </w:r>
          </w:p>
        </w:tc>
        <w:tc>
          <w:tcPr>
            <w:tcW w:w="100" w:type="dxa"/>
            <w:vAlign w:val="bottom"/>
          </w:tcPr>
          <w:p>
            <w:pPr>
              <w:spacing w:after="0"/>
              <w:rPr>
                <w:sz w:val="15"/>
                <w:szCs w:val="15"/>
                <w:color w:val="auto"/>
              </w:rPr>
            </w:pPr>
          </w:p>
        </w:tc>
        <w:tc>
          <w:tcPr>
            <w:tcW w:w="210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3"/>
              </w:rPr>
              <w:t>Value Realized on Vestng ($) (b)</w:t>
            </w:r>
          </w:p>
        </w:tc>
      </w:tr>
      <w:tr>
        <w:trPr>
          <w:trHeight w:val="43"/>
        </w:trPr>
        <w:tc>
          <w:tcPr>
            <w:tcW w:w="660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B3B3B3"/>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B3B3B3"/>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23"/>
        </w:trPr>
        <w:tc>
          <w:tcPr>
            <w:tcW w:w="66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20" w:type="dxa"/>
            <w:vAlign w:val="bottom"/>
            <w:shd w:val="clear" w:color="auto" w:fill="B3B3B3"/>
          </w:tcPr>
          <w:p>
            <w:pPr>
              <w:spacing w:after="0"/>
              <w:rPr>
                <w:sz w:val="19"/>
                <w:szCs w:val="19"/>
                <w:color w:val="auto"/>
              </w:rPr>
            </w:pP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40,482</w:t>
            </w:r>
          </w:p>
        </w:tc>
        <w:tc>
          <w:tcPr>
            <w:tcW w:w="10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1,723,319</w:t>
            </w:r>
          </w:p>
        </w:tc>
      </w:tr>
      <w:tr>
        <w:trPr>
          <w:trHeight w:val="228"/>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Jefery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18,970</w:t>
            </w:r>
          </w:p>
        </w:tc>
        <w:tc>
          <w:tcPr>
            <w:tcW w:w="22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807,553</w:t>
            </w:r>
          </w:p>
        </w:tc>
      </w:tr>
      <w:tr>
        <w:trPr>
          <w:trHeight w:val="244"/>
        </w:trPr>
        <w:tc>
          <w:tcPr>
            <w:tcW w:w="672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6,314</w:t>
            </w:r>
          </w:p>
        </w:tc>
        <w:tc>
          <w:tcPr>
            <w:tcW w:w="220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268,787</w:t>
            </w:r>
          </w:p>
        </w:tc>
      </w:tr>
      <w:tr>
        <w:trPr>
          <w:trHeight w:val="228"/>
        </w:trPr>
        <w:tc>
          <w:tcPr>
            <w:tcW w:w="6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22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648,341</w:t>
            </w:r>
          </w:p>
        </w:tc>
      </w:tr>
    </w:tbl>
    <w:p>
      <w:pPr>
        <w:spacing w:after="0" w:line="143"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vestng in fscal 2023 were related to fscal 2020 awards, which shares vested on April 6, 2022.</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vestng of $42.57 per share.</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Nonqualifed Deferred Compensaton</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nonqualifed deferred compensaton plan is structured to comply with Secton 409A. Under the plan, there is no partcipant deferral of income. All contributons to the plan are made by the company and are fully vested immediately. Distributons under the plan begin six months afer terminaton of employment, and are made in one lump sum, or in installment payments over three or fve years, as chosen by the partcipant prior to their entry into the plan. Partcipant accounts are credited with the appropriate gains or losses resultng from the partcipant-directed investments made under the plan. Partcipants may change their investment selectons on a daily basis. Under the plan, for fscal 2023 we made contributons to this plan equal to 10% of each partcipant’s eligible compensaton in the plan year, resultng in a contributon of $30,500 on behalf of each eligible named executve ofcer.</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provides informaton concerning nonqualifed deferred compensaton for each of our eligible named executve ofcers for fscal 2023. Contributons to this plan were made afer the end of fscal 2023, and thus the aggregate balance at fscal 2023 year end shown below does not include fscal 2023 contributons yet to be made.</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5960" w:type="dxa"/>
            <w:vAlign w:val="bottom"/>
            <w:tcBorders>
              <w:top w:val="single" w:sz="8" w:color="auto"/>
              <w:lef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right"/>
              <w:ind w:right="15"/>
              <w:spacing w:after="0" w:line="138" w:lineRule="exact"/>
              <w:rPr>
                <w:sz w:val="20"/>
                <w:szCs w:val="20"/>
                <w:color w:val="auto"/>
              </w:rPr>
            </w:pPr>
            <w:r>
              <w:rPr>
                <w:rFonts w:ascii="Arial" w:cs="Arial" w:eastAsia="Arial" w:hAnsi="Arial"/>
                <w:sz w:val="14"/>
                <w:szCs w:val="14"/>
                <w:b w:val="1"/>
                <w:bCs w:val="1"/>
                <w:color w:val="auto"/>
                <w:w w:val="91"/>
              </w:rPr>
              <w:t>Registrant Contributons</w:t>
            </w:r>
          </w:p>
        </w:tc>
        <w:tc>
          <w:tcPr>
            <w:tcW w:w="16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w w:val="91"/>
              </w:rPr>
              <w:t>Aggregate Loss in Fiscal</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jc w:val="right"/>
              <w:ind w:right="95"/>
              <w:spacing w:after="0" w:line="138" w:lineRule="exact"/>
              <w:rPr>
                <w:sz w:val="20"/>
                <w:szCs w:val="20"/>
                <w:color w:val="auto"/>
              </w:rPr>
            </w:pPr>
            <w:r>
              <w:rPr>
                <w:rFonts w:ascii="Arial" w:cs="Arial" w:eastAsia="Arial" w:hAnsi="Arial"/>
                <w:sz w:val="14"/>
                <w:szCs w:val="14"/>
                <w:b w:val="1"/>
                <w:bCs w:val="1"/>
                <w:color w:val="auto"/>
                <w:w w:val="87"/>
              </w:rPr>
              <w:t>Aggregate Balance at</w:t>
            </w:r>
          </w:p>
        </w:tc>
      </w:tr>
      <w:tr>
        <w:trPr>
          <w:trHeight w:val="184"/>
        </w:trPr>
        <w:tc>
          <w:tcPr>
            <w:tcW w:w="596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215"/>
              <w:spacing w:after="0"/>
              <w:rPr>
                <w:sz w:val="20"/>
                <w:szCs w:val="20"/>
                <w:color w:val="auto"/>
              </w:rPr>
            </w:pPr>
            <w:r>
              <w:rPr>
                <w:rFonts w:ascii="Arial" w:cs="Arial" w:eastAsia="Arial" w:hAnsi="Arial"/>
                <w:sz w:val="14"/>
                <w:szCs w:val="14"/>
                <w:b w:val="1"/>
                <w:bCs w:val="1"/>
                <w:color w:val="auto"/>
                <w:w w:val="92"/>
              </w:rPr>
              <w:t>for Fiscal 2023 (a)</w:t>
            </w:r>
          </w:p>
        </w:tc>
        <w:tc>
          <w:tcPr>
            <w:tcW w:w="400" w:type="dxa"/>
            <w:vAlign w:val="bottom"/>
          </w:tcPr>
          <w:p>
            <w:pPr>
              <w:spacing w:after="0"/>
              <w:rPr>
                <w:sz w:val="15"/>
                <w:szCs w:val="15"/>
                <w:color w:val="auto"/>
              </w:rPr>
            </w:pPr>
          </w:p>
        </w:tc>
        <w:tc>
          <w:tcPr>
            <w:tcW w:w="12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 (b)</w:t>
            </w:r>
          </w:p>
        </w:tc>
        <w:tc>
          <w:tcPr>
            <w:tcW w:w="120" w:type="dxa"/>
            <w:vAlign w:val="bottom"/>
          </w:tcPr>
          <w:p>
            <w:pPr>
              <w:spacing w:after="0"/>
              <w:rPr>
                <w:sz w:val="15"/>
                <w:szCs w:val="15"/>
                <w:color w:val="auto"/>
              </w:rPr>
            </w:pPr>
          </w:p>
        </w:tc>
        <w:tc>
          <w:tcPr>
            <w:tcW w:w="1600" w:type="dxa"/>
            <w:vAlign w:val="bottom"/>
            <w:tcBorders>
              <w:right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w w:val="91"/>
              </w:rPr>
              <w:t>Fiscal 2023 Year End (c)</w:t>
            </w:r>
          </w:p>
        </w:tc>
      </w:tr>
      <w:tr>
        <w:trPr>
          <w:trHeight w:val="30"/>
        </w:trPr>
        <w:tc>
          <w:tcPr>
            <w:tcW w:w="5960" w:type="dxa"/>
            <w:vAlign w:val="bottom"/>
            <w:tcBorders>
              <w:left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37"/>
        </w:trPr>
        <w:tc>
          <w:tcPr>
            <w:tcW w:w="59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300" w:type="dxa"/>
            <w:vAlign w:val="bottom"/>
            <w:gridSpan w:val="2"/>
            <w:shd w:val="clear" w:color="auto" w:fill="B3B3B3"/>
          </w:tcPr>
          <w:p>
            <w:pPr>
              <w:jc w:val="right"/>
              <w:ind w:right="8"/>
              <w:spacing w:after="0"/>
              <w:rPr>
                <w:sz w:val="20"/>
                <w:szCs w:val="20"/>
                <w:color w:val="auto"/>
              </w:rPr>
            </w:pPr>
            <w:r>
              <w:rPr>
                <w:rFonts w:ascii="Arial" w:cs="Arial" w:eastAsia="Arial" w:hAnsi="Arial"/>
                <w:sz w:val="18"/>
                <w:szCs w:val="18"/>
                <w:color w:val="auto"/>
              </w:rPr>
              <w:t>$</w:t>
            </w:r>
          </w:p>
        </w:tc>
        <w:tc>
          <w:tcPr>
            <w:tcW w:w="1420" w:type="dxa"/>
            <w:vAlign w:val="bottom"/>
            <w:shd w:val="clear" w:color="auto" w:fill="B3B3B3"/>
          </w:tcPr>
          <w:p>
            <w:pPr>
              <w:jc w:val="right"/>
              <w:ind w:right="15"/>
              <w:spacing w:after="0"/>
              <w:rPr>
                <w:sz w:val="20"/>
                <w:szCs w:val="20"/>
                <w:color w:val="auto"/>
              </w:rPr>
            </w:pPr>
            <w:r>
              <w:rPr>
                <w:rFonts w:ascii="Arial" w:cs="Arial" w:eastAsia="Arial" w:hAnsi="Arial"/>
                <w:sz w:val="18"/>
                <w:szCs w:val="18"/>
                <w:color w:val="auto"/>
              </w:rPr>
              <w:t>30,500</w:t>
            </w:r>
          </w:p>
        </w:tc>
        <w:tc>
          <w:tcPr>
            <w:tcW w:w="400" w:type="dxa"/>
            <w:vAlign w:val="bottom"/>
            <w:shd w:val="clear" w:color="auto" w:fill="B3B3B3"/>
          </w:tcPr>
          <w:p>
            <w:pPr>
              <w:jc w:val="right"/>
              <w:ind w:right="115"/>
              <w:spacing w:after="0"/>
              <w:rPr>
                <w:sz w:val="20"/>
                <w:szCs w:val="20"/>
                <w:color w:val="auto"/>
              </w:rPr>
            </w:pPr>
            <w:r>
              <w:rPr>
                <w:rFonts w:ascii="Arial" w:cs="Arial" w:eastAsia="Arial" w:hAnsi="Arial"/>
                <w:sz w:val="18"/>
                <w:szCs w:val="18"/>
                <w:color w:val="auto"/>
              </w:rPr>
              <w:t>$</w:t>
            </w:r>
          </w:p>
        </w:tc>
        <w:tc>
          <w:tcPr>
            <w:tcW w:w="12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(14,283)</w:t>
            </w:r>
          </w:p>
        </w:tc>
        <w:tc>
          <w:tcPr>
            <w:tcW w:w="2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220,960</w:t>
            </w:r>
          </w:p>
        </w:tc>
      </w:tr>
      <w:tr>
        <w:trPr>
          <w:trHeight w:val="228"/>
        </w:trPr>
        <w:tc>
          <w:tcPr>
            <w:tcW w:w="5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Richard G. Erstad</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30,500</w:t>
            </w:r>
          </w:p>
        </w:tc>
        <w:tc>
          <w:tcPr>
            <w:tcW w:w="4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190,751</w:t>
            </w:r>
          </w:p>
        </w:tc>
      </w:tr>
      <w:tr>
        <w:trPr>
          <w:trHeight w:val="230"/>
        </w:trPr>
        <w:tc>
          <w:tcPr>
            <w:tcW w:w="5960" w:type="dxa"/>
            <w:vAlign w:val="bottom"/>
            <w:tcBorders>
              <w:left w:val="single" w:sz="8" w:color="auto"/>
              <w:bottom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David J. Mangine</w:t>
            </w:r>
          </w:p>
        </w:tc>
        <w:tc>
          <w:tcPr>
            <w:tcW w:w="300" w:type="dxa"/>
            <w:vAlign w:val="bottom"/>
            <w:tcBorders>
              <w:bottom w:val="single" w:sz="8" w:color="auto"/>
            </w:tcBorders>
            <w:gridSpan w:val="2"/>
            <w:shd w:val="clear" w:color="auto" w:fill="B3B3B3"/>
          </w:tcPr>
          <w:p>
            <w:pPr>
              <w:jc w:val="right"/>
              <w:ind w:right="8"/>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30,500</w:t>
            </w:r>
          </w:p>
        </w:tc>
        <w:tc>
          <w:tcPr>
            <w:tcW w:w="400" w:type="dxa"/>
            <w:vAlign w:val="bottom"/>
            <w:tcBorders>
              <w:bottom w:val="single" w:sz="8" w:color="auto"/>
            </w:tcBorders>
            <w:shd w:val="clear" w:color="auto" w:fill="B3B3B3"/>
          </w:tcPr>
          <w:p>
            <w:pPr>
              <w:jc w:val="right"/>
              <w:ind w:right="11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167,686</w:t>
            </w:r>
          </w:p>
        </w:tc>
      </w:tr>
    </w:tbl>
    <w:p>
      <w:pPr>
        <w:spacing w:after="0" w:line="157"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Amounts included as nonqualifed deferred compensaton are included in “all other compensaton” in the Summary Compensaton Table above.</w:t>
      </w:r>
    </w:p>
    <w:p>
      <w:pPr>
        <w:spacing w:after="0" w:line="101" w:lineRule="exact"/>
        <w:rPr>
          <w:rFonts w:ascii="Arial" w:cs="Arial" w:eastAsia="Arial" w:hAnsi="Arial"/>
          <w:sz w:val="17"/>
          <w:szCs w:val="17"/>
          <w:color w:val="auto"/>
        </w:rPr>
      </w:pPr>
    </w:p>
    <w:p>
      <w:pPr>
        <w:ind w:left="420" w:hanging="412"/>
        <w:spacing w:after="0" w:line="256"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deferred are credited with earnings from measuring investments selected by the partcipant from a collecton of unafliated mutual funds identfed by the company that generally mirror the investment optons of our 401(k) plan. The nonqualifed deferred compensaton plan does not credit above market earnings or preferental earnings to amounts deferred. The returns on the investment alternatves available to partcipants during fscal 2023 ranged from -12.3% to 2.7%, with a median return of -6.5% for fscal 2023. Partcipants may change their investment selectons on a daily basis.</w:t>
      </w:r>
    </w:p>
    <w:p>
      <w:pPr>
        <w:spacing w:after="0" w:line="70" w:lineRule="exact"/>
        <w:rPr>
          <w:rFonts w:ascii="Arial" w:cs="Arial" w:eastAsia="Arial" w:hAnsi="Arial"/>
          <w:sz w:val="18"/>
          <w:szCs w:val="18"/>
          <w:color w:val="auto"/>
        </w:rPr>
      </w:pPr>
    </w:p>
    <w:p>
      <w:pPr>
        <w:ind w:left="420" w:right="440" w:hanging="412"/>
        <w:spacing w:after="0" w:line="262" w:lineRule="auto"/>
        <w:tabs>
          <w:tab w:leader="none" w:pos="2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aggregate contributons made for Mr. Hawkins and Mr. Erstad of $166,500 prior to the end of fscal 2023, as reported in the Summary Compensaton Table in the prior years. Includes aggregate contributons made for Mr. Mangine of $149,479 prior to the end of fscal 2023, not previously reported as he was not a named executve ofcer.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Potental Payments Upon Terminaton or Change in Control</w:t>
      </w:r>
    </w:p>
    <w:p>
      <w:pPr>
        <w:spacing w:after="0" w:line="124"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Our Compensaton Commitee has adopted an Executve Severance Plan covering our Chief Executve Ofcer and certain other key employees, including all of our named executve ofcers. Executves covered by the plan are eligible to receive specifed payments and benefts if their employment is terminated (1) by us without “cause” at any tme or (2) by them for “good reason” within a period beginning 30 days before and contnuing untl two years afer a “change in control” as described below. In additon, award agreements for our equity incentve awards provide for accelerated vestng and</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6" w:name="page27"/>
    <w:bookmarkEnd w:id="26"/>
    <w:p>
      <w:pPr>
        <w:jc w:val="both"/>
        <w:ind w:right="200"/>
        <w:spacing w:after="0" w:line="337" w:lineRule="auto"/>
        <w:rPr>
          <w:sz w:val="20"/>
          <w:szCs w:val="20"/>
          <w:color w:val="auto"/>
        </w:rPr>
      </w:pPr>
      <w:r>
        <w:rPr>
          <w:rFonts w:ascii="Arial" w:cs="Arial" w:eastAsia="Arial" w:hAnsi="Arial"/>
          <w:sz w:val="16"/>
          <w:szCs w:val="16"/>
          <w:color w:val="auto"/>
        </w:rPr>
        <w:t>exercisability of such awards in connecton with an individual’s terminaton of employment due to death or disability, or under certain circumstances in connecton with a “fundamental change” (as defned in the “Compensaton Discussion and Analysis” above) involving the company, as described below.</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Potental Payments under Executve Severance Plan</w:t>
      </w:r>
    </w:p>
    <w:p>
      <w:pPr>
        <w:spacing w:after="0" w:line="1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terms of the Executve Severance Plan, the Compensaton Commitee is responsible for assigning each executve to one of four ters, which determines the duraton of salary contnuaton for which an executve may be eligible. Mr. Hawkins has been assigned to Tier 1, Mr. Oldenkamp, Mr. Grahek and Mr. Mangine have been assigned to Tier 3 and Mr. Erstad has been assigned to Tier 4. Tiers 1 and 2 provide for a salary contnuaton period of 18 months in the case of a terminaton without cause not due to change in control and 24 months in the case of a terminaton (without cause or for good reason) due to change in control. Tiers 3 and 4 provide for a salary contnuaton period of 12 months in the case of terminaton without cause not due to change in control and 18 months in the case of terminaton (without cause or for good reason) due to change in control.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Executve Severance Plan, “cause” means:</w:t>
      </w:r>
    </w:p>
    <w:p>
      <w:pPr>
        <w:spacing w:after="0" w:line="2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executve’s willful and material failure or refusal during his or her employment to carry out any reasonable directve of the Board;</w:t>
      </w:r>
    </w:p>
    <w:p>
      <w:pPr>
        <w:spacing w:after="0" w:line="9" w:lineRule="exact"/>
        <w:rPr>
          <w:rFonts w:ascii="Arial" w:cs="Arial" w:eastAsia="Arial" w:hAnsi="Arial"/>
          <w:sz w:val="18"/>
          <w:szCs w:val="18"/>
          <w:color w:val="auto"/>
        </w:rPr>
      </w:pPr>
    </w:p>
    <w:p>
      <w:pPr>
        <w:jc w:val="both"/>
        <w:ind w:left="660" w:right="6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willful and material failure by the executve during his or her employment to comply with any material policy, rule or code of conduct generally applicable to our employees or to our management employees, which failure is materially and demonstratvely injurious to our fnancial conditon or business reputaton;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executve’s embezzlement or misappropriaton of our funds or any other willful act or omission by the executve which is materially injurious to our fnancial conditon or business reputaton; or</w:t>
      </w:r>
    </w:p>
    <w:p>
      <w:pPr>
        <w:ind w:left="660" w:right="12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executve’s convicton or confession of an act or acts consttutng a felony under the laws of the United States or any state thereof related to our business or which is materially injurious to our fnancial conditon or business reputaton.</w:t>
      </w:r>
    </w:p>
    <w:p>
      <w:pPr>
        <w:spacing w:after="0" w:line="2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payments and benefts that would be paid to an executve under the Executve Severance Plan as a result of a terminaton of employment without cause not due to a change in control include (1) base salary for the salary contnuaton period associated with the executve’s ter, (2) COBRA contnuaton coverage for medical and dental benefts for a maximum of 18 months (with the executve to be charged the actve employee rate for coverage), and (3) the reasonable costs of outplacement services for a maximum of one year.</w:t>
      </w:r>
    </w:p>
    <w:p>
      <w:pPr>
        <w:spacing w:after="0" w:line="2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additonal payments and benefts that would be paid to an executve under the Executve Severance Plan as a result of a qualifying terminaton of employment in connecton with a “change in control” (as defned below) include (1) six additonal months of salary contnuaton, (2) a beneft equal to the annual bonus that would have been received (measured at target) if the executve had remained employed and eligible to receive such bonus for the entre salary contnuaton period, and (3) a beneft equal to the additonal beneft, if any, that would have been received under the proft sharing plan or the nonqualifed deferred compensaton plan, depending on partcipant eligibility, if the executve had remained employed and eligible for the plan for the entre salary contnuaton period, plus the 401(k) employer matching contributons that would have been received for the salary contnuaton period if the executve had made 401(k) contributons at least at the rate that would have enttled the executve to the maximum employer matching contributons permited under the Proft Sharing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Executve Severance Plan, “change in control” means:</w:t>
      </w:r>
    </w:p>
    <w:p>
      <w:pPr>
        <w:spacing w:after="0" w:line="20" w:lineRule="exact"/>
        <w:rPr>
          <w:sz w:val="20"/>
          <w:szCs w:val="20"/>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dissoluton, liquidaton, sale of substantally all of our assets or a merger or consolidaton of us or a statutory share exchange involving our stock unless, immediately following the transacton, all or substantally all of our benefcial owners immediately prior to the transacton benefcially own more than 50% of the combined votng power of the surviving or acquiring entty (or its parent) resultng from the transacton in substantally the same proportons as their ownership of us immediately prior to the transacton;</w:t>
      </w:r>
    </w:p>
    <w:p>
      <w:pPr>
        <w:spacing w:after="0" w:line="1" w:lineRule="exact"/>
        <w:rPr>
          <w:rFonts w:ascii="Arial" w:cs="Arial" w:eastAsia="Arial" w:hAnsi="Arial"/>
          <w:sz w:val="18"/>
          <w:szCs w:val="18"/>
          <w:color w:val="auto"/>
        </w:rPr>
      </w:pPr>
    </w:p>
    <w:p>
      <w:pPr>
        <w:ind w:left="660" w:right="160" w:hanging="328"/>
        <w:spacing w:after="0" w:line="25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person or group, other than (1) one or more of our subsidiaries, or (2) an employee beneft plan (or related trust) sponsored or maintained by us, becomes a benefcial owner of our equity securites representng more than 50% of the combined votng power of our then outstanding votng securites, except that (A) any acquisiton of our equity securites directly from us for the purpose of providing fnancing to us, any formaton of a group consistng solely of our benefcial owners as of August 2, 2011, or any repurchase or other acquisiton by us of our equity securites that causes any person to become the benefcial owner of more than 50% of our combined votng power, will not be considered a “change in control” unless and untl, the person acquires benefcial ownership of additonal votng securites of ours afer the person initally became the benefcial owner of more than 50% of the combined votng power of our votng securites by one of the means described in this clause (A); and (B) a change in control will occur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660" w:right="80"/>
        <w:spacing w:after="0" w:line="273" w:lineRule="auto"/>
        <w:rPr>
          <w:sz w:val="20"/>
          <w:szCs w:val="20"/>
          <w:color w:val="auto"/>
        </w:rPr>
      </w:pPr>
      <w:r>
        <w:rPr>
          <w:rFonts w:ascii="Arial" w:cs="Arial" w:eastAsia="Arial" w:hAnsi="Arial"/>
          <w:sz w:val="18"/>
          <w:szCs w:val="18"/>
          <w:color w:val="auto"/>
        </w:rPr>
        <w:t>if a person or group becomes the benefcial owner of more than 50% of our votng securites as the result of a transacton only if the transacton is itself a “change in control” pursuant to the preceding bullet point; or</w:t>
      </w:r>
    </w:p>
    <w:p>
      <w:pPr>
        <w:spacing w:after="0" w:line="204" w:lineRule="exact"/>
        <w:rPr>
          <w:sz w:val="20"/>
          <w:szCs w:val="20"/>
          <w:color w:val="auto"/>
        </w:rPr>
      </w:pPr>
    </w:p>
    <w:p>
      <w:pPr>
        <w:ind w:left="660" w:right="1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individuals who were “contnuing directors” cease for any reason to consttute a majority of the members of our Board. “Contnuing director” means an individual who was a director as of August 2, 2011 or was nominated or elected by at least a majority of the then contnuing directors (other than a person whose inital assumpton of ofce occurs as a result of an actual or threatened electon contest or other actual or threatened solicitaton of proxies or consents on behalf of anyone other than the Board).</w:t>
      </w:r>
    </w:p>
    <w:p>
      <w:pPr>
        <w:spacing w:after="0" w:line="217"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An executve must enter into an agreement with the company that contains covenants against competton, disclosure and solicitaton, and a release of claims to qualify for payments and benefts under the Executve Severance Plan.</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the Executve Severance Plan, a “terminaton due to change in control” means a terminaton for good reason or a terminaton without cause that happens during the 30-day period preceding or the two-year period beginning on the date of a change in control. A “terminaton for good reason” means a terminaton of employment by the executve provided the executve has given us writen notce of the existence of a conditon consttutng a “good reason” within 90 days of its frst occurrence and we have failed to remedy the conditon within 30 days thereafer and the terminaton occurs not later than the expiraton of the two-year period following the inital existence of the conditon consttutng “good reason.” “Good reason” means any of the following conditons arising without the consent of the executve:</w:t>
      </w:r>
    </w:p>
    <w:p>
      <w:pPr>
        <w:spacing w:after="0" w:line="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decrease in the executve’s base compensaton;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diminuton in the executve’s authority, dutes, or responsibilites;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relocaton of the executve’s principal ofce more than 50 miles from its current locaton; or</w:t>
      </w:r>
    </w:p>
    <w:p>
      <w:pPr>
        <w:spacing w:after="0" w:line="9"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acton or inacton that consttutes a material breach by us of any terms or conditons of any agreement between us and the executve, which breach has not been caused by the executve.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Potental Accelerated Vestng of Equity Awards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Terminaton Following a Fundamental Change. </w:t>
      </w:r>
      <w:r>
        <w:rPr>
          <w:rFonts w:ascii="Arial" w:cs="Arial" w:eastAsia="Arial" w:hAnsi="Arial"/>
          <w:sz w:val="17"/>
          <w:szCs w:val="17"/>
          <w:color w:val="auto"/>
        </w:rPr>
        <w:t>All named executve ofcers with performance-based restricted stock units or shares of restricted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enttled to accelerated vestng of the units and restricted stock following a “fundamental change” involving the company if (i) the awards will not be contnued, assumed or replaced in connecton with the fundamental change, or (ii) if the awards are contnued, assumed or replaced, the executve is involuntarily terminated without cause or resigns for good reason during the applicable performance period or prior to the fnal vestng of the restricted stock.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terminaton generally involves the commission of a felony or convicton for a criminal misdemeanor, gross misconduct or fraud that is likely to cause material harm to the company, a material violaton of company policies or its code of conduct, or a willful or material breach of any agreement with the company.</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additon, in connecton with a fundamental change involving the company, the Compensaton Commitee may generally, in its discreton, (1) accelerate the vestng of outstanding unvested stock optons, (2) make appropriate provision to protect any stock opton in a manner that equitably preserves the compensaton element of the stock opton at the tme of the fundamental change, or (3) cancel the stock opton in exchange for a lump sum payment of cash equal to the amount, if any, by which the then current “fair market value” of the shares subject to the opton exceeds the aggregate exercise price of the shares covered by the stock opton. “Fair market value” per share means the cash plus the fair market value, as determined in good faith by the Compensaton Commitee, of the non-cash consideraton to be received per share by the shareholders of the company upon the occurrence of the fundamental change; the calculaton of any consideraton to be received by shareholders following the fundamental change will be based on present value.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Terminaton of Employment Due to Death or Disability. </w:t>
      </w:r>
      <w:r>
        <w:rPr>
          <w:rFonts w:ascii="Arial" w:cs="Arial" w:eastAsia="Arial" w:hAnsi="Arial"/>
          <w:sz w:val="18"/>
          <w:szCs w:val="18"/>
          <w:color w:val="auto"/>
        </w:rPr>
        <w:t>All named executve ofcers with performance-based restricted stock units or shares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enttled to accelerated vestng of the units and restricted stock upon terminaton of employment due to death or disability. In the event that the executve ofcer’s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of stock in exchange for each vested unit.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8" w:name="page29"/>
    <w:bookmarkEnd w:id="28"/>
    <w:p>
      <w:pPr>
        <w:spacing w:after="0" w:line="258" w:lineRule="auto"/>
        <w:rPr>
          <w:sz w:val="20"/>
          <w:szCs w:val="20"/>
          <w:color w:val="auto"/>
        </w:rPr>
      </w:pPr>
      <w:r>
        <w:rPr>
          <w:rFonts w:ascii="Arial" w:cs="Arial" w:eastAsia="Arial" w:hAnsi="Arial"/>
          <w:sz w:val="18"/>
          <w:szCs w:val="18"/>
          <w:color w:val="auto"/>
        </w:rPr>
        <w:t>The following table presents the amounts that would have been received by each named executve ofcer under the Executve Severance Plan if a terminaton of the ofcer’s employment had taken place on the last business day of our most recently completed fscal year under the following circumstances: terminaton without cause not in connecton with a change in control; death or disability; or terminaton without cause or for good reason in connecton with a change in control.</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860" w:type="dxa"/>
            <w:vAlign w:val="bottom"/>
            <w:tcBorders>
              <w:top w:val="single" w:sz="8" w:color="auto"/>
              <w:left w:val="single" w:sz="8" w:color="auto"/>
            </w:tcBorders>
          </w:tcPr>
          <w:p>
            <w:pPr>
              <w:spacing w:after="0"/>
              <w:rPr>
                <w:sz w:val="15"/>
                <w:szCs w:val="15"/>
                <w:color w:val="auto"/>
              </w:rPr>
            </w:pPr>
          </w:p>
        </w:tc>
        <w:tc>
          <w:tcPr>
            <w:tcW w:w="3200" w:type="dxa"/>
            <w:vAlign w:val="bottom"/>
            <w:tcBorders>
              <w:top w:val="single" w:sz="8" w:color="auto"/>
            </w:tcBorders>
            <w:vMerge w:val="restart"/>
          </w:tcPr>
          <w:p>
            <w:pPr>
              <w:jc w:val="center"/>
              <w:ind w:left="1078"/>
              <w:spacing w:after="0"/>
              <w:rPr>
                <w:sz w:val="20"/>
                <w:szCs w:val="20"/>
                <w:color w:val="auto"/>
              </w:rPr>
            </w:pPr>
            <w:r>
              <w:rPr>
                <w:rFonts w:ascii="Arial" w:cs="Arial" w:eastAsia="Arial" w:hAnsi="Arial"/>
                <w:sz w:val="18"/>
                <w:szCs w:val="18"/>
                <w:b w:val="1"/>
                <w:bCs w:val="1"/>
                <w:color w:val="auto"/>
                <w:w w:val="91"/>
              </w:rPr>
              <w:t>Terminaton Without</w:t>
            </w:r>
          </w:p>
        </w:tc>
        <w:tc>
          <w:tcPr>
            <w:tcW w:w="1940" w:type="dxa"/>
            <w:vAlign w:val="bottom"/>
            <w:tcBorders>
              <w:top w:val="single" w:sz="8" w:color="auto"/>
            </w:tcBorders>
          </w:tcPr>
          <w:p>
            <w:pPr>
              <w:spacing w:after="0"/>
              <w:rPr>
                <w:sz w:val="15"/>
                <w:szCs w:val="15"/>
                <w:color w:val="auto"/>
              </w:rPr>
            </w:pPr>
          </w:p>
        </w:tc>
        <w:tc>
          <w:tcPr>
            <w:tcW w:w="1880" w:type="dxa"/>
            <w:vAlign w:val="bottom"/>
            <w:tcBorders>
              <w:top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Terminaton Without</w:t>
            </w:r>
          </w:p>
        </w:tc>
        <w:tc>
          <w:tcPr>
            <w:tcW w:w="0" w:type="dxa"/>
            <w:vAlign w:val="bottom"/>
          </w:tcPr>
          <w:p>
            <w:pPr>
              <w:spacing w:after="0"/>
              <w:rPr>
                <w:sz w:val="1"/>
                <w:szCs w:val="1"/>
                <w:color w:val="auto"/>
              </w:rPr>
            </w:pPr>
          </w:p>
        </w:tc>
      </w:tr>
      <w:tr>
        <w:trPr>
          <w:trHeight w:val="182"/>
        </w:trPr>
        <w:tc>
          <w:tcPr>
            <w:tcW w:w="3860" w:type="dxa"/>
            <w:vAlign w:val="bottom"/>
            <w:tcBorders>
              <w:left w:val="single" w:sz="8" w:color="auto"/>
            </w:tcBorders>
          </w:tcPr>
          <w:p>
            <w:pPr>
              <w:spacing w:after="0"/>
              <w:rPr>
                <w:sz w:val="15"/>
                <w:szCs w:val="15"/>
                <w:color w:val="auto"/>
              </w:rPr>
            </w:pPr>
          </w:p>
        </w:tc>
        <w:tc>
          <w:tcPr>
            <w:tcW w:w="320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8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4"/>
              </w:rPr>
              <w:t>Cause or for Good</w:t>
            </w:r>
          </w:p>
        </w:tc>
        <w:tc>
          <w:tcPr>
            <w:tcW w:w="0" w:type="dxa"/>
            <w:vAlign w:val="bottom"/>
          </w:tcPr>
          <w:p>
            <w:pPr>
              <w:spacing w:after="0"/>
              <w:rPr>
                <w:sz w:val="1"/>
                <w:szCs w:val="1"/>
                <w:color w:val="auto"/>
              </w:rPr>
            </w:pPr>
          </w:p>
        </w:tc>
      </w:tr>
      <w:tr>
        <w:trPr>
          <w:trHeight w:val="183"/>
        </w:trPr>
        <w:tc>
          <w:tcPr>
            <w:tcW w:w="3860" w:type="dxa"/>
            <w:vAlign w:val="bottom"/>
            <w:tcBorders>
              <w:left w:val="single" w:sz="8" w:color="auto"/>
            </w:tcBorders>
          </w:tcPr>
          <w:p>
            <w:pPr>
              <w:spacing w:after="0"/>
              <w:rPr>
                <w:sz w:val="15"/>
                <w:szCs w:val="15"/>
                <w:color w:val="auto"/>
              </w:rPr>
            </w:pPr>
          </w:p>
        </w:tc>
        <w:tc>
          <w:tcPr>
            <w:tcW w:w="3200" w:type="dxa"/>
            <w:vAlign w:val="bottom"/>
          </w:tcPr>
          <w:p>
            <w:pPr>
              <w:jc w:val="center"/>
              <w:ind w:left="1078"/>
              <w:spacing w:after="0" w:line="183" w:lineRule="exact"/>
              <w:rPr>
                <w:sz w:val="20"/>
                <w:szCs w:val="20"/>
                <w:color w:val="auto"/>
              </w:rPr>
            </w:pPr>
            <w:r>
              <w:rPr>
                <w:rFonts w:ascii="Arial" w:cs="Arial" w:eastAsia="Arial" w:hAnsi="Arial"/>
                <w:sz w:val="18"/>
                <w:szCs w:val="18"/>
                <w:b w:val="1"/>
                <w:bCs w:val="1"/>
                <w:color w:val="auto"/>
                <w:w w:val="88"/>
              </w:rPr>
              <w:t>Cause not in connecton</w:t>
            </w:r>
          </w:p>
        </w:tc>
        <w:tc>
          <w:tcPr>
            <w:tcW w:w="1940" w:type="dxa"/>
            <w:vAlign w:val="bottom"/>
          </w:tcPr>
          <w:p>
            <w:pPr>
              <w:spacing w:after="0"/>
              <w:rPr>
                <w:sz w:val="15"/>
                <w:szCs w:val="15"/>
                <w:color w:val="auto"/>
              </w:rPr>
            </w:pPr>
          </w:p>
        </w:tc>
        <w:tc>
          <w:tcPr>
            <w:tcW w:w="18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87"/>
              </w:rPr>
              <w:t>Reason in connecton</w:t>
            </w:r>
          </w:p>
        </w:tc>
        <w:tc>
          <w:tcPr>
            <w:tcW w:w="0" w:type="dxa"/>
            <w:vAlign w:val="bottom"/>
          </w:tcPr>
          <w:p>
            <w:pPr>
              <w:spacing w:after="0"/>
              <w:rPr>
                <w:sz w:val="1"/>
                <w:szCs w:val="1"/>
                <w:color w:val="auto"/>
              </w:rPr>
            </w:pPr>
          </w:p>
        </w:tc>
      </w:tr>
      <w:tr>
        <w:trPr>
          <w:trHeight w:val="175"/>
        </w:trPr>
        <w:tc>
          <w:tcPr>
            <w:tcW w:w="38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Compensaton Element</w:t>
            </w:r>
          </w:p>
        </w:tc>
        <w:tc>
          <w:tcPr>
            <w:tcW w:w="3200" w:type="dxa"/>
            <w:vAlign w:val="bottom"/>
          </w:tcPr>
          <w:p>
            <w:pPr>
              <w:jc w:val="center"/>
              <w:ind w:left="1078"/>
              <w:spacing w:after="0" w:line="176" w:lineRule="exact"/>
              <w:rPr>
                <w:sz w:val="20"/>
                <w:szCs w:val="20"/>
                <w:color w:val="auto"/>
              </w:rPr>
            </w:pPr>
            <w:r>
              <w:rPr>
                <w:rFonts w:ascii="Arial" w:cs="Arial" w:eastAsia="Arial" w:hAnsi="Arial"/>
                <w:sz w:val="18"/>
                <w:szCs w:val="18"/>
                <w:b w:val="1"/>
                <w:bCs w:val="1"/>
                <w:color w:val="auto"/>
                <w:w w:val="86"/>
              </w:rPr>
              <w:t>with a Change in</w:t>
            </w:r>
          </w:p>
        </w:tc>
        <w:tc>
          <w:tcPr>
            <w:tcW w:w="194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w w:val="94"/>
              </w:rPr>
              <w:t>Death or Disability ($)</w:t>
            </w:r>
          </w:p>
        </w:tc>
        <w:tc>
          <w:tcPr>
            <w:tcW w:w="18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6"/>
              </w:rPr>
              <w:t>with a Change in</w:t>
            </w:r>
          </w:p>
        </w:tc>
        <w:tc>
          <w:tcPr>
            <w:tcW w:w="0" w:type="dxa"/>
            <w:vAlign w:val="bottom"/>
          </w:tcPr>
          <w:p>
            <w:pPr>
              <w:spacing w:after="0"/>
              <w:rPr>
                <w:sz w:val="1"/>
                <w:szCs w:val="1"/>
                <w:color w:val="auto"/>
              </w:rPr>
            </w:pPr>
          </w:p>
        </w:tc>
      </w:tr>
      <w:tr>
        <w:trPr>
          <w:trHeight w:val="231"/>
        </w:trPr>
        <w:tc>
          <w:tcPr>
            <w:tcW w:w="3860" w:type="dxa"/>
            <w:vAlign w:val="bottom"/>
            <w:tcBorders>
              <w:left w:val="single" w:sz="8" w:color="auto"/>
            </w:tcBorders>
            <w:vMerge w:val="continue"/>
          </w:tcPr>
          <w:p>
            <w:pPr>
              <w:spacing w:after="0"/>
              <w:rPr>
                <w:sz w:val="20"/>
                <w:szCs w:val="20"/>
                <w:color w:val="auto"/>
              </w:rPr>
            </w:pPr>
          </w:p>
        </w:tc>
        <w:tc>
          <w:tcPr>
            <w:tcW w:w="3200" w:type="dxa"/>
            <w:vAlign w:val="bottom"/>
          </w:tcPr>
          <w:p>
            <w:pPr>
              <w:jc w:val="center"/>
              <w:ind w:left="1078"/>
              <w:spacing w:after="0"/>
              <w:rPr>
                <w:sz w:val="20"/>
                <w:szCs w:val="20"/>
                <w:color w:val="auto"/>
              </w:rPr>
            </w:pPr>
            <w:r>
              <w:rPr>
                <w:rFonts w:ascii="Arial" w:cs="Arial" w:eastAsia="Arial" w:hAnsi="Arial"/>
                <w:sz w:val="18"/>
                <w:szCs w:val="18"/>
                <w:b w:val="1"/>
                <w:bCs w:val="1"/>
                <w:color w:val="auto"/>
                <w:w w:val="87"/>
              </w:rPr>
              <w:t>Control ($)</w:t>
            </w:r>
          </w:p>
        </w:tc>
        <w:tc>
          <w:tcPr>
            <w:tcW w:w="1940" w:type="dxa"/>
            <w:vAlign w:val="bottom"/>
            <w:vMerge w:val="continue"/>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Control ($)</w:t>
            </w:r>
          </w:p>
        </w:tc>
        <w:tc>
          <w:tcPr>
            <w:tcW w:w="0" w:type="dxa"/>
            <w:vAlign w:val="bottom"/>
          </w:tcPr>
          <w:p>
            <w:pPr>
              <w:spacing w:after="0"/>
              <w:rPr>
                <w:sz w:val="1"/>
                <w:szCs w:val="1"/>
                <w:color w:val="auto"/>
              </w:rPr>
            </w:pPr>
          </w:p>
        </w:tc>
      </w:tr>
      <w:tr>
        <w:trPr>
          <w:trHeight w:val="26"/>
        </w:trPr>
        <w:tc>
          <w:tcPr>
            <w:tcW w:w="3860" w:type="dxa"/>
            <w:vAlign w:val="bottom"/>
            <w:tcBorders>
              <w:left w:val="single" w:sz="8" w:color="auto"/>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Salary Contnuaton Amount (a)</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922,500</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1,230,000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452,000</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678,000</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355,000</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532,500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325,000</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487,500</w:t>
            </w: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325,000</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487,500</w:t>
            </w:r>
          </w:p>
        </w:tc>
        <w:tc>
          <w:tcPr>
            <w:tcW w:w="0" w:type="dxa"/>
            <w:vAlign w:val="bottom"/>
          </w:tcPr>
          <w:p>
            <w:pPr>
              <w:spacing w:after="0"/>
              <w:rPr>
                <w:sz w:val="1"/>
                <w:szCs w:val="1"/>
                <w:color w:val="auto"/>
              </w:rPr>
            </w:pPr>
          </w:p>
        </w:tc>
      </w:tr>
      <w:tr>
        <w:trPr>
          <w:trHeight w:val="94"/>
        </w:trPr>
        <w:tc>
          <w:tcPr>
            <w:tcW w:w="3860" w:type="dxa"/>
            <w:vAlign w:val="bottom"/>
            <w:tcBorders>
              <w:left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Medical and Dental Coverage (b)</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27,701</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27,701</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10,763</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16,144</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11,447</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17,170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12,649</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18,974</w:t>
            </w: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12,528</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18,791</w:t>
            </w:r>
          </w:p>
        </w:tc>
        <w:tc>
          <w:tcPr>
            <w:tcW w:w="0" w:type="dxa"/>
            <w:vAlign w:val="bottom"/>
          </w:tcPr>
          <w:p>
            <w:pPr>
              <w:spacing w:after="0"/>
              <w:rPr>
                <w:sz w:val="1"/>
                <w:szCs w:val="1"/>
                <w:color w:val="auto"/>
              </w:rPr>
            </w:pPr>
          </w:p>
        </w:tc>
      </w:tr>
      <w:tr>
        <w:trPr>
          <w:trHeight w:val="107"/>
        </w:trPr>
        <w:tc>
          <w:tcPr>
            <w:tcW w:w="3860" w:type="dxa"/>
            <w:vAlign w:val="bottom"/>
            <w:tcBorders>
              <w:lef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Outplacement Costs (c)</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20,000</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20,000</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04"/>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107"/>
        </w:trPr>
        <w:tc>
          <w:tcPr>
            <w:tcW w:w="3860" w:type="dxa"/>
            <w:vAlign w:val="bottom"/>
            <w:tcBorders>
              <w:lef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Target Bonus Amount (d)</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1,230,000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508,500</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213,000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04"/>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93"/>
        </w:trPr>
        <w:tc>
          <w:tcPr>
            <w:tcW w:w="3860" w:type="dxa"/>
            <w:vAlign w:val="bottom"/>
            <w:tcBorders>
              <w:left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Proft Sharing / 401(k) Contributon (e)</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91,500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45,750</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45,750</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68,625</w:t>
            </w: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68,625</w:t>
            </w:r>
          </w:p>
        </w:tc>
        <w:tc>
          <w:tcPr>
            <w:tcW w:w="0" w:type="dxa"/>
            <w:vAlign w:val="bottom"/>
          </w:tcPr>
          <w:p>
            <w:pPr>
              <w:spacing w:after="0"/>
              <w:rPr>
                <w:sz w:val="1"/>
                <w:szCs w:val="1"/>
                <w:color w:val="auto"/>
              </w:rPr>
            </w:pPr>
          </w:p>
        </w:tc>
      </w:tr>
      <w:tr>
        <w:trPr>
          <w:trHeight w:val="107"/>
        </w:trPr>
        <w:tc>
          <w:tcPr>
            <w:tcW w:w="3860" w:type="dxa"/>
            <w:vAlign w:val="bottom"/>
            <w:tcBorders>
              <w:lef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Acceleraton of Equity Awards (f)</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3,525,385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3,525,385</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1,850,187</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1,850,187</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1,012,106</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1,012,106</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1,303,593</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1,303,593</w:t>
            </w:r>
          </w:p>
        </w:tc>
        <w:tc>
          <w:tcPr>
            <w:tcW w:w="0" w:type="dxa"/>
            <w:vAlign w:val="bottom"/>
          </w:tcPr>
          <w:p>
            <w:pPr>
              <w:spacing w:after="0"/>
              <w:rPr>
                <w:sz w:val="1"/>
                <w:szCs w:val="1"/>
                <w:color w:val="auto"/>
              </w:rPr>
            </w:pPr>
          </w:p>
        </w:tc>
      </w:tr>
      <w:tr>
        <w:trPr>
          <w:trHeight w:val="204"/>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542,478</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542,478</w:t>
            </w:r>
          </w:p>
        </w:tc>
        <w:tc>
          <w:tcPr>
            <w:tcW w:w="0" w:type="dxa"/>
            <w:vAlign w:val="bottom"/>
          </w:tcPr>
          <w:p>
            <w:pPr>
              <w:spacing w:after="0"/>
              <w:rPr>
                <w:sz w:val="1"/>
                <w:szCs w:val="1"/>
                <w:color w:val="auto"/>
              </w:rPr>
            </w:pPr>
          </w:p>
        </w:tc>
      </w:tr>
      <w:tr>
        <w:trPr>
          <w:trHeight w:val="107"/>
        </w:trPr>
        <w:tc>
          <w:tcPr>
            <w:tcW w:w="3860" w:type="dxa"/>
            <w:vAlign w:val="bottom"/>
            <w:tcBorders>
              <w:lef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Total</w:t>
            </w:r>
          </w:p>
        </w:tc>
        <w:tc>
          <w:tcPr>
            <w:tcW w:w="320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970,201</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3,525,385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6,124,586</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Jefrey P. Oldenkamp</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482,763</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1,850,187</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3,118,581</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200" w:type="dxa"/>
            <w:vAlign w:val="bottom"/>
          </w:tcPr>
          <w:p>
            <w:pPr>
              <w:jc w:val="right"/>
              <w:ind w:right="78"/>
              <w:spacing w:after="0"/>
              <w:rPr>
                <w:sz w:val="20"/>
                <w:szCs w:val="20"/>
                <w:color w:val="auto"/>
              </w:rPr>
            </w:pPr>
            <w:r>
              <w:rPr>
                <w:rFonts w:ascii="Arial" w:cs="Arial" w:eastAsia="Arial" w:hAnsi="Arial"/>
                <w:sz w:val="16"/>
                <w:szCs w:val="16"/>
                <w:color w:val="auto"/>
              </w:rPr>
              <w:t>386,447</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1,012,106</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1,840,526</w:t>
            </w: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320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357,649</w:t>
            </w:r>
          </w:p>
        </w:tc>
        <w:tc>
          <w:tcPr>
            <w:tcW w:w="1940" w:type="dxa"/>
            <w:vAlign w:val="bottom"/>
            <w:shd w:val="clear" w:color="auto" w:fill="B3B3B3"/>
          </w:tcPr>
          <w:p>
            <w:pPr>
              <w:jc w:val="right"/>
              <w:ind w:right="79"/>
              <w:spacing w:after="0"/>
              <w:rPr>
                <w:sz w:val="20"/>
                <w:szCs w:val="20"/>
                <w:color w:val="auto"/>
              </w:rPr>
            </w:pPr>
            <w:r>
              <w:rPr>
                <w:rFonts w:ascii="Arial" w:cs="Arial" w:eastAsia="Arial" w:hAnsi="Arial"/>
                <w:sz w:val="16"/>
                <w:szCs w:val="16"/>
                <w:color w:val="auto"/>
              </w:rPr>
              <w:t>1,303,593</w:t>
            </w:r>
          </w:p>
        </w:tc>
        <w:tc>
          <w:tcPr>
            <w:tcW w:w="18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6"/>
                <w:szCs w:val="16"/>
                <w:color w:val="auto"/>
              </w:rPr>
              <w:t>2,093,692</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David J. Manginie</w:t>
            </w:r>
          </w:p>
        </w:tc>
        <w:tc>
          <w:tcPr>
            <w:tcW w:w="32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357,528</w:t>
            </w:r>
          </w:p>
        </w:tc>
        <w:tc>
          <w:tcPr>
            <w:tcW w:w="1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542,478</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1,332,394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determined by multplying the executve’s base salary tmes the number of months in the applicable salary contnuaton period.</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29" w:name="page30"/>
    <w:bookmarkEnd w:id="29"/>
    <w:p>
      <w:pPr>
        <w:ind w:left="420" w:right="580" w:hanging="412"/>
        <w:spacing w:after="0" w:line="273"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multplying the diference between the full cost of the insurance to the company and the amounts to be paid by the executve tmes the number of months in the applicable salary contnuaton period or 18 months, whichever is less.</w:t>
      </w:r>
    </w:p>
    <w:p>
      <w:pPr>
        <w:spacing w:after="0" w:line="42"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Consttutes the estmated cost to the company of 12 months of outplacement services.</w:t>
      </w:r>
    </w:p>
    <w:p>
      <w:pPr>
        <w:spacing w:after="0" w:line="103" w:lineRule="exact"/>
        <w:rPr>
          <w:rFonts w:ascii="Arial" w:cs="Arial" w:eastAsia="Arial" w:hAnsi="Arial"/>
          <w:sz w:val="18"/>
          <w:szCs w:val="18"/>
          <w:color w:val="auto"/>
        </w:rPr>
      </w:pPr>
    </w:p>
    <w:p>
      <w:pPr>
        <w:ind w:left="420" w:right="620" w:hanging="412"/>
        <w:spacing w:after="0" w:line="273"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multplying one-twelfh of the executve’s target annual bonus tmes the number of months in the applicable salary contnuaton period.</w:t>
      </w:r>
    </w:p>
    <w:p>
      <w:pPr>
        <w:spacing w:after="0" w:line="55" w:lineRule="exact"/>
        <w:rPr>
          <w:rFonts w:ascii="Arial" w:cs="Arial" w:eastAsia="Arial" w:hAnsi="Arial"/>
          <w:sz w:val="18"/>
          <w:szCs w:val="18"/>
          <w:color w:val="auto"/>
        </w:rPr>
      </w:pPr>
    </w:p>
    <w:p>
      <w:pPr>
        <w:ind w:left="420" w:right="140" w:hanging="412"/>
        <w:spacing w:after="0" w:line="274"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Amounts equal the amounts the eligible executve would have received under the company’s proft sharing plan or nonqualifed deferred compensaton plan, depending upon partcipant eligibility, if the executve had remained employed by the company for the entre applicable salary contnuaton period and had been enttled to employer contributons under the applicable plan for that period, plus the 401(k) employer matching contributons that would have been received for the salary contnuaton period if the executve had made 401(k) contributons at least at the rate that would have enttled the executve to the maximum employer matching contributons permited under the proft sharing plan.</w:t>
      </w:r>
    </w:p>
    <w:p>
      <w:pPr>
        <w:spacing w:after="0" w:line="45" w:lineRule="exact"/>
        <w:rPr>
          <w:rFonts w:ascii="Arial" w:cs="Arial" w:eastAsia="Arial" w:hAnsi="Arial"/>
          <w:sz w:val="17"/>
          <w:szCs w:val="17"/>
          <w:color w:val="auto"/>
        </w:rPr>
      </w:pPr>
    </w:p>
    <w:p>
      <w:pPr>
        <w:ind w:left="420" w:right="260" w:hanging="412"/>
        <w:spacing w:after="0" w:line="262" w:lineRule="auto"/>
        <w:tabs>
          <w:tab w:leader="none" w:pos="4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both outstanding Performance-Based Restricted Stock Units and Restricted Stock issued upon setlement of the same. Amounts determined by multplying the number of shares for which vestng is accelerated by the closing price of our common stock of $43.78 per share as reported by Nasdaq on March 31, 2023, the last business day of fscal 2023.</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Rato</w:t>
      </w:r>
    </w:p>
    <w:p>
      <w:pPr>
        <w:spacing w:after="0" w:line="124"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We are providing the following informaton about the relatonship of the annual total compensaton of our employees and the annual total compensaton of Patrick H. Hawkins, our Chief Executve Ofcer (our “CEO”). For fscal 2023, our last completed fscal year, the annual total compensaton of our CEO was $2,223,282 as reported in the Summary Compensaton Table above, and the annual total compensaton of our median employee was $95,417. This comparison results in a CEO pay rato of 23 to 1. This pay rato estmate has been calculated in a manner consistent with Item 402(u) of Regulaton S-K.</w:t>
      </w:r>
    </w:p>
    <w:p>
      <w:pPr>
        <w:spacing w:after="0" w:line="187" w:lineRule="exact"/>
        <w:rPr>
          <w:sz w:val="20"/>
          <w:szCs w:val="20"/>
          <w:color w:val="auto"/>
        </w:rPr>
      </w:pPr>
    </w:p>
    <w:p>
      <w:pPr>
        <w:ind w:right="1000"/>
        <w:spacing w:after="0" w:line="256" w:lineRule="auto"/>
        <w:rPr>
          <w:sz w:val="20"/>
          <w:szCs w:val="20"/>
          <w:color w:val="auto"/>
        </w:rPr>
      </w:pPr>
      <w:r>
        <w:rPr>
          <w:rFonts w:ascii="Arial" w:cs="Arial" w:eastAsia="Arial" w:hAnsi="Arial"/>
          <w:sz w:val="18"/>
          <w:szCs w:val="18"/>
          <w:color w:val="auto"/>
        </w:rPr>
        <w:t>To identfy the median employee and determine the annual total compensaton of our median employee, the methodology and the material assumptons, adjustments, and estmates that we used are described below.</w:t>
      </w:r>
    </w:p>
    <w:p>
      <w:pPr>
        <w:spacing w:after="0" w:line="1" w:lineRule="exact"/>
        <w:rPr>
          <w:sz w:val="20"/>
          <w:szCs w:val="20"/>
          <w:color w:val="auto"/>
        </w:rPr>
      </w:pPr>
    </w:p>
    <w:p>
      <w:pPr>
        <w:ind w:left="580" w:right="140" w:hanging="248"/>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determined that, as of January 15, 2022, our employee populaton consisted of 787 individuals (including full-tme and part-tme employees, other than the CEO) working at Hawkins together with our consolidated subsidiaries.</w:t>
      </w:r>
    </w:p>
    <w:p>
      <w:pPr>
        <w:ind w:left="580" w:right="360" w:hanging="248"/>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annualized the compensaton of all employees included in the sample who were hired in 2021 but did not work for us or our consolidated subsidiaries for the entre twelve-month period described below.</w:t>
      </w:r>
    </w:p>
    <w:p>
      <w:pPr>
        <w:ind w:left="580" w:hanging="248"/>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identfed our median employee as of December 31, 2021 based on the total compensaton for fscal 2022, including any cash paid as refected in our payroll records and other benefts, and all other benefts, in the same manner that we determine the total compensaton of our named executve ofcers for purposes of the Summary Compensaton Table disclosed above.</w:t>
      </w:r>
    </w:p>
    <w:p>
      <w:pPr>
        <w:spacing w:after="0" w:line="1" w:lineRule="exact"/>
        <w:rPr>
          <w:rFonts w:ascii="Arial" w:cs="Arial" w:eastAsia="Arial" w:hAnsi="Arial"/>
          <w:sz w:val="18"/>
          <w:szCs w:val="18"/>
          <w:color w:val="auto"/>
        </w:rPr>
      </w:pPr>
    </w:p>
    <w:p>
      <w:pPr>
        <w:ind w:left="580" w:right="120" w:hanging="248"/>
        <w:spacing w:after="0" w:line="253"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fscal 2023, we believe it is no longer appropriate to use the median employee identfed in fscal 2022 because of a change in the original median employee's circumstances. As a result, we have used a substantally similar employee to the original median employee identfed in fscal 2022 and determined that employee's total compensaton for fscal 2023, including any cash paid as refected in our payroll records and other benefts, in the same manner that we determine the total compensaton of our named executve ofcers for purposes of the Summary Compensaton Table disclosed above.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Compensaton for Fiscal 2023</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fscal 2023, each non-employee director earned an annual retainer of $50,000 and an additonal annual retainer of $8,000 for each commitee on which they serve. Supplemental annual retainers were earned by our Chair of the Board ($70,000) and the chairs of our Audit Commitee ($13,000), Compensaton Commitee ($9,000) and Governance and Nominatng Commitee ($7,000).</w:t>
      </w:r>
    </w:p>
    <w:p>
      <w:pPr>
        <w:spacing w:after="0" w:line="21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Compensaton Commitee oversees our director compensaton grants, under which each director, other than the Chief Executve Ofcer, receives a grant of restricted stock with a value of $70,000 on the date of our annual meetng of shareholders at which the director is elected or reelected to the Board by our shareholders. The restricted stock vests one year from the date of issuance, subject to acceleraton in the event of the director’s death or disability. For service during fscal 2023, each applicable director was granted 1,795 shares of restricted stock on August 4, 2022, and these shares are scheduled to vest in their entrety on August 4, 2023, one year from their date of issuance.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The following table shows, for each applicable director, informaton concerning annual compensaton earned for services in all capacites during fscal</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1"/>
                <w:szCs w:val="11"/>
                <w:color w:val="auto"/>
              </w:rPr>
            </w:pPr>
          </w:p>
        </w:tc>
        <w:tc>
          <w:tcPr>
            <w:tcW w:w="4160" w:type="dxa"/>
            <w:vAlign w:val="bottom"/>
            <w:tcBorders>
              <w:top w:val="single" w:sz="8" w:color="auto"/>
              <w:lef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6"/>
              </w:rPr>
              <w:t>Fees Earned</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41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or Paid</w:t>
            </w:r>
          </w:p>
        </w:tc>
        <w:tc>
          <w:tcPr>
            <w:tcW w:w="120" w:type="dxa"/>
            <w:vAlign w:val="bottom"/>
          </w:tcPr>
          <w:p>
            <w:pPr>
              <w:spacing w:after="0"/>
              <w:rPr>
                <w:sz w:val="12"/>
                <w:szCs w:val="12"/>
                <w:color w:val="auto"/>
              </w:rPr>
            </w:pPr>
          </w:p>
        </w:tc>
        <w:tc>
          <w:tcPr>
            <w:tcW w:w="1440" w:type="dxa"/>
            <w:vAlign w:val="bottom"/>
          </w:tcPr>
          <w:p>
            <w:pPr>
              <w:jc w:val="right"/>
              <w:ind w:right="482"/>
              <w:spacing w:after="0" w:line="146"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340" w:type="dxa"/>
            <w:vAlign w:val="bottom"/>
            <w:tcBorders>
              <w:right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4160" w:type="dxa"/>
            <w:vAlign w:val="bottom"/>
            <w:tcBorders>
              <w:lef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in Cash ($)</w:t>
            </w:r>
          </w:p>
        </w:tc>
        <w:tc>
          <w:tcPr>
            <w:tcW w:w="120" w:type="dxa"/>
            <w:vAlign w:val="bottom"/>
          </w:tcPr>
          <w:p>
            <w:pPr>
              <w:spacing w:after="0"/>
              <w:rPr>
                <w:sz w:val="15"/>
                <w:szCs w:val="15"/>
                <w:color w:val="auto"/>
              </w:rPr>
            </w:pPr>
          </w:p>
        </w:tc>
        <w:tc>
          <w:tcPr>
            <w:tcW w:w="1440" w:type="dxa"/>
            <w:vAlign w:val="bottom"/>
          </w:tcPr>
          <w:p>
            <w:pPr>
              <w:jc w:val="right"/>
              <w:ind w:right="242"/>
              <w:spacing w:after="0"/>
              <w:rPr>
                <w:sz w:val="20"/>
                <w:szCs w:val="20"/>
                <w:color w:val="auto"/>
              </w:rPr>
            </w:pPr>
            <w:r>
              <w:rPr>
                <w:rFonts w:ascii="Arial" w:cs="Arial" w:eastAsia="Arial" w:hAnsi="Arial"/>
                <w:sz w:val="14"/>
                <w:szCs w:val="14"/>
                <w:b w:val="1"/>
                <w:bCs w:val="1"/>
                <w:color w:val="auto"/>
              </w:rPr>
              <w:t>Awards ($)(a)</w:t>
            </w:r>
          </w:p>
        </w:tc>
        <w:tc>
          <w:tcPr>
            <w:tcW w:w="1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420" w:type="dxa"/>
            <w:vAlign w:val="bottom"/>
          </w:tcPr>
          <w:p>
            <w:pPr>
              <w:spacing w:after="0"/>
              <w:rPr>
                <w:sz w:val="2"/>
                <w:szCs w:val="2"/>
                <w:color w:val="auto"/>
              </w:rPr>
            </w:pPr>
          </w:p>
        </w:tc>
        <w:tc>
          <w:tcPr>
            <w:tcW w:w="41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1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20" w:type="dxa"/>
            <w:vAlign w:val="bottom"/>
            <w:shd w:val="clear" w:color="auto" w:fill="B3B3B3"/>
          </w:tcPr>
          <w:p>
            <w:pPr>
              <w:spacing w:after="0"/>
              <w:rPr>
                <w:sz w:val="19"/>
                <w:szCs w:val="19"/>
                <w:color w:val="auto"/>
              </w:rPr>
            </w:pP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74,000</w:t>
            </w:r>
          </w:p>
        </w:tc>
        <w:tc>
          <w:tcPr>
            <w:tcW w:w="120" w:type="dxa"/>
            <w:vAlign w:val="bottom"/>
            <w:shd w:val="clear" w:color="auto" w:fill="B3B3B3"/>
          </w:tcPr>
          <w:p>
            <w:pPr>
              <w:spacing w:after="0"/>
              <w:rPr>
                <w:sz w:val="19"/>
                <w:szCs w:val="19"/>
                <w:color w:val="auto"/>
              </w:rPr>
            </w:pP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69,969</w:t>
            </w:r>
          </w:p>
        </w:tc>
        <w:tc>
          <w:tcPr>
            <w:tcW w:w="120" w:type="dxa"/>
            <w:vAlign w:val="bottom"/>
            <w:shd w:val="clear" w:color="auto" w:fill="B3B3B3"/>
          </w:tcPr>
          <w:p>
            <w:pPr>
              <w:spacing w:after="0"/>
              <w:rPr>
                <w:sz w:val="19"/>
                <w:szCs w:val="19"/>
                <w:color w:val="auto"/>
              </w:rPr>
            </w:pPr>
          </w:p>
        </w:tc>
        <w:tc>
          <w:tcPr>
            <w:tcW w:w="13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143,969</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4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84,438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69,969</w:t>
            </w:r>
          </w:p>
        </w:tc>
        <w:tc>
          <w:tcPr>
            <w:tcW w:w="1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154,407</w:t>
            </w: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41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Jefrey E. Spethmann</w:t>
            </w:r>
          </w:p>
        </w:tc>
        <w:tc>
          <w:tcPr>
            <w:tcW w:w="15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59,500</w:t>
            </w:r>
          </w:p>
        </w:tc>
        <w:tc>
          <w:tcPr>
            <w:tcW w:w="15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69,969</w:t>
            </w:r>
          </w:p>
        </w:tc>
        <w:tc>
          <w:tcPr>
            <w:tcW w:w="146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129,469</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69,969</w:t>
            </w:r>
          </w:p>
        </w:tc>
        <w:tc>
          <w:tcPr>
            <w:tcW w:w="1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69,969</w:t>
            </w: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41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Yi "Faith" Tang</w:t>
            </w:r>
          </w:p>
        </w:tc>
        <w:tc>
          <w:tcPr>
            <w:tcW w:w="15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59,500</w:t>
            </w:r>
          </w:p>
        </w:tc>
        <w:tc>
          <w:tcPr>
            <w:tcW w:w="15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69,969</w:t>
            </w:r>
          </w:p>
        </w:tc>
        <w:tc>
          <w:tcPr>
            <w:tcW w:w="146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129,469</w:t>
            </w: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4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137,500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69,969</w:t>
            </w:r>
          </w:p>
        </w:tc>
        <w:tc>
          <w:tcPr>
            <w:tcW w:w="1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207,469</w:t>
            </w:r>
          </w:p>
        </w:tc>
        <w:tc>
          <w:tcPr>
            <w:tcW w:w="0" w:type="dxa"/>
            <w:vAlign w:val="bottom"/>
          </w:tcPr>
          <w:p>
            <w:pPr>
              <w:spacing w:after="0"/>
              <w:rPr>
                <w:sz w:val="1"/>
                <w:szCs w:val="1"/>
                <w:color w:val="auto"/>
              </w:rPr>
            </w:pPr>
          </w:p>
        </w:tc>
      </w:tr>
      <w:tr>
        <w:trPr>
          <w:trHeight w:val="232"/>
        </w:trPr>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2023:</w:t>
            </w:r>
          </w:p>
        </w:tc>
        <w:tc>
          <w:tcPr>
            <w:tcW w:w="4160" w:type="dxa"/>
            <w:vAlign w:val="bottom"/>
            <w:tcBorders>
              <w:left w:val="single" w:sz="8" w:color="auto"/>
              <w:bottom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Jefrey L. Wright</w:t>
            </w:r>
          </w:p>
        </w:tc>
        <w:tc>
          <w:tcPr>
            <w:tcW w:w="156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87,750</w:t>
            </w:r>
          </w:p>
        </w:tc>
        <w:tc>
          <w:tcPr>
            <w:tcW w:w="156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69,969</w:t>
            </w:r>
          </w:p>
        </w:tc>
        <w:tc>
          <w:tcPr>
            <w:tcW w:w="1460" w:type="dxa"/>
            <w:vAlign w:val="bottom"/>
            <w:tcBorders>
              <w:bottom w:val="single" w:sz="8" w:color="auto"/>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157,719</w:t>
            </w:r>
          </w:p>
        </w:tc>
        <w:tc>
          <w:tcPr>
            <w:tcW w:w="0" w:type="dxa"/>
            <w:vAlign w:val="bottom"/>
          </w:tcPr>
          <w:p>
            <w:pPr>
              <w:spacing w:after="0"/>
              <w:rPr>
                <w:sz w:val="1"/>
                <w:szCs w:val="1"/>
                <w:color w:val="auto"/>
              </w:rPr>
            </w:pPr>
          </w:p>
        </w:tc>
      </w:tr>
      <w:tr>
        <w:trPr>
          <w:trHeight w:val="92"/>
        </w:trPr>
        <w:tc>
          <w:tcPr>
            <w:tcW w:w="420" w:type="dxa"/>
            <w:vAlign w:val="bottom"/>
            <w:vMerge w:val="continue"/>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100" w:hanging="412"/>
        <w:spacing w:after="0" w:line="272"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On August 4, 2022, each applicable Board member received 1,795 shares of restricted stock as part of his or her retainer pursuant to the Hawkins, Inc. 2019 Equity Incentve Plan. The amounts shown in this column represent the grant-date fair value of each of the awards computed in accordance with FASB ASC Topic 718. See Note 9, </w:t>
      </w:r>
      <w:r>
        <w:rPr>
          <w:rFonts w:ascii="Arial" w:cs="Arial" w:eastAsia="Arial" w:hAnsi="Arial"/>
          <w:sz w:val="17"/>
          <w:szCs w:val="17"/>
          <w:i w:val="1"/>
          <w:iCs w:val="1"/>
          <w:color w:val="auto"/>
        </w:rPr>
        <w:t>Share-Based Compensaton</w:t>
      </w:r>
      <w:r>
        <w:rPr>
          <w:rFonts w:ascii="Arial" w:cs="Arial" w:eastAsia="Arial" w:hAnsi="Arial"/>
          <w:sz w:val="17"/>
          <w:szCs w:val="17"/>
          <w:color w:val="auto"/>
        </w:rPr>
        <w:t>, to our audited fnancial statements included in our Annual Report on Form 10-K for fscal 2023 for a descripton of our accountng for these awards and the assumptons used in valuing the awards. All of these shares are scheduled to vest in full on August 4, 2023, are eligible to receive dividends paid on our common stock and were the only shares of restricted stock held by each director at the end of our most recently completed fscal year.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Compensaton Commitee Interlocks and Insider Partcipaton</w:t>
      </w:r>
    </w:p>
    <w:p>
      <w:pPr>
        <w:spacing w:after="0" w:line="12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All decisions regarding compensaton of our executve ofcers during fscal 2023 were made by the Compensaton Commitee of our Board. During fscal 2023, the following directors served on the Compensaton Commitee: Mary J. Schumacher, Yi "Faith" Tang, James T. Thompson and Jefrey L. Wright. None of our executve ofcers partcipates in any Board or commitee vote setng his or her annual salary or non-equity cash incentve payments. None of the members of the Compensaton Commitee is a current or former ofcer or employee of our company, and there were no interlocking relatonships, as defned by the SEC, involving our executve ofcers, our directors, and other enttes with which our directors or executve ofcers are associated.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PAY VERSUS PERFORMANCE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2023 Pay-Versus Performance Compensaton Table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337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Inital Fixed $100</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Investment Based on:</w:t>
            </w:r>
          </w:p>
        </w:tc>
        <w:tc>
          <w:tcPr>
            <w:tcW w:w="2060" w:type="dxa"/>
            <w:vAlign w:val="bottom"/>
            <w:gridSpan w:val="2"/>
          </w:tcPr>
          <w:p>
            <w:pPr>
              <w:ind w:left="54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vMerge w:val="restart"/>
          </w:tcPr>
          <w:p>
            <w:pPr>
              <w:jc w:val="center"/>
              <w:ind w:left="35"/>
              <w:spacing w:after="0"/>
              <w:rPr>
                <w:sz w:val="20"/>
                <w:szCs w:val="20"/>
                <w:color w:val="auto"/>
              </w:rPr>
            </w:pPr>
            <w:r>
              <w:rPr>
                <w:rFonts w:ascii="Arial" w:cs="Arial" w:eastAsia="Arial" w:hAnsi="Arial"/>
                <w:sz w:val="16"/>
                <w:szCs w:val="16"/>
                <w:b w:val="1"/>
                <w:bCs w:val="1"/>
                <w:color w:val="auto"/>
                <w:w w:val="87"/>
              </w:rPr>
              <w:t>Summary</w:t>
            </w: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Compensaton</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Average Summary</w:t>
            </w:r>
          </w:p>
        </w:tc>
        <w:tc>
          <w:tcPr>
            <w:tcW w:w="150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85"/>
              </w:rPr>
              <w:t>Average</w:t>
            </w:r>
          </w:p>
        </w:tc>
        <w:tc>
          <w:tcPr>
            <w:tcW w:w="12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Peer Group Total</w:t>
            </w: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Compensaton</w:t>
            </w:r>
          </w:p>
        </w:tc>
        <w:tc>
          <w:tcPr>
            <w:tcW w:w="1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Income Before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center"/>
              <w:ind w:left="15"/>
              <w:spacing w:after="0" w:line="162" w:lineRule="exact"/>
              <w:rPr>
                <w:sz w:val="20"/>
                <w:szCs w:val="20"/>
                <w:color w:val="auto"/>
              </w:rPr>
            </w:pPr>
            <w:r>
              <w:rPr>
                <w:rFonts w:ascii="Arial" w:cs="Arial" w:eastAsia="Arial" w:hAnsi="Arial"/>
                <w:sz w:val="16"/>
                <w:szCs w:val="16"/>
                <w:b w:val="1"/>
                <w:bCs w:val="1"/>
                <w:color w:val="auto"/>
                <w:w w:val="91"/>
              </w:rPr>
              <w:t>Compensaton</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Actually Paid to</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Compensaton</w:t>
            </w:r>
          </w:p>
        </w:tc>
        <w:tc>
          <w:tcPr>
            <w:tcW w:w="274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8"/>
              </w:rPr>
              <w:t>Actually Paid to Non- Total Shareholder</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Shareholder</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Net Income</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center"/>
              <w:ind w:left="15"/>
              <w:spacing w:after="0"/>
              <w:rPr>
                <w:sz w:val="20"/>
                <w:szCs w:val="20"/>
                <w:color w:val="auto"/>
              </w:rPr>
            </w:pPr>
            <w:r>
              <w:rPr>
                <w:rFonts w:ascii="Arial" w:cs="Arial" w:eastAsia="Arial" w:hAnsi="Arial"/>
                <w:sz w:val="16"/>
                <w:szCs w:val="16"/>
                <w:b w:val="1"/>
                <w:bCs w:val="1"/>
                <w:color w:val="auto"/>
                <w:w w:val="84"/>
              </w:rPr>
              <w:t>Table Total for PEO</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PEO (1)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Table for Non-PEO</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PEO NEOs (2)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Return (3)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Return (3)</w:t>
            </w:r>
          </w:p>
        </w:tc>
        <w:tc>
          <w:tcPr>
            <w:tcW w:w="8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Income Taxes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shd w:val="clear" w:color="auto" w:fill="DBDBDB"/>
          </w:tcPr>
          <w:p>
            <w:pPr>
              <w:ind w:left="380"/>
              <w:spacing w:after="0"/>
              <w:rPr>
                <w:sz w:val="20"/>
                <w:szCs w:val="20"/>
                <w:color w:val="auto"/>
              </w:rPr>
            </w:pPr>
            <w:r>
              <w:rPr>
                <w:rFonts w:ascii="Arial" w:cs="Arial" w:eastAsia="Arial" w:hAnsi="Arial"/>
                <w:sz w:val="18"/>
                <w:szCs w:val="18"/>
                <w:b w:val="1"/>
                <w:bCs w:val="1"/>
                <w:color w:val="auto"/>
              </w:rPr>
              <w:t>2023</w:t>
            </w:r>
          </w:p>
        </w:tc>
        <w:tc>
          <w:tcPr>
            <w:tcW w:w="156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2"/>
              </w:rPr>
              <w:t>2,223,409</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2,242,510</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942,164</w:t>
            </w:r>
          </w:p>
        </w:tc>
        <w:tc>
          <w:tcPr>
            <w:tcW w:w="15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973,305</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275.81</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159.23</w:t>
            </w:r>
          </w:p>
        </w:tc>
        <w:tc>
          <w:tcPr>
            <w:tcW w:w="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60,041</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82,582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rPr>
              <w:t>2022</w:t>
            </w:r>
          </w:p>
        </w:tc>
        <w:tc>
          <w:tcPr>
            <w:tcW w:w="1560" w:type="dxa"/>
            <w:vAlign w:val="bottom"/>
          </w:tcPr>
          <w:p>
            <w:pPr>
              <w:jc w:val="center"/>
              <w:ind w:left="15"/>
              <w:spacing w:after="0"/>
              <w:rPr>
                <w:sz w:val="20"/>
                <w:szCs w:val="20"/>
                <w:color w:val="auto"/>
              </w:rPr>
            </w:pPr>
            <w:r>
              <w:rPr>
                <w:rFonts w:ascii="Arial" w:cs="Arial" w:eastAsia="Arial" w:hAnsi="Arial"/>
                <w:sz w:val="18"/>
                <w:szCs w:val="18"/>
                <w:color w:val="auto"/>
                <w:w w:val="92"/>
              </w:rPr>
              <w:t>2,119,465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3,698,401</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919,021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1,484,039</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283.76</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184.73</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51,542</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69,979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60" w:type="dxa"/>
            <w:vAlign w:val="bottom"/>
            <w:shd w:val="clear" w:color="auto" w:fill="DBDBDB"/>
          </w:tcPr>
          <w:p>
            <w:pPr>
              <w:ind w:left="380"/>
              <w:spacing w:after="0"/>
              <w:rPr>
                <w:sz w:val="20"/>
                <w:szCs w:val="20"/>
                <w:color w:val="auto"/>
              </w:rPr>
            </w:pPr>
            <w:r>
              <w:rPr>
                <w:rFonts w:ascii="Arial" w:cs="Arial" w:eastAsia="Arial" w:hAnsi="Arial"/>
                <w:sz w:val="18"/>
                <w:szCs w:val="18"/>
                <w:b w:val="1"/>
                <w:bCs w:val="1"/>
                <w:color w:val="auto"/>
              </w:rPr>
              <w:t>2021</w:t>
            </w:r>
          </w:p>
        </w:tc>
        <w:tc>
          <w:tcPr>
            <w:tcW w:w="156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2"/>
              </w:rPr>
              <w:t>2,157,581</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4,405,124</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862,226</w:t>
            </w:r>
          </w:p>
        </w:tc>
        <w:tc>
          <w:tcPr>
            <w:tcW w:w="15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1,539,781</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204.94</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196.25</w:t>
            </w:r>
          </w:p>
        </w:tc>
        <w:tc>
          <w:tcPr>
            <w:tcW w:w="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40,980</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55,851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left="420" w:right="120" w:hanging="412"/>
        <w:spacing w:after="0" w:line="258"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summary compensaton table totals for the PEO, Patrick Hawkins, are adjusted, as indicated in the table below, to arrive at "compensaton actually paid to the PEO" each year. Our PEO does not partcipate in a pension plan; therefore, no adjustment from the summary compensaton table total related to pension value was made. The fair value of equity awards was computed in accordance with the Company's methodology used for fnancial reportng purposes.</w:t>
      </w:r>
    </w:p>
    <w:p>
      <w:pPr>
        <w:spacing w:after="0" w:line="13"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7400" w:type="dxa"/>
            <w:vAlign w:val="bottom"/>
            <w:tcBorders>
              <w:top w:val="single" w:sz="8" w:color="auto"/>
              <w:left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2023</w:t>
            </w: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37"/>
        </w:trPr>
        <w:tc>
          <w:tcPr>
            <w:tcW w:w="740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Summary Compensaton Table total for PEO</w:t>
            </w:r>
          </w:p>
        </w:tc>
        <w:tc>
          <w:tcPr>
            <w:tcW w:w="10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0"/>
              </w:rPr>
              <w:t>$2,223,409</w:t>
            </w:r>
          </w:p>
        </w:tc>
        <w:tc>
          <w:tcPr>
            <w:tcW w:w="1200" w:type="dxa"/>
            <w:vAlign w:val="bottom"/>
            <w:gridSpan w:val="2"/>
            <w:shd w:val="clear" w:color="auto" w:fill="DBDBDB"/>
          </w:tcPr>
          <w:p>
            <w:pPr>
              <w:jc w:val="center"/>
              <w:ind w:left="50"/>
              <w:spacing w:after="0"/>
              <w:rPr>
                <w:sz w:val="20"/>
                <w:szCs w:val="20"/>
                <w:color w:val="auto"/>
              </w:rPr>
            </w:pPr>
            <w:r>
              <w:rPr>
                <w:rFonts w:ascii="Arial" w:cs="Arial" w:eastAsia="Arial" w:hAnsi="Arial"/>
                <w:sz w:val="18"/>
                <w:szCs w:val="18"/>
                <w:b w:val="1"/>
                <w:bCs w:val="1"/>
                <w:color w:val="auto"/>
                <w:w w:val="90"/>
              </w:rPr>
              <w:t>$2,119,465</w:t>
            </w:r>
          </w:p>
        </w:tc>
        <w:tc>
          <w:tcPr>
            <w:tcW w:w="1180" w:type="dxa"/>
            <w:vAlign w:val="bottom"/>
            <w:tcBorders>
              <w:right w:val="single" w:sz="8" w:color="auto"/>
            </w:tcBorders>
            <w:gridSpan w:val="2"/>
            <w:shd w:val="clear" w:color="auto" w:fill="DBDBDB"/>
          </w:tcPr>
          <w:p>
            <w:pPr>
              <w:jc w:val="center"/>
              <w:ind w:left="30"/>
              <w:spacing w:after="0"/>
              <w:rPr>
                <w:sz w:val="20"/>
                <w:szCs w:val="20"/>
                <w:color w:val="auto"/>
              </w:rPr>
            </w:pPr>
            <w:r>
              <w:rPr>
                <w:rFonts w:ascii="Arial" w:cs="Arial" w:eastAsia="Arial" w:hAnsi="Arial"/>
                <w:sz w:val="18"/>
                <w:szCs w:val="18"/>
                <w:b w:val="1"/>
                <w:bCs w:val="1"/>
                <w:color w:val="auto"/>
                <w:w w:val="90"/>
              </w:rPr>
              <w:t>$2,157,581</w:t>
            </w:r>
          </w:p>
        </w:tc>
        <w:tc>
          <w:tcPr>
            <w:tcW w:w="0" w:type="dxa"/>
            <w:vAlign w:val="bottom"/>
          </w:tcPr>
          <w:p>
            <w:pPr>
              <w:spacing w:after="0"/>
              <w:rPr>
                <w:sz w:val="1"/>
                <w:szCs w:val="1"/>
                <w:color w:val="auto"/>
              </w:rPr>
            </w:pPr>
          </w:p>
        </w:tc>
      </w:tr>
      <w:tr>
        <w:trPr>
          <w:trHeight w:val="229"/>
        </w:trPr>
        <w:tc>
          <w:tcPr>
            <w:tcW w:w="74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Adjustments to Determine Compensaton Actually Paid for PEO:</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400" w:type="dxa"/>
            <w:vAlign w:val="bottom"/>
            <w:tcBorders>
              <w:left w:val="single" w:sz="8" w:color="auto"/>
            </w:tcBorders>
            <w:shd w:val="clear" w:color="auto" w:fill="DBDBDB"/>
          </w:tcPr>
          <w:p>
            <w:pPr>
              <w:ind w:left="240"/>
              <w:spacing w:after="0" w:line="162" w:lineRule="exact"/>
              <w:rPr>
                <w:sz w:val="20"/>
                <w:szCs w:val="20"/>
                <w:color w:val="auto"/>
              </w:rPr>
            </w:pPr>
            <w:r>
              <w:rPr>
                <w:rFonts w:ascii="Arial" w:cs="Arial" w:eastAsia="Arial" w:hAnsi="Arial"/>
                <w:sz w:val="18"/>
                <w:szCs w:val="18"/>
                <w:color w:val="auto"/>
                <w:w w:val="96"/>
              </w:rPr>
              <w:t>Deducton for amounts reported under "Stock Awards" column in the Summary Compensaton</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(614,952)</w:t>
            </w:r>
          </w:p>
        </w:tc>
        <w:tc>
          <w:tcPr>
            <w:tcW w:w="120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(514,950)</w:t>
            </w:r>
          </w:p>
        </w:tc>
        <w:tc>
          <w:tcPr>
            <w:tcW w:w="1180" w:type="dxa"/>
            <w:vAlign w:val="bottom"/>
            <w:tcBorders>
              <w:right w:val="single" w:sz="8" w:color="auto"/>
            </w:tcBorders>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(499,839)</w:t>
            </w:r>
          </w:p>
        </w:tc>
        <w:tc>
          <w:tcPr>
            <w:tcW w:w="0" w:type="dxa"/>
            <w:vAlign w:val="bottom"/>
          </w:tcPr>
          <w:p>
            <w:pPr>
              <w:spacing w:after="0"/>
              <w:rPr>
                <w:sz w:val="1"/>
                <w:szCs w:val="1"/>
                <w:color w:val="auto"/>
              </w:rPr>
            </w:pPr>
          </w:p>
        </w:tc>
      </w:tr>
      <w:tr>
        <w:trPr>
          <w:trHeight w:val="237"/>
        </w:trPr>
        <w:tc>
          <w:tcPr>
            <w:tcW w:w="7400" w:type="dxa"/>
            <w:vAlign w:val="bottom"/>
            <w:tcBorders>
              <w:left w:val="single" w:sz="8" w:color="auto"/>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Table</w:t>
            </w:r>
          </w:p>
        </w:tc>
        <w:tc>
          <w:tcPr>
            <w:tcW w:w="1040" w:type="dxa"/>
            <w:vAlign w:val="bottom"/>
            <w:tcBorders>
              <w:bottom w:val="single" w:sz="8" w:color="DBDBDB"/>
            </w:tcBorders>
            <w:vMerge w:val="continue"/>
            <w:shd w:val="clear" w:color="auto" w:fill="DBDBDB"/>
          </w:tcPr>
          <w:p>
            <w:pPr>
              <w:spacing w:after="0"/>
              <w:rPr>
                <w:sz w:val="20"/>
                <w:szCs w:val="20"/>
                <w:color w:val="auto"/>
              </w:rPr>
            </w:pPr>
          </w:p>
        </w:tc>
        <w:tc>
          <w:tcPr>
            <w:tcW w:w="1200" w:type="dxa"/>
            <w:vAlign w:val="bottom"/>
            <w:tcBorders>
              <w:bottom w:val="single" w:sz="8" w:color="DBDBDB"/>
            </w:tcBorders>
            <w:gridSpan w:val="2"/>
            <w:vMerge w:val="continue"/>
            <w:shd w:val="clear" w:color="auto" w:fill="DBDBDB"/>
          </w:tcPr>
          <w:p>
            <w:pPr>
              <w:spacing w:after="0"/>
              <w:rPr>
                <w:sz w:val="20"/>
                <w:szCs w:val="20"/>
                <w:color w:val="auto"/>
              </w:rPr>
            </w:pPr>
          </w:p>
        </w:tc>
        <w:tc>
          <w:tcPr>
            <w:tcW w:w="1180" w:type="dxa"/>
            <w:vAlign w:val="bottom"/>
            <w:tcBorders>
              <w:bottom w:val="single" w:sz="8" w:color="DBDBDB"/>
              <w:right w:val="single" w:sz="8" w:color="auto"/>
            </w:tcBorders>
            <w:gridSpan w:val="2"/>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6"/>
              </w:rPr>
              <w:t>Increase for fair value of awards granted during the year that remain unvested as of year end</w:t>
            </w:r>
          </w:p>
        </w:tc>
        <w:tc>
          <w:tcPr>
            <w:tcW w:w="1040" w:type="dxa"/>
            <w:vAlign w:val="bottom"/>
          </w:tcPr>
          <w:p>
            <w:pPr>
              <w:jc w:val="right"/>
              <w:spacing w:after="0"/>
              <w:rPr>
                <w:sz w:val="20"/>
                <w:szCs w:val="20"/>
                <w:color w:val="auto"/>
              </w:rPr>
            </w:pPr>
            <w:r>
              <w:rPr>
                <w:rFonts w:ascii="Arial" w:cs="Arial" w:eastAsia="Arial" w:hAnsi="Arial"/>
                <w:sz w:val="18"/>
                <w:szCs w:val="18"/>
                <w:color w:val="auto"/>
              </w:rPr>
              <w:t>847,800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1,112,155</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1,343,385</w:t>
            </w:r>
          </w:p>
        </w:tc>
        <w:tc>
          <w:tcPr>
            <w:tcW w:w="0" w:type="dxa"/>
            <w:vAlign w:val="bottom"/>
          </w:tcPr>
          <w:p>
            <w:pPr>
              <w:spacing w:after="0"/>
              <w:rPr>
                <w:sz w:val="1"/>
                <w:szCs w:val="1"/>
                <w:color w:val="auto"/>
              </w:rPr>
            </w:pPr>
          </w:p>
        </w:tc>
      </w:tr>
      <w:tr>
        <w:trPr>
          <w:trHeight w:val="231"/>
        </w:trPr>
        <w:tc>
          <w:tcPr>
            <w:tcW w:w="740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Increase for fair value of awards granted during year that vested during year</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10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7400" w:type="dxa"/>
            <w:vAlign w:val="bottom"/>
            <w:tcBorders>
              <w:left w:val="single" w:sz="8" w:color="auto"/>
            </w:tcBorders>
          </w:tcPr>
          <w:p>
            <w:pPr>
              <w:ind w:left="240"/>
              <w:spacing w:after="0" w:line="170" w:lineRule="exact"/>
              <w:rPr>
                <w:sz w:val="20"/>
                <w:szCs w:val="20"/>
                <w:color w:val="auto"/>
              </w:rPr>
            </w:pPr>
            <w:r>
              <w:rPr>
                <w:rFonts w:ascii="Arial" w:cs="Arial" w:eastAsia="Arial" w:hAnsi="Arial"/>
                <w:sz w:val="18"/>
                <w:szCs w:val="18"/>
                <w:color w:val="auto"/>
                <w:w w:val="96"/>
              </w:rPr>
              <w:t>Increase (deducton) for change in fair value from prior year end to current year end of awards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74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granted prior to year that were outstanding and unvested as of year end</w:t>
            </w:r>
          </w:p>
        </w:tc>
        <w:tc>
          <w:tcPr>
            <w:tcW w:w="1040" w:type="dxa"/>
            <w:vAlign w:val="bottom"/>
          </w:tcPr>
          <w:p>
            <w:pPr>
              <w:jc w:val="right"/>
              <w:spacing w:after="0"/>
              <w:rPr>
                <w:sz w:val="20"/>
                <w:szCs w:val="20"/>
                <w:color w:val="auto"/>
              </w:rPr>
            </w:pPr>
            <w:r>
              <w:rPr>
                <w:rFonts w:ascii="Arial" w:cs="Arial" w:eastAsia="Arial" w:hAnsi="Arial"/>
                <w:sz w:val="18"/>
                <w:szCs w:val="18"/>
                <w:color w:val="auto"/>
              </w:rPr>
              <w:t>(123,788)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985,970</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1,365,755</w:t>
            </w:r>
          </w:p>
        </w:tc>
        <w:tc>
          <w:tcPr>
            <w:tcW w:w="0" w:type="dxa"/>
            <w:vAlign w:val="bottom"/>
          </w:tcPr>
          <w:p>
            <w:pPr>
              <w:spacing w:after="0"/>
              <w:rPr>
                <w:sz w:val="1"/>
                <w:szCs w:val="1"/>
                <w:color w:val="auto"/>
              </w:rPr>
            </w:pPr>
          </w:p>
        </w:tc>
      </w:tr>
      <w:tr>
        <w:trPr>
          <w:trHeight w:val="22"/>
        </w:trPr>
        <w:tc>
          <w:tcPr>
            <w:tcW w:w="740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00" w:type="dxa"/>
            <w:vAlign w:val="bottom"/>
            <w:tcBorders>
              <w:left w:val="single" w:sz="8" w:color="auto"/>
            </w:tcBorders>
            <w:shd w:val="clear" w:color="auto" w:fill="DBDBDB"/>
          </w:tcPr>
          <w:p>
            <w:pPr>
              <w:ind w:left="240"/>
              <w:spacing w:after="0" w:line="162" w:lineRule="exact"/>
              <w:rPr>
                <w:sz w:val="20"/>
                <w:szCs w:val="20"/>
                <w:color w:val="auto"/>
              </w:rPr>
            </w:pPr>
            <w:r>
              <w:rPr>
                <w:rFonts w:ascii="Arial" w:cs="Arial" w:eastAsia="Arial" w:hAnsi="Arial"/>
                <w:sz w:val="18"/>
                <w:szCs w:val="18"/>
                <w:color w:val="auto"/>
              </w:rPr>
              <w:t>Increase (deducton) for change in fair value from prior year end to vestng date of awards</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(126,709)</w:t>
            </w:r>
          </w:p>
        </w:tc>
        <w:tc>
          <w:tcPr>
            <w:tcW w:w="120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(46,362)</w:t>
            </w:r>
          </w:p>
        </w:tc>
        <w:tc>
          <w:tcPr>
            <w:tcW w:w="120" w:type="dxa"/>
            <w:vAlign w:val="bottom"/>
            <w:shd w:val="clear" w:color="auto" w:fill="DBDBDB"/>
          </w:tcPr>
          <w:p>
            <w:pPr>
              <w:spacing w:after="0"/>
              <w:rPr>
                <w:sz w:val="14"/>
                <w:szCs w:val="14"/>
                <w:color w:val="auto"/>
              </w:rPr>
            </w:pPr>
          </w:p>
        </w:tc>
        <w:tc>
          <w:tcPr>
            <w:tcW w:w="106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00" w:type="dxa"/>
            <w:vAlign w:val="bottom"/>
            <w:tcBorders>
              <w:left w:val="single" w:sz="8" w:color="auto"/>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granted prior to current year that vested during the year</w:t>
            </w:r>
          </w:p>
        </w:tc>
        <w:tc>
          <w:tcPr>
            <w:tcW w:w="1040" w:type="dxa"/>
            <w:vAlign w:val="bottom"/>
            <w:tcBorders>
              <w:bottom w:val="single" w:sz="8" w:color="DBDBDB"/>
            </w:tcBorders>
            <w:vMerge w:val="continue"/>
            <w:shd w:val="clear" w:color="auto" w:fill="DBDBDB"/>
          </w:tcPr>
          <w:p>
            <w:pPr>
              <w:spacing w:after="0"/>
              <w:rPr>
                <w:sz w:val="20"/>
                <w:szCs w:val="20"/>
                <w:color w:val="auto"/>
              </w:rPr>
            </w:pPr>
          </w:p>
        </w:tc>
        <w:tc>
          <w:tcPr>
            <w:tcW w:w="1200" w:type="dxa"/>
            <w:vAlign w:val="bottom"/>
            <w:tcBorders>
              <w:bottom w:val="single" w:sz="8" w:color="DBDBDB"/>
            </w:tcBorders>
            <w:gridSpan w:val="2"/>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060" w:type="dxa"/>
            <w:vAlign w:val="bottom"/>
            <w:tcBorders>
              <w:bottom w:val="single" w:sz="8" w:color="DBDBDB"/>
              <w:right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400" w:type="dxa"/>
            <w:vAlign w:val="bottom"/>
            <w:tcBorders>
              <w:left w:val="single" w:sz="8" w:color="auto"/>
            </w:tcBorders>
          </w:tcPr>
          <w:p>
            <w:pPr>
              <w:ind w:left="240"/>
              <w:spacing w:after="0" w:line="162" w:lineRule="exact"/>
              <w:rPr>
                <w:sz w:val="20"/>
                <w:szCs w:val="20"/>
                <w:color w:val="auto"/>
              </w:rPr>
            </w:pPr>
            <w:r>
              <w:rPr>
                <w:rFonts w:ascii="Arial" w:cs="Arial" w:eastAsia="Arial" w:hAnsi="Arial"/>
                <w:sz w:val="18"/>
                <w:szCs w:val="18"/>
                <w:color w:val="auto"/>
                <w:w w:val="98"/>
              </w:rPr>
              <w:t>Deducton for fair value of awards granted prior to current year that were forfeited during the</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4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year</w:t>
            </w: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400" w:type="dxa"/>
            <w:vAlign w:val="bottom"/>
            <w:tcBorders>
              <w:left w:val="single" w:sz="8" w:color="auto"/>
            </w:tcBorders>
            <w:shd w:val="clear" w:color="auto" w:fill="DBDBDB"/>
          </w:tcPr>
          <w:p>
            <w:pPr>
              <w:ind w:left="240"/>
              <w:spacing w:after="0" w:line="178" w:lineRule="exact"/>
              <w:rPr>
                <w:sz w:val="20"/>
                <w:szCs w:val="20"/>
                <w:color w:val="auto"/>
              </w:rPr>
            </w:pPr>
            <w:r>
              <w:rPr>
                <w:rFonts w:ascii="Arial" w:cs="Arial" w:eastAsia="Arial" w:hAnsi="Arial"/>
                <w:sz w:val="18"/>
                <w:szCs w:val="18"/>
                <w:color w:val="auto"/>
              </w:rPr>
              <w:t>Increase based on dividends or other earnings paid during the year prior to vestng date of</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36,750</w:t>
            </w:r>
          </w:p>
        </w:tc>
        <w:tc>
          <w:tcPr>
            <w:tcW w:w="160" w:type="dxa"/>
            <w:vAlign w:val="bottom"/>
            <w:vMerge w:val="restart"/>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42,123</w:t>
            </w:r>
          </w:p>
        </w:tc>
        <w:tc>
          <w:tcPr>
            <w:tcW w:w="120" w:type="dxa"/>
            <w:vAlign w:val="bottom"/>
            <w:vMerge w:val="restart"/>
            <w:shd w:val="clear" w:color="auto" w:fill="DBDBDB"/>
          </w:tcPr>
          <w:p>
            <w:pPr>
              <w:spacing w:after="0"/>
              <w:rPr>
                <w:sz w:val="15"/>
                <w:szCs w:val="15"/>
                <w:color w:val="auto"/>
              </w:rPr>
            </w:pPr>
          </w:p>
        </w:tc>
        <w:tc>
          <w:tcPr>
            <w:tcW w:w="106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31"/>
        </w:trPr>
        <w:tc>
          <w:tcPr>
            <w:tcW w:w="7400" w:type="dxa"/>
            <w:vAlign w:val="bottom"/>
            <w:tcBorders>
              <w:left w:val="single" w:sz="8" w:color="auto"/>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award</w:t>
            </w:r>
          </w:p>
        </w:tc>
        <w:tc>
          <w:tcPr>
            <w:tcW w:w="1040" w:type="dxa"/>
            <w:vAlign w:val="bottom"/>
            <w:tcBorders>
              <w:bottom w:val="single" w:sz="8" w:color="auto"/>
            </w:tcBorders>
            <w:vMerge w:val="continue"/>
            <w:shd w:val="clear" w:color="auto" w:fill="DBDBDB"/>
          </w:tcPr>
          <w:p>
            <w:pPr>
              <w:spacing w:after="0"/>
              <w:rPr>
                <w:sz w:val="20"/>
                <w:szCs w:val="20"/>
                <w:color w:val="auto"/>
              </w:rPr>
            </w:pPr>
          </w:p>
        </w:tc>
        <w:tc>
          <w:tcPr>
            <w:tcW w:w="160" w:type="dxa"/>
            <w:vAlign w:val="bottom"/>
            <w:tcBorders>
              <w:bottom w:val="single" w:sz="8" w:color="DBDBDB"/>
            </w:tcBorders>
            <w:vMerge w:val="continue"/>
            <w:shd w:val="clear" w:color="auto" w:fill="DBDBDB"/>
          </w:tcPr>
          <w:p>
            <w:pPr>
              <w:spacing w:after="0"/>
              <w:rPr>
                <w:sz w:val="20"/>
                <w:szCs w:val="20"/>
                <w:color w:val="auto"/>
              </w:rPr>
            </w:pPr>
          </w:p>
        </w:tc>
        <w:tc>
          <w:tcPr>
            <w:tcW w:w="104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vMerge w:val="continue"/>
            <w:shd w:val="clear" w:color="auto" w:fill="DBDBDB"/>
          </w:tcPr>
          <w:p>
            <w:pPr>
              <w:spacing w:after="0"/>
              <w:rPr>
                <w:sz w:val="20"/>
                <w:szCs w:val="20"/>
                <w:color w:val="auto"/>
              </w:rPr>
            </w:pPr>
          </w:p>
        </w:tc>
        <w:tc>
          <w:tcPr>
            <w:tcW w:w="106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Compensaton Actually Paid to PEO</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$2,242,510</w:t>
            </w:r>
          </w:p>
        </w:tc>
        <w:tc>
          <w:tcPr>
            <w:tcW w:w="12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0"/>
              </w:rPr>
              <w:t>$3,698,401</w:t>
            </w:r>
          </w:p>
        </w:tc>
        <w:tc>
          <w:tcPr>
            <w:tcW w:w="1180" w:type="dxa"/>
            <w:vAlign w:val="bottom"/>
            <w:tcBorders>
              <w:bottom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0"/>
              </w:rPr>
              <w:t>$4,405,124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20" w:right="20" w:hanging="412"/>
        <w:spacing w:after="0" w:line="255"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individuals that were non-PEO NEOs during each applicable year are Messrs. Oldenkamp, Grahek, Erstad and Mangine for fscal 2023 and Messrs. Oldenkamp, Grahek and Erstad and Ms. Rozeboom for fscal 2022 and 2021. The average summary compensaton table totals for non-PEO NEOs are adjusted to arrive at the average compensaton actually paid to the non-POE NEOs each year using the same methodology as described for the PEO and as indicated in the table below. None of our NEOs partcipate in a pension plan; therefore, no adjustment from the summary compensaton table total related to pension value was made. The fair value of equity awards was computed in accordance with the Company's methodology used for fnancial reportng purposes.</w:t>
      </w:r>
    </w:p>
    <w:p>
      <w:pPr>
        <w:spacing w:after="0" w:line="16" w:lineRule="exact"/>
        <w:rPr>
          <w:sz w:val="20"/>
          <w:szCs w:val="20"/>
          <w:color w:val="auto"/>
        </w:rPr>
      </w:pPr>
    </w:p>
    <w:tbl>
      <w:tblPr>
        <w:tblLayout w:type="fixed"/>
        <w:tblInd w:w="430" w:type="dxa"/>
        <w:tblCellMar>
          <w:top w:w="0" w:type="dxa"/>
          <w:left w:w="0" w:type="dxa"/>
          <w:bottom w:w="0" w:type="dxa"/>
          <w:right w:w="0" w:type="dxa"/>
        </w:tblCellMar>
      </w:tblPr>
      <w:tr>
        <w:trPr>
          <w:trHeight w:val="250"/>
        </w:trPr>
        <w:tc>
          <w:tcPr>
            <w:tcW w:w="7420" w:type="dxa"/>
            <w:vAlign w:val="bottom"/>
            <w:tcBorders>
              <w:top w:val="single" w:sz="8" w:color="auto"/>
              <w:left w:val="single" w:sz="8" w:color="auto"/>
            </w:tcBorders>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2023</w:t>
            </w:r>
          </w:p>
        </w:tc>
        <w:tc>
          <w:tcPr>
            <w:tcW w:w="120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4"/>
              </w:rPr>
              <w:t>2022</w:t>
            </w:r>
          </w:p>
        </w:tc>
        <w:tc>
          <w:tcPr>
            <w:tcW w:w="1180" w:type="dxa"/>
            <w:vAlign w:val="bottom"/>
            <w:tcBorders>
              <w:top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9"/>
        </w:trPr>
        <w:tc>
          <w:tcPr>
            <w:tcW w:w="7420" w:type="dxa"/>
            <w:vAlign w:val="bottom"/>
            <w:tcBorders>
              <w:top w:val="single" w:sz="8" w:color="DBDBDB"/>
              <w:left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Average Summary Compensaton Table total for non-PEO NEOs</w:t>
            </w:r>
          </w:p>
        </w:tc>
        <w:tc>
          <w:tcPr>
            <w:tcW w:w="10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3"/>
              </w:rPr>
              <w:t>$942,164</w:t>
            </w:r>
          </w:p>
        </w:tc>
        <w:tc>
          <w:tcPr>
            <w:tcW w:w="16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3"/>
              </w:rPr>
              <w:t>$919,021</w:t>
            </w:r>
          </w:p>
        </w:tc>
        <w:tc>
          <w:tcPr>
            <w:tcW w:w="12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3"/>
              </w:rPr>
              <w:t>$862,226</w:t>
            </w:r>
          </w:p>
        </w:tc>
        <w:tc>
          <w:tcPr>
            <w:tcW w:w="0" w:type="dxa"/>
            <w:vAlign w:val="bottom"/>
          </w:tcPr>
          <w:p>
            <w:pPr>
              <w:spacing w:after="0"/>
              <w:rPr>
                <w:sz w:val="1"/>
                <w:szCs w:val="1"/>
                <w:color w:val="auto"/>
              </w:rPr>
            </w:pPr>
          </w:p>
        </w:tc>
      </w:tr>
      <w:tr>
        <w:trPr>
          <w:trHeight w:val="230"/>
        </w:trPr>
        <w:tc>
          <w:tcPr>
            <w:tcW w:w="74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Adjustments to Determine Compensaton Actually Paid for non-PEO NEOs: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420" w:type="dxa"/>
            <w:vAlign w:val="bottom"/>
            <w:tcBorders>
              <w:left w:val="single" w:sz="8" w:color="auto"/>
            </w:tcBorders>
            <w:shd w:val="clear" w:color="auto" w:fill="DBDBDB"/>
          </w:tcPr>
          <w:p>
            <w:pPr>
              <w:ind w:left="240"/>
              <w:spacing w:after="0" w:line="170" w:lineRule="exact"/>
              <w:rPr>
                <w:sz w:val="20"/>
                <w:szCs w:val="20"/>
                <w:color w:val="auto"/>
              </w:rPr>
            </w:pPr>
            <w:r>
              <w:rPr>
                <w:rFonts w:ascii="Arial" w:cs="Arial" w:eastAsia="Arial" w:hAnsi="Arial"/>
                <w:sz w:val="18"/>
                <w:szCs w:val="18"/>
                <w:color w:val="auto"/>
                <w:w w:val="96"/>
              </w:rPr>
              <w:t>Deducton for amounts reported under "Stock Awards" column in the Summary Compensaton</w:t>
            </w:r>
          </w:p>
        </w:tc>
        <w:tc>
          <w:tcPr>
            <w:tcW w:w="10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6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420" w:type="dxa"/>
            <w:vAlign w:val="bottom"/>
            <w:tcBorders>
              <w:left w:val="single" w:sz="8" w:color="auto"/>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Table</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(239,533)</w:t>
            </w:r>
          </w:p>
        </w:tc>
        <w:tc>
          <w:tcPr>
            <w:tcW w:w="12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(217,006)</w:t>
            </w:r>
          </w:p>
        </w:tc>
        <w:tc>
          <w:tcPr>
            <w:tcW w:w="1180" w:type="dxa"/>
            <w:vAlign w:val="bottom"/>
            <w:tcBorders>
              <w:bottom w:val="single" w:sz="8" w:color="DBDBDB"/>
              <w:right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(159,107)</w:t>
            </w:r>
          </w:p>
        </w:tc>
        <w:tc>
          <w:tcPr>
            <w:tcW w:w="0" w:type="dxa"/>
            <w:vAlign w:val="bottom"/>
          </w:tcPr>
          <w:p>
            <w:pPr>
              <w:spacing w:after="0"/>
              <w:rPr>
                <w:sz w:val="1"/>
                <w:szCs w:val="1"/>
                <w:color w:val="auto"/>
              </w:rPr>
            </w:pPr>
          </w:p>
        </w:tc>
      </w:tr>
      <w:tr>
        <w:trPr>
          <w:trHeight w:val="228"/>
        </w:trPr>
        <w:tc>
          <w:tcPr>
            <w:tcW w:w="74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6"/>
              </w:rPr>
              <w:t>Increase for fair value of awards granted during the year that remain unvested as of year end</w:t>
            </w:r>
          </w:p>
        </w:tc>
        <w:tc>
          <w:tcPr>
            <w:tcW w:w="1020" w:type="dxa"/>
            <w:vAlign w:val="bottom"/>
          </w:tcPr>
          <w:p>
            <w:pPr>
              <w:jc w:val="right"/>
              <w:spacing w:after="0"/>
              <w:rPr>
                <w:sz w:val="20"/>
                <w:szCs w:val="20"/>
                <w:color w:val="auto"/>
              </w:rPr>
            </w:pPr>
            <w:r>
              <w:rPr>
                <w:rFonts w:ascii="Arial" w:cs="Arial" w:eastAsia="Arial" w:hAnsi="Arial"/>
                <w:sz w:val="18"/>
                <w:szCs w:val="18"/>
                <w:color w:val="auto"/>
              </w:rPr>
              <w:t>330,233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468,711</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427,621</w:t>
            </w:r>
          </w:p>
        </w:tc>
        <w:tc>
          <w:tcPr>
            <w:tcW w:w="0" w:type="dxa"/>
            <w:vAlign w:val="bottom"/>
          </w:tcPr>
          <w:p>
            <w:pPr>
              <w:spacing w:after="0"/>
              <w:rPr>
                <w:sz w:val="1"/>
                <w:szCs w:val="1"/>
                <w:color w:val="auto"/>
              </w:rPr>
            </w:pPr>
          </w:p>
        </w:tc>
      </w:tr>
      <w:tr>
        <w:trPr>
          <w:trHeight w:val="244"/>
        </w:trPr>
        <w:tc>
          <w:tcPr>
            <w:tcW w:w="742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Increase for fair value of awards granted during year that vested during year</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10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420" w:type="dxa"/>
            <w:vAlign w:val="bottom"/>
            <w:tcBorders>
              <w:left w:val="single" w:sz="8" w:color="auto"/>
            </w:tcBorders>
          </w:tcPr>
          <w:p>
            <w:pPr>
              <w:ind w:left="240"/>
              <w:spacing w:after="0" w:line="162" w:lineRule="exact"/>
              <w:rPr>
                <w:sz w:val="20"/>
                <w:szCs w:val="20"/>
                <w:color w:val="auto"/>
              </w:rPr>
            </w:pPr>
            <w:r>
              <w:rPr>
                <w:rFonts w:ascii="Arial" w:cs="Arial" w:eastAsia="Arial" w:hAnsi="Arial"/>
                <w:sz w:val="18"/>
                <w:szCs w:val="18"/>
                <w:color w:val="auto"/>
                <w:w w:val="96"/>
              </w:rPr>
              <w:t>Increase (deducton) for change in fair value from prior year end to current year end of awards</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(39,618)</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307,410</w:t>
            </w:r>
          </w:p>
        </w:tc>
        <w:tc>
          <w:tcPr>
            <w:tcW w:w="11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394,798</w:t>
            </w:r>
          </w:p>
        </w:tc>
        <w:tc>
          <w:tcPr>
            <w:tcW w:w="0" w:type="dxa"/>
            <w:vAlign w:val="bottom"/>
          </w:tcPr>
          <w:p>
            <w:pPr>
              <w:spacing w:after="0"/>
              <w:rPr>
                <w:sz w:val="1"/>
                <w:szCs w:val="1"/>
                <w:color w:val="auto"/>
              </w:rPr>
            </w:pPr>
          </w:p>
        </w:tc>
      </w:tr>
      <w:tr>
        <w:trPr>
          <w:trHeight w:val="235"/>
        </w:trPr>
        <w:tc>
          <w:tcPr>
            <w:tcW w:w="74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granted prior to year that were outstanding and unvested as of year end</w:t>
            </w:r>
          </w:p>
        </w:tc>
        <w:tc>
          <w:tcPr>
            <w:tcW w:w="102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18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420" w:type="dxa"/>
            <w:vAlign w:val="bottom"/>
            <w:tcBorders>
              <w:left w:val="single" w:sz="8" w:color="auto"/>
            </w:tcBorders>
            <w:shd w:val="clear" w:color="auto" w:fill="DBDBDB"/>
          </w:tcPr>
          <w:p>
            <w:pPr>
              <w:ind w:left="240"/>
              <w:spacing w:after="0" w:line="178" w:lineRule="exact"/>
              <w:rPr>
                <w:sz w:val="20"/>
                <w:szCs w:val="20"/>
                <w:color w:val="auto"/>
              </w:rPr>
            </w:pPr>
            <w:r>
              <w:rPr>
                <w:rFonts w:ascii="Arial" w:cs="Arial" w:eastAsia="Arial" w:hAnsi="Arial"/>
                <w:sz w:val="18"/>
                <w:szCs w:val="18"/>
                <w:color w:val="auto"/>
              </w:rPr>
              <w:t>Increase (deducton) for change in fair value from prior year end to vestng date of awards</w:t>
            </w: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420" w:type="dxa"/>
            <w:vAlign w:val="bottom"/>
            <w:tcBorders>
              <w:left w:val="single" w:sz="8" w:color="auto"/>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granted prior to current year that vested during the year</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(31,702)</w:t>
            </w:r>
          </w:p>
        </w:tc>
        <w:tc>
          <w:tcPr>
            <w:tcW w:w="12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(7,230)</w:t>
            </w:r>
          </w:p>
        </w:tc>
        <w:tc>
          <w:tcPr>
            <w:tcW w:w="1180" w:type="dxa"/>
            <w:vAlign w:val="bottom"/>
            <w:tcBorders>
              <w:bottom w:val="single" w:sz="8" w:color="DBDBDB"/>
              <w:right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162"/>
        </w:trPr>
        <w:tc>
          <w:tcPr>
            <w:tcW w:w="7420" w:type="dxa"/>
            <w:vAlign w:val="bottom"/>
            <w:tcBorders>
              <w:left w:val="single" w:sz="8" w:color="auto"/>
            </w:tcBorders>
          </w:tcPr>
          <w:p>
            <w:pPr>
              <w:ind w:left="240"/>
              <w:spacing w:after="0" w:line="162" w:lineRule="exact"/>
              <w:rPr>
                <w:sz w:val="20"/>
                <w:szCs w:val="20"/>
                <w:color w:val="auto"/>
              </w:rPr>
            </w:pPr>
            <w:r>
              <w:rPr>
                <w:rFonts w:ascii="Arial" w:cs="Arial" w:eastAsia="Arial" w:hAnsi="Arial"/>
                <w:sz w:val="18"/>
                <w:szCs w:val="18"/>
                <w:color w:val="auto"/>
                <w:w w:val="98"/>
              </w:rPr>
              <w:t>Deducton for fair value of awards granted prior to current year that were forfeited during the</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4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year</w:t>
            </w: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7420" w:type="dxa"/>
            <w:vAlign w:val="bottom"/>
            <w:tcBorders>
              <w:lef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420" w:type="dxa"/>
            <w:vAlign w:val="bottom"/>
            <w:tcBorders>
              <w:left w:val="single" w:sz="8" w:color="auto"/>
            </w:tcBorders>
            <w:shd w:val="clear" w:color="auto" w:fill="DBDBDB"/>
          </w:tcPr>
          <w:p>
            <w:pPr>
              <w:ind w:left="240"/>
              <w:spacing w:after="0" w:line="162" w:lineRule="exact"/>
              <w:rPr>
                <w:sz w:val="20"/>
                <w:szCs w:val="20"/>
                <w:color w:val="auto"/>
              </w:rPr>
            </w:pPr>
            <w:r>
              <w:rPr>
                <w:rFonts w:ascii="Arial" w:cs="Arial" w:eastAsia="Arial" w:hAnsi="Arial"/>
                <w:sz w:val="18"/>
                <w:szCs w:val="18"/>
                <w:color w:val="auto"/>
              </w:rPr>
              <w:t>Increase based on dividends or other earnings paid during the year prior to vestng date of</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11,761</w:t>
            </w:r>
          </w:p>
        </w:tc>
        <w:tc>
          <w:tcPr>
            <w:tcW w:w="120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13,133</w:t>
            </w:r>
          </w:p>
        </w:tc>
        <w:tc>
          <w:tcPr>
            <w:tcW w:w="1180" w:type="dxa"/>
            <w:vAlign w:val="bottom"/>
            <w:tcBorders>
              <w:right w:val="single" w:sz="8" w:color="auto"/>
            </w:tcBorders>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43"/>
        </w:trPr>
        <w:tc>
          <w:tcPr>
            <w:tcW w:w="742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award</w:t>
            </w:r>
          </w:p>
        </w:tc>
        <w:tc>
          <w:tcPr>
            <w:tcW w:w="1020" w:type="dxa"/>
            <w:vAlign w:val="bottom"/>
            <w:vMerge w:val="continue"/>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180" w:type="dxa"/>
            <w:vAlign w:val="bottom"/>
            <w:tcBorders>
              <w:right w:val="single" w:sz="8" w:color="auto"/>
            </w:tcBorders>
            <w:gridSpan w:val="2"/>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Compensaton Actually Paid to non-PEO NEOs</w:t>
            </w: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$973,305</w:t>
            </w:r>
          </w:p>
        </w:tc>
        <w:tc>
          <w:tcPr>
            <w:tcW w:w="16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$1,484,039</w:t>
            </w:r>
          </w:p>
        </w:tc>
        <w:tc>
          <w:tcPr>
            <w:tcW w:w="12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$1,539,781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 w:right="520" w:hanging="412"/>
        <w:spacing w:after="0" w:line="273"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each of fscal 2023, 2022 and 2021, total shareholder return for the company and the peer group was calculated based on a deemed fxed investment of $100 at market close on March 27, 2020 (the last trading day of fscal year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ind w:left="420" w:right="140"/>
        <w:spacing w:after="0" w:line="273" w:lineRule="auto"/>
        <w:rPr>
          <w:sz w:val="20"/>
          <w:szCs w:val="20"/>
          <w:color w:val="auto"/>
        </w:rPr>
      </w:pPr>
      <w:r>
        <w:rPr>
          <w:rFonts w:ascii="Arial" w:cs="Arial" w:eastAsia="Arial" w:hAnsi="Arial"/>
          <w:sz w:val="18"/>
          <w:szCs w:val="18"/>
          <w:color w:val="auto"/>
        </w:rPr>
        <w:t>through and including the end of the fscal year for each year reported in the table. Our peer group is the Russell 2000 Index, which is the industry index used to show our performance in our Form 10-K.</w:t>
      </w:r>
    </w:p>
    <w:p>
      <w:pPr>
        <w:spacing w:after="0" w:line="123" w:lineRule="exact"/>
        <w:rPr>
          <w:sz w:val="20"/>
          <w:szCs w:val="20"/>
          <w:color w:val="auto"/>
        </w:rPr>
      </w:pPr>
    </w:p>
    <w:p>
      <w:pPr>
        <w:ind w:left="420" w:right="40" w:hanging="412"/>
        <w:spacing w:after="0" w:line="262"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company-selected measure, which is the measure we believe represents the most important fnancial performance not otherwise presented in the table above that we use to link compensaton actually paid to our NEOs for fscal 2023 to our company's performance, is net income before income taxes.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Versus Performance Relatonship Descriptons</w:t>
      </w:r>
    </w:p>
    <w:p>
      <w:pPr>
        <w:spacing w:after="0" w:line="17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following graphical comparisons provide descriptons of the relatonships between certain fgures included in the Pay Versus Performance Table for each of fscal 2023, 2022 and 2021, including comparisons between (i) the compensaton actually paid to the PEO and the average compensaton actually paid to our non-PEO NEOs and (ii) each of the following performance measures set forth in the Pay Versus Performance Table - Total Shareholder Return, Net Income and Pretax Income. Pretax Income is the only corporate performance measure that is used to determine incentve plan payouts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4243705" cy="3352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43705" cy="335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4243705" cy="6764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43705" cy="676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96520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Tabular List of Important Financial Performance Measures</w:t>
      </w:r>
    </w:p>
    <w:p>
      <w:pPr>
        <w:spacing w:after="0" w:line="25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following tables list the most important fnancial performance measures we used to link Compensaton Actually Paid to the NEOs for fscal 2023 to our performance.</w:t>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NEOs other than Mr. Mangine: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657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7475" cy="17145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Mr. Mangine: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657475"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7475" cy="31750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Operatonal performance measure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The operatonal performance measure includes gross proft as a component</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74"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The following table provides informaton about shares that may be issued under the Hawkins, Inc. 2019 Equity Incentve Plan (the “2019 Plan”) or the Employee Stock Purchase Plan as of April 2, 2023.</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4900" w:type="dxa"/>
            <w:vAlign w:val="bottom"/>
            <w:tcBorders>
              <w:top w:val="single" w:sz="8" w:color="auto"/>
              <w:lef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320" w:type="dxa"/>
            <w:vAlign w:val="bottom"/>
            <w:tcBorders>
              <w:top w:val="single" w:sz="8" w:color="auto"/>
              <w:right w:val="single" w:sz="8" w:color="auto"/>
            </w:tcBorders>
            <w:gridSpan w:val="2"/>
          </w:tcPr>
          <w:p>
            <w:pPr>
              <w:jc w:val="center"/>
              <w:ind w:right="600"/>
              <w:spacing w:after="0" w:line="138" w:lineRule="exact"/>
              <w:rPr>
                <w:sz w:val="20"/>
                <w:szCs w:val="20"/>
                <w:color w:val="auto"/>
              </w:rPr>
            </w:pPr>
            <w:r>
              <w:rPr>
                <w:rFonts w:ascii="Arial" w:cs="Arial" w:eastAsia="Arial" w:hAnsi="Arial"/>
                <w:sz w:val="14"/>
                <w:szCs w:val="14"/>
                <w:b w:val="1"/>
                <w:bCs w:val="1"/>
                <w:color w:val="auto"/>
                <w:w w:val="90"/>
              </w:rPr>
              <w:t>Number of Securites</w:t>
            </w:r>
          </w:p>
        </w:tc>
        <w:tc>
          <w:tcPr>
            <w:tcW w:w="0" w:type="dxa"/>
            <w:vAlign w:val="bottom"/>
          </w:tcPr>
          <w:p>
            <w:pPr>
              <w:spacing w:after="0"/>
              <w:rPr>
                <w:sz w:val="1"/>
                <w:szCs w:val="1"/>
                <w:color w:val="auto"/>
              </w:rPr>
            </w:pPr>
          </w:p>
        </w:tc>
      </w:tr>
      <w:tr>
        <w:trPr>
          <w:trHeight w:val="149"/>
        </w:trPr>
        <w:tc>
          <w:tcPr>
            <w:tcW w:w="49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Securites to Be</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6"/>
        </w:trPr>
        <w:tc>
          <w:tcPr>
            <w:tcW w:w="49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7"/>
              </w:rPr>
              <w:t>Issued upon</w:t>
            </w:r>
          </w:p>
        </w:tc>
        <w:tc>
          <w:tcPr>
            <w:tcW w:w="12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2"/>
                <w:szCs w:val="12"/>
                <w:color w:val="auto"/>
              </w:rPr>
            </w:pPr>
          </w:p>
        </w:tc>
        <w:tc>
          <w:tcPr>
            <w:tcW w:w="2320" w:type="dxa"/>
            <w:vAlign w:val="bottom"/>
            <w:tcBorders>
              <w:right w:val="single" w:sz="8" w:color="auto"/>
            </w:tcBorders>
            <w:gridSpan w:val="2"/>
          </w:tcPr>
          <w:p>
            <w:pPr>
              <w:jc w:val="center"/>
              <w:ind w:right="620"/>
              <w:spacing w:after="0" w:line="146"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38"/>
        </w:trPr>
        <w:tc>
          <w:tcPr>
            <w:tcW w:w="490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Exercise of</w:t>
            </w:r>
          </w:p>
        </w:tc>
        <w:tc>
          <w:tcPr>
            <w:tcW w:w="120" w:type="dxa"/>
            <w:vAlign w:val="bottom"/>
          </w:tcPr>
          <w:p>
            <w:pPr>
              <w:spacing w:after="0"/>
              <w:rPr>
                <w:sz w:val="11"/>
                <w:szCs w:val="11"/>
                <w:color w:val="auto"/>
              </w:rPr>
            </w:pPr>
          </w:p>
        </w:tc>
        <w:tc>
          <w:tcPr>
            <w:tcW w:w="170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6"/>
              </w:rPr>
              <w:t>Exercise Price of</w:t>
            </w:r>
          </w:p>
        </w:tc>
        <w:tc>
          <w:tcPr>
            <w:tcW w:w="120" w:type="dxa"/>
            <w:vAlign w:val="bottom"/>
          </w:tcPr>
          <w:p>
            <w:pPr>
              <w:spacing w:after="0"/>
              <w:rPr>
                <w:sz w:val="11"/>
                <w:szCs w:val="11"/>
                <w:color w:val="auto"/>
              </w:rPr>
            </w:pPr>
          </w:p>
        </w:tc>
        <w:tc>
          <w:tcPr>
            <w:tcW w:w="2320" w:type="dxa"/>
            <w:vAlign w:val="bottom"/>
            <w:tcBorders>
              <w:right w:val="single" w:sz="8" w:color="auto"/>
            </w:tcBorders>
            <w:gridSpan w:val="2"/>
          </w:tcPr>
          <w:p>
            <w:pPr>
              <w:jc w:val="center"/>
              <w:ind w:right="620"/>
              <w:spacing w:after="0" w:line="138" w:lineRule="exact"/>
              <w:rPr>
                <w:sz w:val="20"/>
                <w:szCs w:val="20"/>
                <w:color w:val="auto"/>
              </w:rPr>
            </w:pPr>
            <w:r>
              <w:rPr>
                <w:rFonts w:ascii="Arial" w:cs="Arial" w:eastAsia="Arial" w:hAnsi="Arial"/>
                <w:sz w:val="14"/>
                <w:szCs w:val="14"/>
                <w:b w:val="1"/>
                <w:bCs w:val="1"/>
                <w:color w:val="auto"/>
                <w:w w:val="89"/>
              </w:rPr>
              <w:t>Equity Compensaton Plans</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2"/>
                <w:szCs w:val="12"/>
                <w:color w:val="auto"/>
              </w:rPr>
            </w:pPr>
          </w:p>
        </w:tc>
        <w:tc>
          <w:tcPr>
            <w:tcW w:w="232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(excluding securites</w:t>
            </w:r>
          </w:p>
        </w:tc>
        <w:tc>
          <w:tcPr>
            <w:tcW w:w="0" w:type="dxa"/>
            <w:vAlign w:val="bottom"/>
          </w:tcPr>
          <w:p>
            <w:pPr>
              <w:spacing w:after="0"/>
              <w:rPr>
                <w:sz w:val="1"/>
                <w:szCs w:val="1"/>
                <w:color w:val="auto"/>
              </w:rPr>
            </w:pPr>
          </w:p>
        </w:tc>
      </w:tr>
      <w:tr>
        <w:trPr>
          <w:trHeight w:val="146"/>
        </w:trPr>
        <w:tc>
          <w:tcPr>
            <w:tcW w:w="49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Optons, Warrants</w:t>
            </w:r>
          </w:p>
        </w:tc>
        <w:tc>
          <w:tcPr>
            <w:tcW w:w="12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Optons, Warrants</w:t>
            </w:r>
          </w:p>
        </w:tc>
        <w:tc>
          <w:tcPr>
            <w:tcW w:w="120" w:type="dxa"/>
            <w:vAlign w:val="bottom"/>
          </w:tcPr>
          <w:p>
            <w:pPr>
              <w:spacing w:after="0"/>
              <w:rPr>
                <w:sz w:val="12"/>
                <w:szCs w:val="12"/>
                <w:color w:val="auto"/>
              </w:rPr>
            </w:pPr>
          </w:p>
        </w:tc>
        <w:tc>
          <w:tcPr>
            <w:tcW w:w="2320" w:type="dxa"/>
            <w:vAlign w:val="bottom"/>
            <w:tcBorders>
              <w:right w:val="single" w:sz="8" w:color="auto"/>
            </w:tcBorders>
            <w:gridSpan w:val="2"/>
          </w:tcPr>
          <w:p>
            <w:pPr>
              <w:jc w:val="center"/>
              <w:ind w:right="600"/>
              <w:spacing w:after="0" w:line="146" w:lineRule="exact"/>
              <w:rPr>
                <w:sz w:val="20"/>
                <w:szCs w:val="20"/>
                <w:color w:val="auto"/>
              </w:rPr>
            </w:pPr>
            <w:r>
              <w:rPr>
                <w:rFonts w:ascii="Arial" w:cs="Arial" w:eastAsia="Arial" w:hAnsi="Arial"/>
                <w:sz w:val="14"/>
                <w:szCs w:val="14"/>
                <w:b w:val="1"/>
                <w:bCs w:val="1"/>
                <w:color w:val="auto"/>
                <w:w w:val="94"/>
              </w:rPr>
              <w:t>refected in the frst</w:t>
            </w:r>
          </w:p>
        </w:tc>
        <w:tc>
          <w:tcPr>
            <w:tcW w:w="0" w:type="dxa"/>
            <w:vAlign w:val="bottom"/>
          </w:tcPr>
          <w:p>
            <w:pPr>
              <w:spacing w:after="0"/>
              <w:rPr>
                <w:sz w:val="1"/>
                <w:szCs w:val="1"/>
                <w:color w:val="auto"/>
              </w:rPr>
            </w:pPr>
          </w:p>
        </w:tc>
      </w:tr>
      <w:tr>
        <w:trPr>
          <w:trHeight w:val="184"/>
        </w:trPr>
        <w:tc>
          <w:tcPr>
            <w:tcW w:w="4900" w:type="dxa"/>
            <w:vAlign w:val="bottom"/>
            <w:tcBorders>
              <w:lef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and Rights (a)</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and Rights ($)</w:t>
            </w:r>
          </w:p>
        </w:tc>
        <w:tc>
          <w:tcPr>
            <w:tcW w:w="120" w:type="dxa"/>
            <w:vAlign w:val="bottom"/>
          </w:tcPr>
          <w:p>
            <w:pPr>
              <w:spacing w:after="0"/>
              <w:rPr>
                <w:sz w:val="15"/>
                <w:szCs w:val="15"/>
                <w:color w:val="auto"/>
              </w:rPr>
            </w:pPr>
          </w:p>
        </w:tc>
        <w:tc>
          <w:tcPr>
            <w:tcW w:w="232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89"/>
              </w:rPr>
              <w:t>column) (b)</w:t>
            </w:r>
          </w:p>
        </w:tc>
        <w:tc>
          <w:tcPr>
            <w:tcW w:w="0" w:type="dxa"/>
            <w:vAlign w:val="bottom"/>
          </w:tcPr>
          <w:p>
            <w:pPr>
              <w:spacing w:after="0"/>
              <w:rPr>
                <w:sz w:val="1"/>
                <w:szCs w:val="1"/>
                <w:color w:val="auto"/>
              </w:rPr>
            </w:pPr>
          </w:p>
        </w:tc>
      </w:tr>
      <w:tr>
        <w:trPr>
          <w:trHeight w:val="32"/>
        </w:trPr>
        <w:tc>
          <w:tcPr>
            <w:tcW w:w="4900" w:type="dxa"/>
            <w:vAlign w:val="bottom"/>
            <w:tcBorders>
              <w:left w:val="single" w:sz="8" w:color="auto"/>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20" w:type="dxa"/>
            <w:vAlign w:val="bottom"/>
            <w:tcBorders>
              <w:right w:val="single" w:sz="8" w:color="auto"/>
            </w:tcBorders>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00" w:type="dxa"/>
            <w:vAlign w:val="bottom"/>
            <w:tcBorders>
              <w:left w:val="single" w:sz="8" w:color="auto"/>
            </w:tcBorders>
          </w:tcPr>
          <w:p>
            <w:pPr>
              <w:ind w:left="40"/>
              <w:spacing w:after="0" w:line="204" w:lineRule="exact"/>
              <w:rPr>
                <w:sz w:val="20"/>
                <w:szCs w:val="20"/>
                <w:color w:val="auto"/>
              </w:rPr>
            </w:pPr>
            <w:r>
              <w:rPr>
                <w:rFonts w:ascii="Arial" w:cs="Arial" w:eastAsia="Arial" w:hAnsi="Arial"/>
                <w:sz w:val="18"/>
                <w:szCs w:val="18"/>
                <w:color w:val="auto"/>
              </w:rPr>
              <w:t>Equity compensaton plans approved by security holders</w:t>
            </w:r>
          </w:p>
        </w:tc>
        <w:tc>
          <w:tcPr>
            <w:tcW w:w="120" w:type="dxa"/>
            <w:vAlign w:val="bottom"/>
            <w:vMerge w:val="continue"/>
          </w:tcPr>
          <w:p>
            <w:pPr>
              <w:spacing w:after="0"/>
              <w:rPr>
                <w:sz w:val="17"/>
                <w:szCs w:val="17"/>
                <w:color w:val="auto"/>
              </w:rPr>
            </w:pPr>
          </w:p>
        </w:tc>
        <w:tc>
          <w:tcPr>
            <w:tcW w:w="1720" w:type="dxa"/>
            <w:vAlign w:val="bottom"/>
          </w:tcPr>
          <w:p>
            <w:pPr>
              <w:jc w:val="right"/>
              <w:ind w:right="3"/>
              <w:spacing w:after="0" w:line="204" w:lineRule="exact"/>
              <w:rPr>
                <w:sz w:val="20"/>
                <w:szCs w:val="20"/>
                <w:color w:val="auto"/>
              </w:rPr>
            </w:pPr>
            <w:r>
              <w:rPr>
                <w:rFonts w:ascii="Arial" w:cs="Arial" w:eastAsia="Arial" w:hAnsi="Arial"/>
                <w:sz w:val="18"/>
                <w:szCs w:val="18"/>
                <w:color w:val="auto"/>
              </w:rPr>
              <w:t>76,863</w:t>
            </w:r>
          </w:p>
        </w:tc>
        <w:tc>
          <w:tcPr>
            <w:tcW w:w="120" w:type="dxa"/>
            <w:vAlign w:val="bottom"/>
            <w:vMerge w:val="continue"/>
          </w:tcPr>
          <w:p>
            <w:pPr>
              <w:spacing w:after="0"/>
              <w:rPr>
                <w:sz w:val="17"/>
                <w:szCs w:val="17"/>
                <w:color w:val="auto"/>
              </w:rPr>
            </w:pPr>
          </w:p>
        </w:tc>
        <w:tc>
          <w:tcPr>
            <w:tcW w:w="1700" w:type="dxa"/>
            <w:vAlign w:val="bottom"/>
          </w:tcPr>
          <w:p>
            <w:pPr>
              <w:ind w:left="1480"/>
              <w:spacing w:after="0" w:line="204"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1,446,824</w:t>
            </w:r>
          </w:p>
        </w:tc>
        <w:tc>
          <w:tcPr>
            <w:tcW w:w="6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Equity compensaton plans not approved by security holders</w:t>
            </w:r>
          </w:p>
        </w:tc>
        <w:tc>
          <w:tcPr>
            <w:tcW w:w="1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00" w:type="dxa"/>
            <w:vAlign w:val="bottom"/>
          </w:tcPr>
          <w:p>
            <w:pPr>
              <w:ind w:left="1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3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
        </w:trPr>
        <w:tc>
          <w:tcPr>
            <w:tcW w:w="49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Total</w:t>
            </w:r>
          </w:p>
        </w:tc>
        <w:tc>
          <w:tcPr>
            <w:tcW w:w="120" w:type="dxa"/>
            <w:vAlign w:val="bottom"/>
            <w:vMerge w:val="restart"/>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900" w:type="dxa"/>
            <w:vAlign w:val="bottom"/>
            <w:tcBorders>
              <w:left w:val="single" w:sz="8" w:color="auto"/>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76,863</w:t>
            </w: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1,446,824</w:t>
            </w:r>
          </w:p>
        </w:tc>
        <w:tc>
          <w:tcPr>
            <w:tcW w:w="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hanging="412"/>
        <w:spacing w:after="0" w:line="273"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securites available for issuance under the 2019 Plan pursuant to restricted stock unit awards for fscal 2023. A total of 61,819 shares of restricted stock were issued in setlement of these awards subsequent to the end of fscal 2023.</w:t>
      </w:r>
    </w:p>
    <w:p>
      <w:pPr>
        <w:spacing w:after="0" w:line="55" w:lineRule="exact"/>
        <w:rPr>
          <w:rFonts w:ascii="Arial" w:cs="Arial" w:eastAsia="Arial" w:hAnsi="Arial"/>
          <w:sz w:val="18"/>
          <w:szCs w:val="18"/>
          <w:color w:val="auto"/>
        </w:rPr>
      </w:pPr>
    </w:p>
    <w:p>
      <w:pPr>
        <w:ind w:left="420" w:hanging="412"/>
        <w:spacing w:after="0" w:line="273"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1,191,823 shares available for future issuance under the 2019 Plan and 255,001 shares available for issuance under the Employee Stock Purchase Plan.</w:t>
      </w: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5" w:right="479" w:bottom="1440" w:gutter="0" w:footer="0" w:header="0"/>
        </w:sectPr>
      </w:pPr>
    </w:p>
    <w:bookmarkStart w:id="35" w:name="page36"/>
    <w:bookmarkEnd w:id="35"/>
    <w:p>
      <w:pPr>
        <w:spacing w:after="0"/>
        <w:rPr>
          <w:sz w:val="20"/>
          <w:szCs w:val="20"/>
          <w:color w:val="auto"/>
        </w:rPr>
      </w:pPr>
      <w:r>
        <w:rPr>
          <w:rFonts w:ascii="Arial" w:cs="Arial" w:eastAsia="Arial" w:hAnsi="Arial"/>
          <w:sz w:val="25"/>
          <w:szCs w:val="25"/>
          <w:b w:val="1"/>
          <w:bCs w:val="1"/>
          <w:color w:val="auto"/>
        </w:rPr>
        <w:t>SECURITY OWNERSHIP OF MANAGEMENT AND BENEFICIAL OWNERSHIP</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contains informaton as of June 7, 2023 (except as otherwise noted below) concerning the benefcial ownership of our common stock by all directors, the named executve ofcers, all directors and executve ofcers as a group and shareholders known by us to benefcially own more than 5% of our common stock. Unless otherwise noted, the address for each shareholder listed below is our principal executve ofces.</w:t>
      </w:r>
    </w:p>
    <w:tbl>
      <w:tblPr>
        <w:tblLayout w:type="fixed"/>
        <w:tblInd w:w="10" w:type="dxa"/>
        <w:tblCellMar>
          <w:top w:w="0" w:type="dxa"/>
          <w:left w:w="0" w:type="dxa"/>
          <w:bottom w:w="0" w:type="dxa"/>
          <w:right w:w="0" w:type="dxa"/>
        </w:tblCellMar>
      </w:tblPr>
      <w:tr>
        <w:trPr>
          <w:trHeight w:val="131"/>
        </w:trPr>
        <w:tc>
          <w:tcPr>
            <w:tcW w:w="6440" w:type="dxa"/>
            <w:vAlign w:val="bottom"/>
            <w:tcBorders>
              <w:top w:val="single" w:sz="8" w:color="auto"/>
              <w:left w:val="single" w:sz="8" w:color="auto"/>
            </w:tcBorders>
          </w:tcPr>
          <w:p>
            <w:pPr>
              <w:spacing w:after="0"/>
              <w:rPr>
                <w:sz w:val="11"/>
                <w:szCs w:val="11"/>
                <w:color w:val="auto"/>
              </w:rPr>
            </w:pPr>
          </w:p>
        </w:tc>
        <w:tc>
          <w:tcPr>
            <w:tcW w:w="19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9"/>
              </w:rPr>
              <w:t>Number of Shares</w:t>
            </w:r>
          </w:p>
        </w:tc>
        <w:tc>
          <w:tcPr>
            <w:tcW w:w="1060" w:type="dxa"/>
            <w:vAlign w:val="bottom"/>
            <w:tcBorders>
              <w:top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r>
      <w:tr>
        <w:trPr>
          <w:trHeight w:val="148"/>
        </w:trPr>
        <w:tc>
          <w:tcPr>
            <w:tcW w:w="6440" w:type="dxa"/>
            <w:vAlign w:val="bottom"/>
            <w:tcBorders>
              <w:left w:val="single" w:sz="8" w:color="auto"/>
            </w:tcBorders>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Benefcially</w:t>
            </w:r>
          </w:p>
        </w:tc>
        <w:tc>
          <w:tcPr>
            <w:tcW w:w="1060" w:type="dxa"/>
            <w:vAlign w:val="bottom"/>
          </w:tcPr>
          <w:p>
            <w:pPr>
              <w:spacing w:after="0"/>
              <w:rPr>
                <w:sz w:val="12"/>
                <w:szCs w:val="12"/>
                <w:color w:val="auto"/>
              </w:rPr>
            </w:pPr>
          </w:p>
        </w:tc>
        <w:tc>
          <w:tcPr>
            <w:tcW w:w="1620" w:type="dxa"/>
            <w:vAlign w:val="bottom"/>
            <w:tcBorders>
              <w:right w:val="single" w:sz="8" w:color="auto"/>
            </w:tcBorders>
          </w:tcPr>
          <w:p>
            <w:pPr>
              <w:jc w:val="right"/>
              <w:ind w:right="432"/>
              <w:spacing w:after="0" w:line="149" w:lineRule="exact"/>
              <w:rPr>
                <w:sz w:val="20"/>
                <w:szCs w:val="20"/>
                <w:color w:val="auto"/>
              </w:rPr>
            </w:pPr>
            <w:r>
              <w:rPr>
                <w:rFonts w:ascii="Arial" w:cs="Arial" w:eastAsia="Arial" w:hAnsi="Arial"/>
                <w:sz w:val="14"/>
                <w:szCs w:val="14"/>
                <w:b w:val="1"/>
                <w:bCs w:val="1"/>
                <w:color w:val="auto"/>
              </w:rPr>
              <w:t>Percent of</w:t>
            </w:r>
          </w:p>
        </w:tc>
      </w:tr>
      <w:tr>
        <w:trPr>
          <w:trHeight w:val="184"/>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Name of Benefcial Owner</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Owned (a)</w:t>
            </w:r>
          </w:p>
        </w:tc>
        <w:tc>
          <w:tcPr>
            <w:tcW w:w="1060" w:type="dxa"/>
            <w:vAlign w:val="bottom"/>
          </w:tcPr>
          <w:p>
            <w:pPr>
              <w:spacing w:after="0"/>
              <w:rPr>
                <w:sz w:val="15"/>
                <w:szCs w:val="15"/>
                <w:color w:val="auto"/>
              </w:rPr>
            </w:pPr>
          </w:p>
        </w:tc>
        <w:tc>
          <w:tcPr>
            <w:tcW w:w="1620" w:type="dxa"/>
            <w:vAlign w:val="bottom"/>
            <w:tcBorders>
              <w:right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Shares</w:t>
            </w:r>
          </w:p>
        </w:tc>
      </w:tr>
      <w:tr>
        <w:trPr>
          <w:trHeight w:val="29"/>
        </w:trPr>
        <w:tc>
          <w:tcPr>
            <w:tcW w:w="644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35,296</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(b)</w:t>
            </w:r>
          </w:p>
        </w:tc>
        <w:tc>
          <w:tcPr>
            <w:tcW w:w="16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320,042</w:t>
            </w:r>
          </w:p>
        </w:tc>
        <w:tc>
          <w:tcPr>
            <w:tcW w:w="1060" w:type="dxa"/>
            <w:vAlign w:val="bottom"/>
          </w:tcPr>
          <w:p>
            <w:pPr>
              <w:ind w:left="100"/>
              <w:spacing w:after="0"/>
              <w:rPr>
                <w:sz w:val="20"/>
                <w:szCs w:val="20"/>
                <w:color w:val="auto"/>
              </w:rPr>
            </w:pPr>
            <w:r>
              <w:rPr>
                <w:rFonts w:ascii="Arial" w:cs="Arial" w:eastAsia="Arial" w:hAnsi="Arial"/>
                <w:sz w:val="18"/>
                <w:szCs w:val="18"/>
                <w:color w:val="auto"/>
              </w:rPr>
              <w:t>(c)(d)</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31"/>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Mary J. Schumacher</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23,066</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6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Jefrey E. Spethmann</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2,800</w:t>
            </w:r>
          </w:p>
        </w:tc>
        <w:tc>
          <w:tcPr>
            <w:tcW w:w="1060" w:type="dxa"/>
            <w:vAlign w:val="bottom"/>
          </w:tcPr>
          <w:p>
            <w:pPr>
              <w:ind w:left="100"/>
              <w:spacing w:after="0"/>
              <w:rPr>
                <w:sz w:val="20"/>
                <w:szCs w:val="20"/>
                <w:color w:val="auto"/>
              </w:rPr>
            </w:pPr>
            <w:r>
              <w:rPr>
                <w:rFonts w:ascii="Arial" w:cs="Arial" w:eastAsia="Arial" w:hAnsi="Arial"/>
                <w:sz w:val="18"/>
                <w:szCs w:val="18"/>
                <w:color w:val="auto"/>
              </w:rPr>
              <w:t>(e)</w:t>
            </w:r>
          </w:p>
        </w:tc>
        <w:tc>
          <w:tcPr>
            <w:tcW w:w="1620" w:type="dxa"/>
            <w:vAlign w:val="bottom"/>
            <w:tcBorders>
              <w:right w:val="single" w:sz="8" w:color="auto"/>
            </w:tcBorders>
          </w:tcPr>
          <w:p>
            <w:pPr>
              <w:spacing w:after="0"/>
              <w:rPr>
                <w:sz w:val="20"/>
                <w:szCs w:val="20"/>
                <w:color w:val="auto"/>
              </w:rPr>
            </w:pPr>
          </w:p>
        </w:tc>
      </w:tr>
      <w:tr>
        <w:trPr>
          <w:trHeight w:val="238"/>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Daniel J. Stauber</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30,272</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6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4,780</w:t>
            </w:r>
          </w:p>
        </w:tc>
        <w:tc>
          <w:tcPr>
            <w:tcW w:w="1060" w:type="dxa"/>
            <w:vAlign w:val="bottom"/>
          </w:tcPr>
          <w:p>
            <w:pPr>
              <w:ind w:left="100"/>
              <w:spacing w:after="0"/>
              <w:rPr>
                <w:sz w:val="20"/>
                <w:szCs w:val="20"/>
                <w:color w:val="auto"/>
              </w:rPr>
            </w:pPr>
            <w:r>
              <w:rPr>
                <w:rFonts w:ascii="Arial" w:cs="Arial" w:eastAsia="Arial" w:hAnsi="Arial"/>
                <w:sz w:val="18"/>
                <w:szCs w:val="18"/>
                <w:color w:val="auto"/>
              </w:rPr>
              <w:t>(e)</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T. Thompson</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35,084</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6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Jefrey L. Wright</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39,084</w:t>
            </w:r>
          </w:p>
        </w:tc>
        <w:tc>
          <w:tcPr>
            <w:tcW w:w="1060" w:type="dxa"/>
            <w:vAlign w:val="bottom"/>
          </w:tcPr>
          <w:p>
            <w:pPr>
              <w:ind w:left="100"/>
              <w:spacing w:after="0"/>
              <w:rPr>
                <w:sz w:val="20"/>
                <w:szCs w:val="20"/>
                <w:color w:val="auto"/>
              </w:rPr>
            </w:pPr>
            <w:r>
              <w:rPr>
                <w:rFonts w:ascii="Arial" w:cs="Arial" w:eastAsia="Arial" w:hAnsi="Arial"/>
                <w:sz w:val="18"/>
                <w:szCs w:val="18"/>
                <w:color w:val="auto"/>
              </w:rPr>
              <w:t>(e)</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62,614</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(d)(f)</w:t>
            </w:r>
          </w:p>
        </w:tc>
        <w:tc>
          <w:tcPr>
            <w:tcW w:w="16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Drew M. Grahek</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31,997</w:t>
            </w:r>
          </w:p>
        </w:tc>
        <w:tc>
          <w:tcPr>
            <w:tcW w:w="1060" w:type="dxa"/>
            <w:vAlign w:val="bottom"/>
          </w:tcPr>
          <w:p>
            <w:pPr>
              <w:ind w:left="100"/>
              <w:spacing w:after="0"/>
              <w:rPr>
                <w:sz w:val="20"/>
                <w:szCs w:val="20"/>
                <w:color w:val="auto"/>
              </w:rPr>
            </w:pPr>
            <w:r>
              <w:rPr>
                <w:rFonts w:ascii="Arial" w:cs="Arial" w:eastAsia="Arial" w:hAnsi="Arial"/>
                <w:sz w:val="18"/>
                <w:szCs w:val="18"/>
                <w:color w:val="auto"/>
              </w:rPr>
              <w:t>(d)(g)</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David J. Mangine</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32,086</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(d)(h)</w:t>
            </w:r>
          </w:p>
        </w:tc>
        <w:tc>
          <w:tcPr>
            <w:tcW w:w="1620" w:type="dxa"/>
            <w:vAlign w:val="bottom"/>
            <w:tcBorders>
              <w:right w:val="single" w:sz="8" w:color="auto"/>
            </w:tcBorders>
            <w:shd w:val="clear" w:color="auto" w:fill="B3B3B3"/>
          </w:tcPr>
          <w:p>
            <w:pPr>
              <w:spacing w:after="0"/>
              <w:rPr>
                <w:sz w:val="20"/>
                <w:szCs w:val="20"/>
                <w:color w:val="auto"/>
              </w:rPr>
            </w:pPr>
          </w:p>
        </w:tc>
      </w:tr>
      <w:tr>
        <w:trPr>
          <w:trHeight w:val="228"/>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Jefrey P. Oldenkamp</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82,876</w:t>
            </w:r>
          </w:p>
        </w:tc>
        <w:tc>
          <w:tcPr>
            <w:tcW w:w="1060" w:type="dxa"/>
            <w:vAlign w:val="bottom"/>
          </w:tcPr>
          <w:p>
            <w:pPr>
              <w:ind w:left="100"/>
              <w:spacing w:after="0"/>
              <w:rPr>
                <w:sz w:val="20"/>
                <w:szCs w:val="20"/>
                <w:color w:val="auto"/>
              </w:rPr>
            </w:pPr>
            <w:r>
              <w:rPr>
                <w:rFonts w:ascii="Arial" w:cs="Arial" w:eastAsia="Arial" w:hAnsi="Arial"/>
                <w:sz w:val="18"/>
                <w:szCs w:val="18"/>
                <w:color w:val="auto"/>
              </w:rPr>
              <w:t>(d)(i)</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Shirley A. Rozeboom</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30,272</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(d)(j)</w:t>
            </w:r>
          </w:p>
        </w:tc>
        <w:tc>
          <w:tcPr>
            <w:tcW w:w="16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All current executve ofcers and directors as a group (14 persons)</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753,567</w:t>
            </w:r>
          </w:p>
        </w:tc>
        <w:tc>
          <w:tcPr>
            <w:tcW w:w="1060" w:type="dxa"/>
            <w:vAlign w:val="bottom"/>
          </w:tcPr>
          <w:p>
            <w:pPr>
              <w:ind w:left="100"/>
              <w:spacing w:after="0"/>
              <w:rPr>
                <w:sz w:val="20"/>
                <w:szCs w:val="20"/>
                <w:color w:val="auto"/>
              </w:rPr>
            </w:pPr>
            <w:r>
              <w:rPr>
                <w:rFonts w:ascii="Arial" w:cs="Arial" w:eastAsia="Arial" w:hAnsi="Arial"/>
                <w:sz w:val="18"/>
                <w:szCs w:val="18"/>
                <w:color w:val="auto"/>
              </w:rPr>
              <w:t>(d)(k)</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59"/>
        </w:trPr>
        <w:tc>
          <w:tcPr>
            <w:tcW w:w="6440" w:type="dxa"/>
            <w:vAlign w:val="bottom"/>
            <w:tcBorders>
              <w:left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r>
      <w:tr>
        <w:trPr>
          <w:trHeight w:val="229"/>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BlackRock, Inc.</w:t>
            </w:r>
          </w:p>
        </w:tc>
        <w:tc>
          <w:tcPr>
            <w:tcW w:w="1960" w:type="dxa"/>
            <w:vAlign w:val="bottom"/>
            <w:shd w:val="clear" w:color="auto" w:fill="B3B3B3"/>
          </w:tcPr>
          <w:p>
            <w:pPr>
              <w:spacing w:after="0"/>
              <w:rPr>
                <w:sz w:val="19"/>
                <w:szCs w:val="19"/>
                <w:color w:val="auto"/>
              </w:rPr>
            </w:pPr>
          </w:p>
        </w:tc>
        <w:tc>
          <w:tcPr>
            <w:tcW w:w="1060" w:type="dxa"/>
            <w:vAlign w:val="bottom"/>
            <w:shd w:val="clear" w:color="auto" w:fill="B3B3B3"/>
          </w:tcPr>
          <w:p>
            <w:pPr>
              <w:spacing w:after="0"/>
              <w:rPr>
                <w:sz w:val="19"/>
                <w:szCs w:val="19"/>
                <w:color w:val="auto"/>
              </w:rPr>
            </w:pPr>
          </w:p>
        </w:tc>
        <w:tc>
          <w:tcPr>
            <w:tcW w:w="1620" w:type="dxa"/>
            <w:vAlign w:val="bottom"/>
            <w:tcBorders>
              <w:right w:val="single" w:sz="8" w:color="auto"/>
            </w:tcBorders>
            <w:shd w:val="clear" w:color="auto" w:fill="B3B3B3"/>
          </w:tcPr>
          <w:p>
            <w:pPr>
              <w:spacing w:after="0"/>
              <w:rPr>
                <w:sz w:val="19"/>
                <w:szCs w:val="19"/>
                <w:color w:val="auto"/>
              </w:rPr>
            </w:pPr>
          </w:p>
        </w:tc>
      </w:tr>
      <w:tr>
        <w:trPr>
          <w:trHeight w:val="230"/>
        </w:trPr>
        <w:tc>
          <w:tcPr>
            <w:tcW w:w="6440" w:type="dxa"/>
            <w:vAlign w:val="bottom"/>
            <w:tcBorders>
              <w:left w:val="single" w:sz="8" w:color="auto"/>
            </w:tcBorders>
            <w:shd w:val="clear" w:color="auto" w:fill="B3B3B3"/>
          </w:tcPr>
          <w:p>
            <w:pPr>
              <w:ind w:left="240"/>
              <w:spacing w:after="0"/>
              <w:rPr>
                <w:sz w:val="20"/>
                <w:szCs w:val="20"/>
                <w:color w:val="auto"/>
              </w:rPr>
            </w:pPr>
            <w:r>
              <w:rPr>
                <w:rFonts w:ascii="Arial" w:cs="Arial" w:eastAsia="Arial" w:hAnsi="Arial"/>
                <w:sz w:val="18"/>
                <w:szCs w:val="18"/>
                <w:color w:val="auto"/>
              </w:rPr>
              <w:t>55 East 52nd Street, New York, NY 10055</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3,364,435</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(l)</w:t>
            </w:r>
          </w:p>
        </w:tc>
        <w:tc>
          <w:tcPr>
            <w:tcW w:w="162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16.0 %</w:t>
            </w:r>
          </w:p>
        </w:tc>
      </w:tr>
      <w:tr>
        <w:trPr>
          <w:trHeight w:val="224"/>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The Vanguard Group</w:t>
            </w: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27"/>
        </w:trPr>
        <w:tc>
          <w:tcPr>
            <w:tcW w:w="64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100 Vanguard Blvd, Malvern, PA 19355</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1,464,201</w:t>
            </w:r>
          </w:p>
        </w:tc>
        <w:tc>
          <w:tcPr>
            <w:tcW w:w="1060" w:type="dxa"/>
            <w:vAlign w:val="bottom"/>
          </w:tcPr>
          <w:p>
            <w:pPr>
              <w:ind w:left="100"/>
              <w:spacing w:after="0"/>
              <w:rPr>
                <w:sz w:val="20"/>
                <w:szCs w:val="20"/>
                <w:color w:val="auto"/>
              </w:rPr>
            </w:pPr>
            <w:r>
              <w:rPr>
                <w:rFonts w:ascii="Arial" w:cs="Arial" w:eastAsia="Arial" w:hAnsi="Arial"/>
                <w:sz w:val="18"/>
                <w:szCs w:val="18"/>
                <w:color w:val="auto"/>
              </w:rPr>
              <w:t>(m)</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7.0 %</w:t>
            </w:r>
          </w:p>
        </w:tc>
      </w:tr>
      <w:tr>
        <w:trPr>
          <w:trHeight w:val="22"/>
        </w:trPr>
        <w:tc>
          <w:tcPr>
            <w:tcW w:w="6440" w:type="dxa"/>
            <w:vAlign w:val="bottom"/>
            <w:tcBorders>
              <w:left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230"/>
        </w:trPr>
        <w:tc>
          <w:tcPr>
            <w:tcW w:w="64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Hawkins, Inc. Employee Stock Ownership Plan and Trust</w:t>
            </w:r>
          </w:p>
        </w:tc>
        <w:tc>
          <w:tcPr>
            <w:tcW w:w="196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1,077,266</w:t>
            </w:r>
          </w:p>
        </w:tc>
        <w:tc>
          <w:tcPr>
            <w:tcW w:w="1060" w:type="dxa"/>
            <w:vAlign w:val="bottom"/>
            <w:shd w:val="clear" w:color="auto" w:fill="B3B3B3"/>
          </w:tcPr>
          <w:p>
            <w:pPr>
              <w:ind w:left="100"/>
              <w:spacing w:after="0"/>
              <w:rPr>
                <w:sz w:val="20"/>
                <w:szCs w:val="20"/>
                <w:color w:val="auto"/>
              </w:rPr>
            </w:pPr>
            <w:r>
              <w:rPr>
                <w:rFonts w:ascii="Arial" w:cs="Arial" w:eastAsia="Arial" w:hAnsi="Arial"/>
                <w:sz w:val="18"/>
                <w:szCs w:val="18"/>
                <w:color w:val="auto"/>
              </w:rPr>
              <w:t>(n)</w:t>
            </w:r>
          </w:p>
        </w:tc>
        <w:tc>
          <w:tcPr>
            <w:tcW w:w="162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5.1 %</w:t>
            </w:r>
          </w:p>
        </w:tc>
      </w:tr>
      <w:tr>
        <w:trPr>
          <w:trHeight w:val="224"/>
        </w:trPr>
        <w:tc>
          <w:tcPr>
            <w:tcW w:w="6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Dimensional Fund Advisors LP</w:t>
            </w: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27"/>
        </w:trPr>
        <w:tc>
          <w:tcPr>
            <w:tcW w:w="64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6300 Bee Cave Road, Austn, TX 78746</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1,146,643</w:t>
            </w:r>
          </w:p>
        </w:tc>
        <w:tc>
          <w:tcPr>
            <w:tcW w:w="1060" w:type="dxa"/>
            <w:vAlign w:val="bottom"/>
          </w:tcPr>
          <w:p>
            <w:pPr>
              <w:ind w:left="100"/>
              <w:spacing w:after="0"/>
              <w:rPr>
                <w:sz w:val="20"/>
                <w:szCs w:val="20"/>
                <w:color w:val="auto"/>
              </w:rPr>
            </w:pPr>
            <w:r>
              <w:rPr>
                <w:rFonts w:ascii="Arial" w:cs="Arial" w:eastAsia="Arial" w:hAnsi="Arial"/>
                <w:sz w:val="18"/>
                <w:szCs w:val="18"/>
                <w:color w:val="auto"/>
              </w:rPr>
              <w:t>(o)</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2"/>
        </w:trPr>
        <w:tc>
          <w:tcPr>
            <w:tcW w:w="6440" w:type="dxa"/>
            <w:vAlign w:val="bottom"/>
            <w:tcBorders>
              <w:left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rFonts w:ascii="Arial" w:cs="Arial" w:eastAsia="Arial" w:hAnsi="Arial"/>
          <w:sz w:val="18"/>
          <w:szCs w:val="18"/>
          <w:color w:val="auto"/>
        </w:rPr>
      </w:pPr>
    </w:p>
    <w:p>
      <w:pPr>
        <w:ind w:left="280" w:hanging="232"/>
        <w:spacing w:after="0"/>
        <w:tabs>
          <w:tab w:leader="none" w:pos="2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votng and investment power with respect to such shares.</w:t>
      </w:r>
    </w:p>
    <w:p>
      <w:pPr>
        <w:spacing w:after="0" w:line="115" w:lineRule="exact"/>
        <w:rPr>
          <w:rFonts w:ascii="Arial" w:cs="Arial" w:eastAsia="Arial" w:hAnsi="Arial"/>
          <w:sz w:val="17"/>
          <w:szCs w:val="17"/>
          <w:color w:val="auto"/>
        </w:rPr>
      </w:pPr>
    </w:p>
    <w:p>
      <w:pPr>
        <w:ind w:left="420" w:right="340" w:hanging="372"/>
        <w:spacing w:after="0" w:line="273" w:lineRule="auto"/>
        <w:tabs>
          <w:tab w:leader="none" w:pos="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Includes 31,954 shares that Mr. Faulconbridge holds jointly with his wife as to which he shares votng and investment power and 1,795 shares of restricted stock, which shares vest and the related restrictons expire on August 4, 2023.</w:t>
      </w:r>
    </w:p>
    <w:p>
      <w:pPr>
        <w:spacing w:after="0" w:line="55" w:lineRule="exact"/>
        <w:rPr>
          <w:rFonts w:ascii="Arial" w:cs="Arial" w:eastAsia="Arial" w:hAnsi="Arial"/>
          <w:sz w:val="18"/>
          <w:szCs w:val="18"/>
          <w:color w:val="auto"/>
        </w:rPr>
      </w:pPr>
    </w:p>
    <w:p>
      <w:pPr>
        <w:ind w:left="420" w:hanging="372"/>
        <w:spacing w:after="0" w:line="262" w:lineRule="auto"/>
        <w:tabs>
          <w:tab w:leader="none" w:pos="2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Includes 26,073 shares representng the benefcial interest of Mr. Hawkins in the ESOP, 24,336 shares of restricted stock, which shares vest and the related restrictons expire on April 1, 2024, and 19,365 shares of restricted stock, which shares vest and the related restrictons expire on March 31, 2025.</w:t>
      </w:r>
    </w:p>
    <w:p>
      <w:pPr>
        <w:spacing w:after="0" w:line="51" w:lineRule="exact"/>
        <w:rPr>
          <w:rFonts w:ascii="Arial" w:cs="Arial" w:eastAsia="Arial" w:hAnsi="Arial"/>
          <w:sz w:val="18"/>
          <w:szCs w:val="18"/>
          <w:color w:val="auto"/>
        </w:rPr>
      </w:pPr>
    </w:p>
    <w:p>
      <w:pPr>
        <w:ind w:left="300" w:hanging="252"/>
        <w:spacing w:after="0"/>
        <w:tabs>
          <w:tab w:leader="none" w:pos="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103" w:lineRule="exact"/>
        <w:rPr>
          <w:rFonts w:ascii="Arial" w:cs="Arial" w:eastAsia="Arial" w:hAnsi="Arial"/>
          <w:sz w:val="18"/>
          <w:szCs w:val="18"/>
          <w:color w:val="auto"/>
        </w:rPr>
      </w:pPr>
    </w:p>
    <w:p>
      <w:pPr>
        <w:ind w:left="280" w:hanging="232"/>
        <w:spacing w:after="0"/>
        <w:tabs>
          <w:tab w:leader="none" w:pos="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Includes 1,795 shares of restricted stock, which shares vest and the related restrictons expire on August 4, 2023.</w:t>
      </w:r>
    </w:p>
    <w:p>
      <w:pPr>
        <w:spacing w:after="0" w:line="103" w:lineRule="exact"/>
        <w:rPr>
          <w:rFonts w:ascii="Arial" w:cs="Arial" w:eastAsia="Arial" w:hAnsi="Arial"/>
          <w:sz w:val="18"/>
          <w:szCs w:val="18"/>
          <w:color w:val="auto"/>
        </w:rPr>
      </w:pPr>
    </w:p>
    <w:p>
      <w:pPr>
        <w:ind w:left="420" w:hanging="372"/>
        <w:spacing w:after="0" w:line="334" w:lineRule="auto"/>
        <w:tabs>
          <w:tab w:leader="none" w:pos="2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Includes 2,448 shares representng the benefcial interest of Mr. Erstad in the ESOP, 9,160 shares of restricted stock, which shares vest and the related restrictons expire on April 1, 2024, and 6,652 shares of restricted stock, which shares vest and the related restrictons expire on March 31, 2025.</w:t>
      </w:r>
    </w:p>
    <w:p>
      <w:pPr>
        <w:ind w:left="420" w:right="40" w:hanging="372"/>
        <w:spacing w:after="0" w:line="337" w:lineRule="auto"/>
        <w:tabs>
          <w:tab w:leader="none" w:pos="2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Includes 568 shares representng the benefcial interest of Mr. Grahek in the ESOP, 9,214 shares of restricted stock, which shares vest and the related restrictons expire on April 1, 2024, and 6,705 shares of restricted stock, which shares vest and the related restrictons expire on March 31, 2025.</w:t>
      </w:r>
    </w:p>
    <w:p>
      <w:pPr>
        <w:spacing w:after="0" w:line="9" w:lineRule="exact"/>
        <w:rPr>
          <w:rFonts w:ascii="Arial" w:cs="Arial" w:eastAsia="Arial" w:hAnsi="Arial"/>
          <w:sz w:val="16"/>
          <w:szCs w:val="16"/>
          <w:color w:val="auto"/>
        </w:rPr>
      </w:pPr>
    </w:p>
    <w:p>
      <w:pPr>
        <w:ind w:left="420" w:right="100" w:hanging="372"/>
        <w:spacing w:after="0" w:line="262" w:lineRule="auto"/>
        <w:tabs>
          <w:tab w:leader="none" w:pos="463"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Includes 9,778 shares representng the benefcial interest of Mr. Mangine in the ESOP, 7,301 shares of restricted stock, which shares vest and the related restrictons expire on April 1, 2024, and 6,141 shares of restricted stock, which shares vest and the related restrictons expire on March 31, 2025.</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55" w:right="439" w:bottom="1440" w:gutter="0" w:footer="0" w:header="0"/>
        </w:sectPr>
      </w:pPr>
    </w:p>
    <w:bookmarkStart w:id="36" w:name="page37"/>
    <w:bookmarkEnd w:id="36"/>
    <w:p>
      <w:pPr>
        <w:ind w:left="420" w:right="80" w:hanging="372"/>
        <w:spacing w:after="0" w:line="262" w:lineRule="auto"/>
        <w:tabs>
          <w:tab w:leader="none" w:pos="2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1,158 shares representng the benefcial interest of Mr. Oldenkamp in the ESOP, 14,603 shares of restricted stock, which shares vest and the related restrictons expire on April 1, 2024, and 10,674 shares of restricted stock, which shares vest and the related restrictons expire on March 31, 2025.</w:t>
      </w:r>
    </w:p>
    <w:p>
      <w:pPr>
        <w:spacing w:after="0" w:line="51" w:lineRule="exact"/>
        <w:rPr>
          <w:rFonts w:ascii="Arial" w:cs="Arial" w:eastAsia="Arial" w:hAnsi="Arial"/>
          <w:sz w:val="18"/>
          <w:szCs w:val="18"/>
          <w:color w:val="auto"/>
        </w:rPr>
      </w:pPr>
    </w:p>
    <w:p>
      <w:pPr>
        <w:ind w:left="420" w:right="260" w:hanging="372"/>
        <w:spacing w:after="0" w:line="273" w:lineRule="auto"/>
        <w:tabs>
          <w:tab w:leader="none" w:pos="2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8,048 shares of restricted stock, which shares vest and the related restrictons expire on April 1, 2024, and 6,141 shares of restricted stock, which shares vest and the related restrictons expire on March 31, 2025.</w:t>
      </w:r>
    </w:p>
    <w:p>
      <w:pPr>
        <w:spacing w:after="0" w:line="55" w:lineRule="exact"/>
        <w:rPr>
          <w:rFonts w:ascii="Arial" w:cs="Arial" w:eastAsia="Arial" w:hAnsi="Arial"/>
          <w:sz w:val="18"/>
          <w:szCs w:val="18"/>
          <w:color w:val="auto"/>
        </w:rPr>
      </w:pPr>
    </w:p>
    <w:p>
      <w:pPr>
        <w:ind w:left="280" w:hanging="23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40,446 shares representng the benefcial interest of the ofcers as of June 7, 2023 in the ESOP.</w:t>
      </w:r>
    </w:p>
    <w:p>
      <w:pPr>
        <w:spacing w:after="0" w:line="103" w:lineRule="exact"/>
        <w:rPr>
          <w:rFonts w:ascii="Arial" w:cs="Arial" w:eastAsia="Arial" w:hAnsi="Arial"/>
          <w:sz w:val="18"/>
          <w:szCs w:val="18"/>
          <w:color w:val="auto"/>
        </w:rPr>
      </w:pPr>
    </w:p>
    <w:p>
      <w:pPr>
        <w:ind w:left="420" w:right="120" w:hanging="372"/>
        <w:spacing w:after="0" w:line="284" w:lineRule="auto"/>
        <w:tabs>
          <w:tab w:leader="none" w:pos="2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Schedule 13G/A fled with the SEC by BlackRock, Inc. on January 26, 2023, refectng securites benefcially owned as of December 31, 2022. BlackRock, Inc. reported sole votng power with respect to 3,318,942 shares, sole dispositve power with respect to all of the shares, shared votng power with respect to none of the shares and shared dispositve power with respect to none of the shares..</w:t>
      </w:r>
    </w:p>
    <w:p>
      <w:pPr>
        <w:spacing w:after="0" w:line="35" w:lineRule="exact"/>
        <w:rPr>
          <w:rFonts w:ascii="Arial" w:cs="Arial" w:eastAsia="Arial" w:hAnsi="Arial"/>
          <w:sz w:val="17"/>
          <w:szCs w:val="17"/>
          <w:color w:val="auto"/>
        </w:rPr>
      </w:pPr>
    </w:p>
    <w:p>
      <w:pPr>
        <w:ind w:left="420" w:right="40" w:hanging="372"/>
        <w:spacing w:after="0" w:line="309" w:lineRule="auto"/>
        <w:tabs>
          <w:tab w:leader="none" w:pos="3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Schedule 13G/A fled with the SEC by The Vanguard Group on February 9, 2023, refectng securites benefcially owned as of December 31, 2022. The Vanguard Group reported sole votng power with respect to none of the shares, sole dispositve power with respect to 1,423,596 of the shares, shared votng power with respect to 24,889 of the shares and shared dispositve power with respect to 40,605 of the shares.</w:t>
      </w:r>
    </w:p>
    <w:p>
      <w:pPr>
        <w:spacing w:after="0" w:line="31" w:lineRule="exact"/>
        <w:rPr>
          <w:rFonts w:ascii="Arial" w:cs="Arial" w:eastAsia="Arial" w:hAnsi="Arial"/>
          <w:sz w:val="16"/>
          <w:szCs w:val="16"/>
          <w:color w:val="auto"/>
        </w:rPr>
      </w:pPr>
    </w:p>
    <w:p>
      <w:pPr>
        <w:ind w:left="420" w:right="60" w:hanging="372"/>
        <w:spacing w:after="0" w:line="25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shares held in the ESOP. Matrix Trust Company is the trustee for the ESOP. The ESOP allows plan partcipants to direct votng of shares allocated to their plan accounts and all shares held by the ESOP are allocated to plan partcipant accounts. Under the applicable trust agreement, the trustee is to vote shares with respect to which no votng instructons are received from plan partcipants in proporton to the shares voted by plan partcipants who do submit votng instructons. As a result, the Trustee may theoretcally be deemed to share, at least temporarily, votng power for shares reported. The Trustee also has limited dispositve power with respect to all such shares, refectng a requirement that the assets of the ESOP must primarily consist of shares of our common stock. The trustee disclaims benefcial ownership of the shares atributed to it in its capacity as trustee of the ESOP.</w:t>
      </w:r>
    </w:p>
    <w:p>
      <w:pPr>
        <w:spacing w:after="0" w:line="73" w:lineRule="exact"/>
        <w:rPr>
          <w:rFonts w:ascii="Arial" w:cs="Arial" w:eastAsia="Arial" w:hAnsi="Arial"/>
          <w:sz w:val="18"/>
          <w:szCs w:val="18"/>
          <w:color w:val="auto"/>
        </w:rPr>
      </w:pPr>
    </w:p>
    <w:p>
      <w:pPr>
        <w:ind w:left="420" w:hanging="372"/>
        <w:spacing w:after="0" w:line="309" w:lineRule="auto"/>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Schedule 13G/A fled with the SEC by Dimensional Fund Advisors LP on February 10, 2023, refectng securites benefcially owned as of December 31, 2022. Dimensional Fund Advisors LP reported sole votng power with respect to 1,120,422 shares, sole dispositve power with respect to all of the shares, shared votng power with respect to none of the shares and shared dispositve power with respect to none of the shares..</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5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Secton 16(a) of the Exchange Act requires our executve ofcers, directors and persons who benefcially own more than ten percent of our common stock to fle inital reports of ownership and reports of changes in ownership of our common stock with the SEC. Executve ofcers, directors and persons who benefcially own more than ten percent of our common stock are required by SEC regulatons to furnish us with copies of all Secton 16(a) forms they fle. To our knowledge, based solely on a review of the copies of such reports fled electronically with the SEC and/or writen representatons from our executve ofcers and directors, all Secton 16(a) fling requirements applicable to our executve ofcers and directors have been satsfed.</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PARTY TRANSACTIONS</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employ the following relatves of Patrick H. Hawkins, our Chief Executve Ofcer: Angela Wagamon (sister) and Katherine Hawkins (daughter); and the following relatves of Shirley A. Rozeboom, our Vice President - Health and Nutriton: Macy Pollgreen and Riley Segura (daughters). Including retrement plan contributons and bonuses, each such employee earned in excess of $120,000 in fscal 2023.</w:t>
      </w:r>
    </w:p>
    <w:p>
      <w:pPr>
        <w:spacing w:after="0" w:line="78" w:lineRule="exact"/>
        <w:rPr>
          <w:sz w:val="20"/>
          <w:szCs w:val="20"/>
          <w:color w:val="auto"/>
        </w:rPr>
      </w:pPr>
    </w:p>
    <w:p>
      <w:pPr>
        <w:jc w:val="both"/>
        <w:ind w:right="180"/>
        <w:spacing w:after="0" w:line="284" w:lineRule="auto"/>
        <w:rPr>
          <w:sz w:val="20"/>
          <w:szCs w:val="20"/>
          <w:color w:val="auto"/>
        </w:rPr>
      </w:pPr>
      <w:r>
        <w:rPr>
          <w:rFonts w:ascii="Arial" w:cs="Arial" w:eastAsia="Arial" w:hAnsi="Arial"/>
          <w:sz w:val="17"/>
          <w:szCs w:val="17"/>
          <w:color w:val="auto"/>
        </w:rPr>
        <w:t>Stauber Performance Ingredients, Inc., our wholly-owned subsidiary, leases its corporate ofce building and warehouse in Fullerton, California from an entty that is partally owned by Daniel J. Stauber, Chief Brand Ofcer of our Health and Nutriton Group and one of our Board members. The amount of rent expense paid in fscal 2023 totaled $0.6 million, of which approximately $80,000 was atributable to Mr. Stauber.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transactons were reviewed and ratfed in advance by the Audit Commitee.</w:t>
      </w:r>
    </w:p>
    <w:p>
      <w:pPr>
        <w:spacing w:after="0" w:line="117" w:lineRule="exact"/>
        <w:rPr>
          <w:sz w:val="20"/>
          <w:szCs w:val="20"/>
          <w:color w:val="auto"/>
        </w:rPr>
      </w:pPr>
    </w:p>
    <w:p>
      <w:pPr>
        <w:jc w:val="both"/>
        <w:ind w:right="60"/>
        <w:spacing w:after="0" w:line="309" w:lineRule="auto"/>
        <w:rPr>
          <w:sz w:val="20"/>
          <w:szCs w:val="20"/>
          <w:color w:val="auto"/>
        </w:rPr>
      </w:pPr>
      <w:r>
        <w:rPr>
          <w:rFonts w:ascii="Arial" w:cs="Arial" w:eastAsia="Arial" w:hAnsi="Arial"/>
          <w:sz w:val="16"/>
          <w:szCs w:val="16"/>
          <w:color w:val="auto"/>
        </w:rPr>
        <w:t>The Audit Commitee Charter provides that the Audit Commitee is responsible for approving all related party transactons. The Audit Commitee reviews and ratfes all transactons involving our company and any director, nominee for director, executve ofcer, other employee or family member thereof on a quarterly basis. It is our intenton that these transactons will be on terms no less favorable to us than we could obtain from unafliated third partes.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37" w:name="page38"/>
    <w:bookmarkEnd w:id="37"/>
    <w:p>
      <w:pPr>
        <w:spacing w:after="0"/>
        <w:rPr>
          <w:sz w:val="20"/>
          <w:szCs w:val="20"/>
          <w:color w:val="auto"/>
        </w:rPr>
      </w:pPr>
      <w:r>
        <w:rPr>
          <w:rFonts w:ascii="Arial" w:cs="Arial" w:eastAsia="Arial" w:hAnsi="Arial"/>
          <w:sz w:val="25"/>
          <w:szCs w:val="25"/>
          <w:b w:val="1"/>
          <w:bCs w:val="1"/>
          <w:color w:val="auto"/>
        </w:rPr>
        <w:t xml:space="preserve">PROPOSAL THREE </w:t>
      </w:r>
      <w:r>
        <w:rPr>
          <w:rFonts w:ascii="Arial" w:cs="Arial" w:eastAsia="Arial" w:hAnsi="Arial"/>
          <w:sz w:val="25"/>
          <w:szCs w:val="25"/>
          <w:color w:val="auto"/>
        </w:rPr>
        <w:t>—</w:t>
      </w:r>
      <w:r>
        <w:rPr>
          <w:rFonts w:ascii="Arial" w:cs="Arial" w:eastAsia="Arial" w:hAnsi="Arial"/>
          <w:sz w:val="25"/>
          <w:szCs w:val="25"/>
          <w:b w:val="1"/>
          <w:bCs w:val="1"/>
          <w:color w:val="auto"/>
        </w:rPr>
        <w:t xml:space="preserve"> ADVISORY VOTE TO APPROVE EXECUTIVE COMPENSATION</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accordance with Secton 14A of the Exchange Act, and Secton 951 of the Dodd-Frank Wall Street Reform and Consumer Protecton Act, the company is seeking a non-binding advisory vote from its shareholders to approve the compensaton of our named executve ofcers as described in this proxy statement under “Executve Compensaton” and “Compensaton Discussion and Analysis.”</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proposal gives our shareholders the opportunity to express their views on the compensaton provided to our named executve ofcers. Because your vote is advisory, it will not be binding upon the Company. However, the Compensaton Commitee will take into account the outcome of the vote when making future named executve ofcer compensaton decisions.</w:t>
      </w: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executve compensaton program for our named executve ofcers has been designed to atract and retain executves who will lead our company to achieve long-term success and growth in shareholder value. Consistent with that goal, our named executve ofcer compensaton is based on company, business unit and individual performance and the alignment of the interests of our named executve ofcers with those of our shareholders and is used to encourage our named executve ofcers to stay with the company. Our program currently includes a mix of compensaton elements that rewards current results as well as motvates long-term performance through an appropriate balance of base pay and performance-based variable compensaton. To incent appropriate performance, our performance-based variable compensaton consists of a short-term variable pay component that rewards executves for both current business results as well as personal performance, and a long-term incentve plan that motvates long-term performance and aligns business results with the interests of our shareholders.</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At our August 2022 annual meetng of shareholders, approximately 97% of the advisory votes cast “for” or “against” the corresponding proposal were cast in support of the compensaton of our named executve ofcers. The Compensaton Commitee and the other members of our Board believe that this vote refected our shareholders’ strong support of the compensaton decisions made by the Commitee for our named executve ofcers for fscal 2022. Based on these results, the Commitee concluded that our named executve ofcer compensaton program achieved the goals of our compensaton philosophy and, therefore, reafrmed the elements of our named executve ofcer compensaton program for fscal 2023.</w:t>
      </w:r>
    </w:p>
    <w:p>
      <w:pPr>
        <w:spacing w:after="0" w:line="20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We are presentng this proposal, which gives you as a shareholder the opportunity to approve our named executve ofcer compensaton as disclosed in this proxy statement by votng for or against the following resoluton:</w:t>
      </w:r>
    </w:p>
    <w:p>
      <w:pPr>
        <w:spacing w:after="0" w:line="204" w:lineRule="exact"/>
        <w:rPr>
          <w:sz w:val="20"/>
          <w:szCs w:val="20"/>
          <w:color w:val="auto"/>
        </w:rPr>
      </w:pPr>
    </w:p>
    <w:p>
      <w:pPr>
        <w:ind w:left="660" w:right="520"/>
        <w:spacing w:after="0" w:line="273" w:lineRule="auto"/>
        <w:rPr>
          <w:sz w:val="20"/>
          <w:szCs w:val="20"/>
          <w:color w:val="auto"/>
        </w:rPr>
      </w:pPr>
      <w:r>
        <w:rPr>
          <w:rFonts w:ascii="Arial" w:cs="Arial" w:eastAsia="Arial" w:hAnsi="Arial"/>
          <w:sz w:val="18"/>
          <w:szCs w:val="18"/>
          <w:color w:val="auto"/>
        </w:rPr>
        <w:t>RESOLVED, that the shareholders approve the compensaton of the company’s named executve ofcers, as disclosed in the Compensaton Discussion and Analysis, the compensaton tables, and the related disclosure contained in this proxy statement.</w:t>
      </w:r>
    </w:p>
    <w:p>
      <w:pPr>
        <w:spacing w:after="0" w:line="121" w:lineRule="exact"/>
        <w:rPr>
          <w:sz w:val="20"/>
          <w:szCs w:val="20"/>
          <w:color w:val="auto"/>
        </w:rPr>
      </w:pPr>
    </w:p>
    <w:p>
      <w:pPr>
        <w:jc w:val="center"/>
        <w:spacing w:after="0" w:line="246" w:lineRule="auto"/>
        <w:rPr>
          <w:sz w:val="20"/>
          <w:szCs w:val="20"/>
          <w:color w:val="auto"/>
        </w:rPr>
      </w:pPr>
      <w:r>
        <w:rPr>
          <w:rFonts w:ascii="Arial" w:cs="Arial" w:eastAsia="Arial" w:hAnsi="Arial"/>
          <w:sz w:val="18"/>
          <w:szCs w:val="18"/>
          <w:b w:val="1"/>
          <w:bCs w:val="1"/>
          <w:i w:val="1"/>
          <w:iCs w:val="1"/>
          <w:color w:val="auto"/>
        </w:rPr>
        <w:t>OUR BOARD BELIEVES THAT THE COMPENSATION OF OUR NAMED EXECUTIVE OFFICERS IS APPROPRIATE AND RECOMMENDS A VOTE “FOR” THIS 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ind w:right="320"/>
        <w:spacing w:after="0" w:line="279" w:lineRule="auto"/>
        <w:rPr>
          <w:sz w:val="20"/>
          <w:szCs w:val="20"/>
          <w:color w:val="auto"/>
        </w:rPr>
      </w:pPr>
      <w:r>
        <w:rPr>
          <w:rFonts w:ascii="Arial" w:cs="Arial" w:eastAsia="Arial" w:hAnsi="Arial"/>
          <w:sz w:val="25"/>
          <w:szCs w:val="25"/>
          <w:b w:val="1"/>
          <w:bCs w:val="1"/>
          <w:color w:val="auto"/>
        </w:rPr>
        <w:t>PROPOSAL FOUR - ADVISORY VOTE TO RECOMMEND THE FREQUENCY OF ADVISORY VOTES TO APPROVE OUR EXECUTIVE OFFICER COMPENSATION PRACTICES</w:t>
      </w:r>
    </w:p>
    <w:p>
      <w:pPr>
        <w:spacing w:after="0" w:line="204"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Company seeks a non-binding advisory vote from its shareholders to recommend the frequency of the non-binding advisory vote to approve the compensaton of our named executve ofcers as described in the Compensaton Discussion and Analysis secton and the tabular disclosure regarding named executve ofcer compensaton (together with the accompanying narratve disclosure) in our proxy statements for annual meetngs of shareholders.</w:t>
      </w:r>
    </w:p>
    <w:p>
      <w:pPr>
        <w:spacing w:after="0" w:line="21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This proposal gives our shareholders the opportunity to express their views as to whether the non-binding advisory vote on our executve ofcer compensaton practces should occur every one, two, or three years. Because your vote is advisory, it will not be binding upon the Board of Directors. However, the Board will take into account the outcome of the vote when deciding the frequency of the non-binding advisory approval of our future executve ofcer compensaton decisions.</w:t>
      </w:r>
    </w:p>
    <w:p>
      <w:pPr>
        <w:spacing w:after="0" w:line="21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At our annual meetng of shareholders held in 2017, our shareholders expressed a preference for holding a nonbinding advisory vote to approve our executve compensaton annually. In light of that preference, our Board of Directors determined that it would include a nonbinding advisory vote to approve our executve compensaton in our company’s proxy materials every year untl the next required advisory vote on the frequency of shareholder votes to approve named executve ofcer compensaton.</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of Directors recommends that shareholders vote “1 YEAR” on this proposal, which will support contnuing our company’s existng practce of holding a nonbinding advisory vote to approve executve compensaton annually. Our Board reviewed the alternatves to determine the approach that will best serve our Company and our shareholders. Our Board has determined that an advisory vote on executve compensaton held annually would be the best approach for Hawkins because it encourages ongoing engagement with shareholders on all maters that are important to them, including any shareholder concerns about executve compensaton for a partcular fscal year.</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future our Board of Directors may determine that a more or less frequent advisory vote is appropriate, either in response to the vote of our shareholders on this proposal or for other reasons. While the Board believes its recommendaton is appropriate at this tme, the shareholders are not votng to approve or disapprove its recommendaton, but are instead asked to provide an advisory vote on whether the non-binding advisory vote on the approval of our executve ofcer compensaton practces should be held every one, two or three years. The opton among those choices that obtains a plurality of votes cast by the shares present or represented by proxy and enttled to vote at the Annual Meetng will represent the preference of our shareholders.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OF DIRECTORS RECOMMENDS A VOTE FOR “1 YEAR” FOR THIS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-126365</wp:posOffset>
            </wp:positionV>
            <wp:extent cx="677227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auto"/>
        </w:rPr>
        <w:t>OTHER MATTERS</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management does not know of any other business that will be presented for consideraton at the Annual Meetng. If, however, any other business does properly come before the Annual Meetng, proxies will be voted in accordance with the judgment of the person or persons actng under them as to what is in the best interests of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PROPOSALS BY SHAREHOLDERS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for a shareholder proposal (other than director nominatons) to be considered for inclusion in our proxy statement for next year’s annual meetng of shareholders, the writen proposal must be received by us at our principal executve ofces no later than February 21, 2024. Any such proposals also must comply with all applicable requirements of Minnesota law and the rules and regulatons of the SEC regarding shareholder proposals. In order for any other shareholder proposal (including a director nominaton) to be properly brought before next year’s annual meetng of shareholders, we must receive a writen notce at our principal executve ofces no later than May 4, 2024, in conformance with our By-Laws. The persons named as proxies by us for that meetng will have discretonary authority to vote on any shareholder proposal for which such notce is not properly received by us and as otherwise permited pursuant to the SEC’s rules and regulatons regarding the votng of proxies. Any director nominatons made by shareholders also must comply with the relevant provisions set forth in Artcle II of our By-Laws, as described under the Nominatng Process secton above. A copy of our By-Laws has been fled with the SEC and is available on the SEC’s website (www.sec.gov) or may be obtained by sending a writen request to our Secretary at our principal executve ofces.</w:t>
      </w:r>
    </w:p>
    <w:p>
      <w:pPr>
        <w:spacing w:after="0" w:line="22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In order for shareholders to give tmely notce of nominatons for directors for inclusion on a universal proxy card in connecton with the annual meetng to be held in 2024, notce must be submited by the same deadline as disclosed above under the advance notce provisions of our By-laws and must include the informaton in the notce required by our By-laws and by Rules 14a-19(b)(2) and 14a-19(b)(3) under the Exchange Act.</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 10-K</w:t>
      </w:r>
    </w:p>
    <w:p>
      <w:pPr>
        <w:spacing w:after="0" w:line="139"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Our Annual Report on Form 10-K for fscal 2023, including fnancial statements, is being furnished with this proxy statement. Shareholders who wish to obtain an additonal copy of our Annual Report on Form 10-K for fscal 2023 may do so without charge by writng to: Hawkins, Inc., 2381 Rosegate, Roseville, Minnesota 55113, Atenton: Secretary. Our Annual Report on Form 10-K, as well as other company reports, are also available on the SEC’s website (www.sec.gov).</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HOUSEHOLDING</w:t>
      </w:r>
    </w:p>
    <w:p>
      <w:pPr>
        <w:spacing w:after="0" w:line="153" w:lineRule="exact"/>
        <w:rPr>
          <w:sz w:val="20"/>
          <w:szCs w:val="20"/>
          <w:color w:val="auto"/>
        </w:rPr>
      </w:pPr>
    </w:p>
    <w:p>
      <w:pPr>
        <w:jc w:val="both"/>
        <w:ind w:right="160"/>
        <w:spacing w:after="0" w:line="309" w:lineRule="auto"/>
        <w:rPr>
          <w:sz w:val="20"/>
          <w:szCs w:val="20"/>
          <w:color w:val="auto"/>
        </w:rPr>
      </w:pPr>
      <w:r>
        <w:rPr>
          <w:rFonts w:ascii="Arial" w:cs="Arial" w:eastAsia="Arial" w:hAnsi="Arial"/>
          <w:sz w:val="16"/>
          <w:szCs w:val="16"/>
          <w:color w:val="auto"/>
        </w:rPr>
        <w:t>We have adopted a procedure approved by the SEC called “householding,” by which certain shareholders who have the same address and appear to be members of the same family receive only one copy of our annual report and proxy statement. Each shareholder partcipatng in householding contnues to receive a separate proxy card. Householding reduces both the environmental impact of our annual meetngs and our mailing and printng expenses.</w:t>
      </w:r>
    </w:p>
    <w:p>
      <w:pPr>
        <w:spacing w:after="0" w:line="18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If you would like to change your householding electon, request that a single copy of the proxy materials be sent to your address, or request a separate copy of the proxy materials, please contact Broadridge Financial Solutons, Inc., by calling (866) 540-7095 or by writng to Broadridge Householding Department, 51 Mercedes Way, Edgewood, New York 11717. We will promptly deliver the notce of internet availability or proxy materials to you upon receipt of your request. If you hold your shares in street name, please contact your bank, broker, or other record holder to request informaton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9103360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5966460" cy="7774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7774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966460" cy="7818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7818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lvl w:ilvl="1">
      <w:lvlJc w:val="left"/>
      <w:lvlText w:val="(%2)"/>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1)"/>
      <w:numFmt w:val="lowerLetter"/>
      <w:start w:val="4"/>
    </w:lvl>
    <w:lvl w:ilvl="1">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3"/>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2"/>
    </w:lvl>
  </w:abstractNum>
  <w:abstractNum w:abstractNumId="35">
    <w:nsid w:val="5C482A97"/>
    <w:multiLevelType w:val="hybridMultilevel"/>
    <w:lvl w:ilvl="0">
      <w:lvlJc w:val="left"/>
      <w:lvlText w:val="(%1)"/>
      <w:numFmt w:val="decimal"/>
      <w:start w:val="3"/>
    </w:lvl>
  </w:abstractNum>
  <w:abstractNum w:abstractNumId="36">
    <w:nsid w:val="2463B9EA"/>
    <w:multiLevelType w:val="hybridMultilevel"/>
    <w:lvl w:ilvl="0">
      <w:lvlJc w:val="left"/>
      <w:lvlText w:val="(%1)"/>
      <w:numFmt w:val="decimal"/>
      <w:start w:val="4"/>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
      <w:numFmt w:val="bullet"/>
      <w:start w:val="1"/>
    </w:lvl>
    <w:lvl w:ilvl="1">
      <w:lvlJc w:val="left"/>
      <w:lvlText w:val="(%2)"/>
      <w:numFmt w:val="lowerLetter"/>
      <w:start w:val="1"/>
    </w:lvl>
  </w:abstractNum>
  <w:abstractNum w:abstractNumId="39">
    <w:nsid w:val="2D517796"/>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2023-06-20T15:15:34Z</dcterms:created>
  <dcterms:modified xsi:type="dcterms:W3CDTF">2023-06-20T15:15:34Z</dcterms:modified>
</cp:coreProperties>
</file>