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04052023_090438.xml.htm"/>
      <w:bookmarkStart w:id="1" w:name="ksform404052023_0904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Grahek Drew M.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ROSEVILLE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HWKN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VICE PRESIDENT OF OPERATIONS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04/03/2023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9"/>
        <w:gridCol w:w="902"/>
        <w:gridCol w:w="772"/>
        <w:gridCol w:w="599"/>
        <w:gridCol w:w="344"/>
        <w:gridCol w:w="831"/>
        <w:gridCol w:w="443"/>
        <w:gridCol w:w="748"/>
        <w:gridCol w:w="1396"/>
        <w:gridCol w:w="983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3,413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44.13</w:t>
            </w:r>
            <w:r>
              <w:rPr/>
              <w:t xml:space="preserve"> </w:t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24,724.628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568.2232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ESOP Trustee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27.401 shares acquired June 2022-March 2023 pursuant to the Issuer's dividend reinvestment plan and 637 shares acquired June-December 2022 pursuant to the Issuer's employee stock purchase plan.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Joshua L. Colburn,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04/05/2023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53076" TargetMode="External"/><Relationship Id="rId4" Type="http://schemas.openxmlformats.org/officeDocument/2006/relationships/hyperlink" Target="http://www.sec.gov/cgi-bin/browse-edgar?action=getcompany&amp;CIK=000004625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553</Words>
  <CharactersWithSpaces>3526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