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WASHINGTON, D.C. 20549</w:t>
      </w:r>
    </w:p>
    <w:p>
      <w:pPr>
        <w:spacing w:after="0" w:line="179"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10-Q</w:t>
      </w:r>
    </w:p>
    <w:p>
      <w:pPr>
        <w:spacing w:after="0" w:line="354"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179" w:lineRule="exact"/>
        <w:rPr>
          <w:sz w:val="24"/>
          <w:szCs w:val="24"/>
          <w:color w:val="auto"/>
        </w:rPr>
      </w:pPr>
    </w:p>
    <w:p>
      <w:pPr>
        <w:ind w:left="367" w:right="2979" w:hanging="367"/>
        <w:spacing w:after="0" w:line="247"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For the quarterly period ended DECEMBER 31, 1999</w:t>
      </w:r>
    </w:p>
    <w:p>
      <w:pPr>
        <w:spacing w:after="0" w:line="179"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79" w:lineRule="exact"/>
        <w:rPr>
          <w:sz w:val="24"/>
          <w:szCs w:val="24"/>
          <w:color w:val="auto"/>
        </w:rPr>
      </w:pPr>
    </w:p>
    <w:p>
      <w:pPr>
        <w:ind w:left="367" w:right="2879" w:hanging="367"/>
        <w:spacing w:after="0" w:line="247"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4"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For the transition period from ______________________to ______________________</w:t>
      </w:r>
    </w:p>
    <w:p>
      <w:pPr>
        <w:spacing w:after="0" w:line="179"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Commission file number 0-7647</w:t>
      </w:r>
    </w:p>
    <w:p>
      <w:pPr>
        <w:spacing w:after="0" w:line="179"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46"/>
          </w:cols>
          <w:pgMar w:left="313" w:top="584" w:right="1440" w:bottom="1440" w:gutter="0" w:footer="0" w:header="0"/>
        </w:sectPr>
      </w:pPr>
    </w:p>
    <w:p>
      <w:pPr>
        <w:spacing w:after="0" w:line="179"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MINNESOTA</w:t>
      </w:r>
    </w:p>
    <w:p>
      <w:pPr>
        <w:spacing w:after="0" w:line="5"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incorporation of organization)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41-0771293</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53" w:lineRule="exact"/>
        <w:rPr>
          <w:sz w:val="24"/>
          <w:szCs w:val="24"/>
          <w:color w:val="auto"/>
        </w:rPr>
      </w:pPr>
    </w:p>
    <w:p>
      <w:pPr>
        <w:sectPr>
          <w:pgSz w:w="11900" w:h="16838" w:orient="portrait"/>
          <w:cols w:equalWidth="0" w:num="2">
            <w:col w:w="3287" w:space="720"/>
            <w:col w:w="6139"/>
          </w:cols>
          <w:pgMar w:left="313" w:top="584" w:right="1440" w:bottom="1440" w:gutter="0" w:footer="0" w:header="0"/>
          <w:type w:val="continuous"/>
        </w:sectPr>
      </w:pPr>
    </w:p>
    <w:p>
      <w:pPr>
        <w:ind w:left="1187"/>
        <w:spacing w:after="0"/>
        <w:rPr>
          <w:sz w:val="20"/>
          <w:szCs w:val="20"/>
          <w:color w:val="auto"/>
        </w:rPr>
      </w:pPr>
      <w:r>
        <w:rPr>
          <w:rFonts w:ascii="Courier New" w:cs="Courier New" w:eastAsia="Courier New" w:hAnsi="Courier New"/>
          <w:sz w:val="15"/>
          <w:szCs w:val="15"/>
          <w:color w:val="auto"/>
        </w:rPr>
        <w:t>3100 EAST HENNEPIN AVENUE, MINNEAPOLIS, MINNESOTA 55413</w:t>
      </w:r>
    </w:p>
    <w:p>
      <w:pPr>
        <w:spacing w:after="0" w:line="5"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354"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(612) 331-6910</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367"/>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54" w:lineRule="exact"/>
        <w:rPr>
          <w:sz w:val="24"/>
          <w:szCs w:val="24"/>
          <w:color w:val="auto"/>
        </w:rPr>
      </w:pPr>
    </w:p>
    <w:p>
      <w:pPr>
        <w:ind w:left="7" w:right="3159"/>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7" w:lineRule="exact"/>
        <w:rPr>
          <w:sz w:val="24"/>
          <w:szCs w:val="24"/>
          <w:color w:val="auto"/>
        </w:rPr>
      </w:pPr>
    </w:p>
    <w:p>
      <w:pPr>
        <w:ind w:left="2627"/>
        <w:spacing w:after="0"/>
        <w:tabs>
          <w:tab w:leader="none" w:pos="3166" w:val="left"/>
          <w:tab w:leader="none" w:pos="3606"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5" w:lineRule="exact"/>
        <w:rPr>
          <w:sz w:val="24"/>
          <w:szCs w:val="24"/>
          <w:color w:val="auto"/>
        </w:rPr>
      </w:pPr>
    </w:p>
    <w:p>
      <w:pPr>
        <w:ind w:left="3007"/>
        <w:spacing w:after="0"/>
        <w:tabs>
          <w:tab w:leader="none" w:pos="38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9" w:lineRule="exact"/>
        <w:rPr>
          <w:sz w:val="24"/>
          <w:szCs w:val="24"/>
          <w:color w:val="auto"/>
        </w:rPr>
      </w:pPr>
    </w:p>
    <w:p>
      <w:pPr>
        <w:ind w:left="7" w:right="3239"/>
        <w:spacing w:after="0" w:line="247"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146"/>
          </w:cols>
          <w:pgMar w:left="313" w:top="584" w:right="1440" w:bottom="1440" w:gutter="0" w:footer="0" w:header="0"/>
          <w:type w:val="continuous"/>
        </w:sectPr>
      </w:pPr>
    </w:p>
    <w:p>
      <w:pPr>
        <w:spacing w:after="0" w:line="174" w:lineRule="exact"/>
        <w:rPr>
          <w:sz w:val="24"/>
          <w:szCs w:val="24"/>
          <w:color w:val="auto"/>
        </w:rPr>
      </w:pPr>
    </w:p>
    <w:p>
      <w:pPr>
        <w:ind w:left="1367"/>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Common Stock, par value $.05 per share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FEBRUARY 7, 2000</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10,626,881</w:t>
      </w:r>
    </w:p>
    <w:p>
      <w:pPr>
        <w:sectPr>
          <w:pgSz w:w="11900" w:h="16838" w:orient="portrait"/>
          <w:cols w:equalWidth="0" w:num="2">
            <w:col w:w="3627" w:space="380"/>
            <w:col w:w="6139"/>
          </w:cols>
          <w:pgMar w:left="313" w:top="58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6180" w:type="dxa"/>
            <w:vAlign w:val="bottom"/>
          </w:tcPr>
          <w:p>
            <w:pPr>
              <w:ind w:left="1740"/>
              <w:spacing w:after="0"/>
              <w:rPr>
                <w:sz w:val="20"/>
                <w:szCs w:val="20"/>
                <w:color w:val="auto"/>
              </w:rPr>
            </w:pPr>
            <w:r>
              <w:rPr>
                <w:rFonts w:ascii="Courier New" w:cs="Courier New" w:eastAsia="Courier New" w:hAnsi="Courier New"/>
                <w:sz w:val="15"/>
                <w:szCs w:val="15"/>
                <w:color w:val="auto"/>
              </w:rPr>
              <w:t>HAWKINS CHEMICAL, INC</w:t>
            </w:r>
          </w:p>
        </w:tc>
        <w:tc>
          <w:tcPr>
            <w:tcW w:w="1100" w:type="dxa"/>
            <w:vAlign w:val="bottom"/>
          </w:tcPr>
          <w:p>
            <w:pPr>
              <w:spacing w:after="0"/>
              <w:rPr>
                <w:sz w:val="14"/>
                <w:szCs w:val="14"/>
                <w:color w:val="auto"/>
              </w:rPr>
            </w:pPr>
          </w:p>
        </w:tc>
      </w:tr>
      <w:tr>
        <w:trPr>
          <w:trHeight w:val="349"/>
        </w:trPr>
        <w:tc>
          <w:tcPr>
            <w:tcW w:w="620" w:type="dxa"/>
            <w:vAlign w:val="bottom"/>
          </w:tcPr>
          <w:p>
            <w:pPr>
              <w:spacing w:after="0"/>
              <w:rPr>
                <w:sz w:val="24"/>
                <w:szCs w:val="24"/>
                <w:color w:val="auto"/>
              </w:rPr>
            </w:pPr>
          </w:p>
        </w:tc>
        <w:tc>
          <w:tcPr>
            <w:tcW w:w="6180" w:type="dxa"/>
            <w:vAlign w:val="bottom"/>
          </w:tcPr>
          <w:p>
            <w:pPr>
              <w:ind w:left="1820"/>
              <w:spacing w:after="0"/>
              <w:rPr>
                <w:sz w:val="20"/>
                <w:szCs w:val="20"/>
                <w:color w:val="auto"/>
              </w:rPr>
            </w:pPr>
            <w:r>
              <w:rPr>
                <w:rFonts w:ascii="Courier New" w:cs="Courier New" w:eastAsia="Courier New" w:hAnsi="Courier New"/>
                <w:sz w:val="15"/>
                <w:szCs w:val="15"/>
                <w:color w:val="auto"/>
              </w:rPr>
              <w:t>INDEX TO FORM 10-Q</w:t>
            </w:r>
          </w:p>
        </w:tc>
        <w:tc>
          <w:tcPr>
            <w:tcW w:w="1100" w:type="dxa"/>
            <w:vAlign w:val="bottom"/>
          </w:tcPr>
          <w:p>
            <w:pPr>
              <w:spacing w:after="0"/>
              <w:rPr>
                <w:sz w:val="24"/>
                <w:szCs w:val="24"/>
                <w:color w:val="auto"/>
              </w:rPr>
            </w:pPr>
          </w:p>
        </w:tc>
      </w:tr>
      <w:tr>
        <w:trPr>
          <w:trHeight w:val="699"/>
        </w:trPr>
        <w:tc>
          <w:tcPr>
            <w:tcW w:w="6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Page No.</w:t>
            </w:r>
          </w:p>
        </w:tc>
      </w:tr>
      <w:tr>
        <w:trPr>
          <w:trHeight w:val="175"/>
        </w:trPr>
        <w:tc>
          <w:tcPr>
            <w:tcW w:w="6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6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1100" w:type="dxa"/>
            <w:vAlign w:val="bottom"/>
          </w:tcPr>
          <w:p>
            <w:pPr>
              <w:spacing w:after="0"/>
              <w:rPr>
                <w:sz w:val="24"/>
                <w:szCs w:val="24"/>
                <w:color w:val="auto"/>
              </w:rPr>
            </w:pPr>
          </w:p>
        </w:tc>
      </w:tr>
      <w:tr>
        <w:trPr>
          <w:trHeight w:val="349"/>
        </w:trPr>
        <w:tc>
          <w:tcPr>
            <w:tcW w:w="6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1100" w:type="dxa"/>
            <w:vAlign w:val="bottom"/>
          </w:tcPr>
          <w:p>
            <w:pPr>
              <w:spacing w:after="0"/>
              <w:rPr>
                <w:sz w:val="24"/>
                <w:szCs w:val="24"/>
                <w:color w:val="auto"/>
              </w:rPr>
            </w:pPr>
          </w:p>
        </w:tc>
      </w:tr>
      <w:tr>
        <w:trPr>
          <w:trHeight w:val="349"/>
        </w:trPr>
        <w:tc>
          <w:tcPr>
            <w:tcW w:w="6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Condensed Balance Sheets - December 31, 1999 and</w:t>
            </w:r>
          </w:p>
        </w:tc>
        <w:tc>
          <w:tcPr>
            <w:tcW w:w="110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October 3, 1999 .............................................</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w:t>
            </w:r>
          </w:p>
        </w:tc>
      </w:tr>
      <w:tr>
        <w:trPr>
          <w:trHeight w:val="349"/>
        </w:trPr>
        <w:tc>
          <w:tcPr>
            <w:tcW w:w="6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Condensed Statements of Income - Three Months Ended</w:t>
            </w:r>
          </w:p>
        </w:tc>
        <w:tc>
          <w:tcPr>
            <w:tcW w:w="110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Ended December 31, 1999 and 1998 ...............................</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w:t>
            </w:r>
          </w:p>
        </w:tc>
      </w:tr>
      <w:tr>
        <w:trPr>
          <w:trHeight w:val="349"/>
        </w:trPr>
        <w:tc>
          <w:tcPr>
            <w:tcW w:w="6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Condensed Statements of Cash Flows - Three Months Ended</w:t>
            </w:r>
          </w:p>
        </w:tc>
        <w:tc>
          <w:tcPr>
            <w:tcW w:w="110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 and 1998 .....................................</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w:t>
            </w:r>
          </w:p>
        </w:tc>
      </w:tr>
      <w:tr>
        <w:trPr>
          <w:trHeight w:val="349"/>
        </w:trPr>
        <w:tc>
          <w:tcPr>
            <w:tcW w:w="6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Notes to Condensed Financial Statements ...........................</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w:t>
            </w:r>
          </w:p>
        </w:tc>
      </w:tr>
      <w:tr>
        <w:trPr>
          <w:trHeight w:val="349"/>
        </w:trPr>
        <w:tc>
          <w:tcPr>
            <w:tcW w:w="6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10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and Results of Operations ....................................</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8-10</w:t>
            </w:r>
          </w:p>
        </w:tc>
      </w:tr>
      <w:tr>
        <w:trPr>
          <w:trHeight w:val="524"/>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100" w:type="dxa"/>
            <w:vAlign w:val="bottom"/>
          </w:tcPr>
          <w:p>
            <w:pPr>
              <w:spacing w:after="0"/>
              <w:rPr>
                <w:sz w:val="24"/>
                <w:szCs w:val="24"/>
                <w:color w:val="auto"/>
              </w:rPr>
            </w:pPr>
          </w:p>
        </w:tc>
      </w:tr>
      <w:tr>
        <w:trPr>
          <w:trHeight w:val="349"/>
        </w:trPr>
        <w:tc>
          <w:tcPr>
            <w:tcW w:w="6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Legal Proceedings .................................................</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w:t>
            </w:r>
          </w:p>
        </w:tc>
      </w:tr>
      <w:tr>
        <w:trPr>
          <w:trHeight w:val="349"/>
        </w:trPr>
        <w:tc>
          <w:tcPr>
            <w:tcW w:w="6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 ..................................</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w:t>
            </w:r>
          </w:p>
        </w:tc>
      </w:tr>
      <w:tr>
        <w:trPr>
          <w:trHeight w:val="524"/>
        </w:trPr>
        <w:tc>
          <w:tcPr>
            <w:tcW w:w="6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Exhibit Index .....................................................</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w:t>
            </w:r>
          </w:p>
        </w:tc>
      </w:tr>
      <w:tr>
        <w:trPr>
          <w:trHeight w:val="524"/>
        </w:trPr>
        <w:tc>
          <w:tcPr>
            <w:tcW w:w="6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Financial Data Schedule ...........................................</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w:t>
            </w:r>
          </w:p>
        </w:tc>
      </w:tr>
      <w:tr>
        <w:trPr>
          <w:trHeight w:val="524"/>
        </w:trPr>
        <w:tc>
          <w:tcPr>
            <w:tcW w:w="620" w:type="dxa"/>
            <w:vAlign w:val="bottom"/>
          </w:tcPr>
          <w:p>
            <w:pPr>
              <w:spacing w:after="0"/>
              <w:rPr>
                <w:sz w:val="24"/>
                <w:szCs w:val="24"/>
                <w:color w:val="auto"/>
              </w:rPr>
            </w:pPr>
          </w:p>
        </w:tc>
        <w:tc>
          <w:tcPr>
            <w:tcW w:w="6180" w:type="dxa"/>
            <w:vAlign w:val="bottom"/>
          </w:tcPr>
          <w:p>
            <w:pPr>
              <w:ind w:left="2920"/>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spacing w:after="0"/>
              <w:rPr>
                <w:sz w:val="24"/>
                <w:szCs w:val="24"/>
                <w:color w:val="auto"/>
              </w:rPr>
            </w:pPr>
          </w:p>
        </w:tc>
      </w:tr>
    </w:tbl>
    <w:p>
      <w:pPr>
        <w:sectPr>
          <w:pgSz w:w="11900" w:h="16838" w:orient="portrait"/>
          <w:cols w:equalWidth="0" w:num="1">
            <w:col w:w="10139"/>
          </w:cols>
          <w:pgMar w:left="320" w:top="642" w:right="1440" w:bottom="1440" w:gutter="0" w:footer="0" w:header="0"/>
        </w:sectPr>
      </w:pPr>
    </w:p>
    <w:bookmarkStart w:id="2" w:name="page3"/>
    <w:bookmarkEnd w:id="2"/>
    <w:p>
      <w:pPr>
        <w:ind w:left="2360"/>
        <w:spacing w:after="0"/>
        <w:rPr>
          <w:sz w:val="20"/>
          <w:szCs w:val="20"/>
          <w:color w:val="auto"/>
        </w:rPr>
      </w:pPr>
      <w:r>
        <w:rPr>
          <w:rFonts w:ascii="Courier New" w:cs="Courier New" w:eastAsia="Courier New" w:hAnsi="Courier New"/>
          <w:sz w:val="15"/>
          <w:szCs w:val="15"/>
          <w:color w:val="auto"/>
        </w:rPr>
        <w:t>PART I. FINANCIAL INFORMATION</w:t>
      </w:r>
    </w:p>
    <w:p>
      <w:pPr>
        <w:spacing w:after="0" w:line="17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I.</w:t>
      </w:r>
      <w:r>
        <w:rPr>
          <w:sz w:val="20"/>
          <w:szCs w:val="20"/>
          <w:color w:val="auto"/>
        </w:rPr>
        <w:tab/>
      </w:r>
      <w:r>
        <w:rPr>
          <w:rFonts w:ascii="Courier New" w:cs="Courier New" w:eastAsia="Courier New" w:hAnsi="Courier New"/>
          <w:sz w:val="14"/>
          <w:szCs w:val="14"/>
          <w:color w:val="auto"/>
        </w:rPr>
        <w:t>FINANCIAL STATEMENTS</w:t>
      </w:r>
    </w:p>
    <w:p>
      <w:pPr>
        <w:spacing w:after="0" w:line="179"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CONDENSED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Pr>
          <w:p>
            <w:pPr>
              <w:spacing w:after="0"/>
              <w:rPr>
                <w:sz w:val="14"/>
                <w:szCs w:val="14"/>
                <w:color w:val="auto"/>
              </w:rPr>
            </w:pPr>
          </w:p>
        </w:tc>
        <w:tc>
          <w:tcPr>
            <w:tcW w:w="20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DECEMBER 31, 1999</w:t>
            </w:r>
          </w:p>
        </w:tc>
        <w:tc>
          <w:tcPr>
            <w:tcW w:w="2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OCTOBER 3, 1999</w:t>
            </w:r>
          </w:p>
        </w:tc>
      </w:tr>
      <w:tr>
        <w:trPr>
          <w:trHeight w:val="175"/>
        </w:trPr>
        <w:tc>
          <w:tcPr>
            <w:tcW w:w="6940" w:type="dxa"/>
            <w:vAlign w:val="bottom"/>
          </w:tcPr>
          <w:p>
            <w:pPr>
              <w:spacing w:after="0"/>
              <w:rPr>
                <w:sz w:val="15"/>
                <w:szCs w:val="15"/>
                <w:color w:val="auto"/>
              </w:rPr>
            </w:pPr>
          </w:p>
        </w:tc>
        <w:tc>
          <w:tcPr>
            <w:tcW w:w="20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4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(Unaudited)</w:t>
            </w:r>
          </w:p>
        </w:tc>
        <w:tc>
          <w:tcPr>
            <w:tcW w:w="2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(Derived from audited</w:t>
            </w:r>
          </w:p>
        </w:tc>
      </w:tr>
      <w:tr>
        <w:trPr>
          <w:trHeight w:val="175"/>
        </w:trPr>
        <w:tc>
          <w:tcPr>
            <w:tcW w:w="6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financial statements)</w:t>
            </w:r>
          </w:p>
        </w:tc>
      </w:tr>
      <w:tr>
        <w:trPr>
          <w:trHeight w:val="349"/>
        </w:trPr>
        <w:tc>
          <w:tcPr>
            <w:tcW w:w="6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$ 3,771,277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$ 4,778,174</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Investments available-for-sale...........................................</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17,094,487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17,424,700</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Trade receivables-net....................................................</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10,240,313</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11,329,211</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Notes receivable.........................................................</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310,033</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301,920</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Inventories .............................................................</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8,296,004</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8,379,228</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expenses and other...............................................</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2,328,627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2,536,448</w:t>
            </w:r>
          </w:p>
        </w:tc>
      </w:tr>
      <w:tr>
        <w:trPr>
          <w:trHeight w:val="175"/>
        </w:trPr>
        <w:tc>
          <w:tcPr>
            <w:tcW w:w="6940" w:type="dxa"/>
            <w:vAlign w:val="bottom"/>
          </w:tcPr>
          <w:p>
            <w:pPr>
              <w:spacing w:after="0"/>
              <w:rPr>
                <w:sz w:val="15"/>
                <w:szCs w:val="15"/>
                <w:color w:val="auto"/>
              </w:rPr>
            </w:pP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current assets.................................................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42,040,741</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44,749,681</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Property, plant and equipment-net..........................................</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20,562,444</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18,664,999</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Notes receivable-noncurrent................................................</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2,762,905</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2,844,220</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assets...............................................................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2,751,177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2,740,927</w:t>
            </w:r>
          </w:p>
        </w:tc>
      </w:tr>
      <w:tr>
        <w:trPr>
          <w:trHeight w:val="175"/>
        </w:trPr>
        <w:tc>
          <w:tcPr>
            <w:tcW w:w="6940" w:type="dxa"/>
            <w:vAlign w:val="bottom"/>
          </w:tcPr>
          <w:p>
            <w:pPr>
              <w:spacing w:after="0"/>
              <w:rPr>
                <w:sz w:val="15"/>
                <w:szCs w:val="15"/>
                <w:color w:val="auto"/>
              </w:rPr>
            </w:pP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$68,117,267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$68,999,827</w:t>
            </w:r>
          </w:p>
        </w:tc>
      </w:tr>
      <w:tr>
        <w:trPr>
          <w:trHeight w:val="175"/>
        </w:trPr>
        <w:tc>
          <w:tcPr>
            <w:tcW w:w="6940" w:type="dxa"/>
            <w:vAlign w:val="bottom"/>
          </w:tcPr>
          <w:p>
            <w:pPr>
              <w:spacing w:after="0"/>
              <w:rPr>
                <w:sz w:val="15"/>
                <w:szCs w:val="15"/>
                <w:color w:val="auto"/>
              </w:rPr>
            </w:pP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349"/>
        </w:trPr>
        <w:tc>
          <w:tcPr>
            <w:tcW w:w="6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0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49"/>
        </w:trPr>
        <w:tc>
          <w:tcPr>
            <w:tcW w:w="6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 ........................................................</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$ 5,818,223</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$ 5,032,268</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Current portion of long-term debt........................................</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102,037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95,362</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Dividends payable........................................................</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1,314,154</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current liabilities................................................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4,094,243</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4,838,635</w:t>
            </w:r>
          </w:p>
        </w:tc>
      </w:tr>
      <w:tr>
        <w:trPr>
          <w:trHeight w:val="175"/>
        </w:trPr>
        <w:tc>
          <w:tcPr>
            <w:tcW w:w="6940" w:type="dxa"/>
            <w:vAlign w:val="bottom"/>
          </w:tcPr>
          <w:p>
            <w:pPr>
              <w:spacing w:after="0"/>
              <w:rPr>
                <w:sz w:val="15"/>
                <w:szCs w:val="15"/>
                <w:color w:val="auto"/>
              </w:rPr>
            </w:pP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current liabilities............................................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10,014,503</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11,280,419</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Long-term debt.............................................................</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226,003</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328,040</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income taxes......................................................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1,032,450</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1,029,950</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long-term liabilities................................................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714,597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786,202</w:t>
            </w:r>
          </w:p>
        </w:tc>
      </w:tr>
      <w:tr>
        <w:trPr>
          <w:trHeight w:val="349"/>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Commitments and contingencies..............................................</w:t>
            </w:r>
          </w:p>
        </w:tc>
        <w:tc>
          <w:tcPr>
            <w:tcW w:w="20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04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6940" w:type="dxa"/>
            <w:vAlign w:val="bottom"/>
          </w:tcPr>
          <w:p>
            <w:pPr>
              <w:jc w:val="right"/>
              <w:ind w:right="1964"/>
              <w:spacing w:after="0"/>
              <w:rPr>
                <w:sz w:val="20"/>
                <w:szCs w:val="20"/>
                <w:color w:val="auto"/>
              </w:rPr>
            </w:pPr>
            <w:r>
              <w:rPr>
                <w:rFonts w:ascii="Courier New" w:cs="Courier New" w:eastAsia="Courier New" w:hAnsi="Courier New"/>
                <w:sz w:val="15"/>
                <w:szCs w:val="15"/>
                <w:color w:val="auto"/>
              </w:rPr>
              <w:t>Common stock, par value $.05 per share; issued and</w:t>
            </w:r>
          </w:p>
        </w:tc>
        <w:tc>
          <w:tcPr>
            <w:tcW w:w="204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outstanding, 10,818,881 and 10,951,281 shares respectively ..........</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540,944</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547,564</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Additional paid-in capital.............................................</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39,644,583</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40,129,749</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 earnings......................................................</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15,944,187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14,897,903</w:t>
            </w:r>
          </w:p>
        </w:tc>
      </w:tr>
      <w:tr>
        <w:trPr>
          <w:trHeight w:val="175"/>
        </w:trPr>
        <w:tc>
          <w:tcPr>
            <w:tcW w:w="6940" w:type="dxa"/>
            <w:vAlign w:val="bottom"/>
          </w:tcPr>
          <w:p>
            <w:pPr>
              <w:spacing w:after="0"/>
              <w:rPr>
                <w:sz w:val="15"/>
                <w:szCs w:val="15"/>
                <w:color w:val="auto"/>
              </w:rPr>
            </w:pP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shareholders' equity..........................................</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56,129,714</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55,575,216</w:t>
            </w:r>
          </w:p>
        </w:tc>
      </w:tr>
      <w:tr>
        <w:trPr>
          <w:trHeight w:val="175"/>
        </w:trPr>
        <w:tc>
          <w:tcPr>
            <w:tcW w:w="6940" w:type="dxa"/>
            <w:vAlign w:val="bottom"/>
          </w:tcPr>
          <w:p>
            <w:pPr>
              <w:spacing w:after="0"/>
              <w:rPr>
                <w:sz w:val="15"/>
                <w:szCs w:val="15"/>
                <w:color w:val="auto"/>
              </w:rPr>
            </w:pP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w:t>
            </w: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$68,117,267</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$68,999,827</w:t>
            </w:r>
          </w:p>
        </w:tc>
      </w:tr>
      <w:tr>
        <w:trPr>
          <w:trHeight w:val="175"/>
        </w:trPr>
        <w:tc>
          <w:tcPr>
            <w:tcW w:w="6940" w:type="dxa"/>
            <w:vAlign w:val="bottom"/>
          </w:tcPr>
          <w:p>
            <w:pPr>
              <w:spacing w:after="0"/>
              <w:rPr>
                <w:sz w:val="15"/>
                <w:szCs w:val="15"/>
                <w:color w:val="auto"/>
              </w:rPr>
            </w:pPr>
          </w:p>
        </w:tc>
        <w:tc>
          <w:tcPr>
            <w:tcW w:w="20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40"/>
          </w:cols>
          <w:pgMar w:left="320" w:top="642" w:right="239" w:bottom="1440" w:gutter="0" w:footer="0" w:header="0"/>
        </w:sectPr>
      </w:pPr>
    </w:p>
    <w:bookmarkStart w:id="3" w:name="page4"/>
    <w:bookmarkEnd w:id="3"/>
    <w:p>
      <w:pPr>
        <w:jc w:val="center"/>
        <w:ind w:right="2879"/>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5"/>
                <w:szCs w:val="15"/>
                <w:color w:val="auto"/>
              </w:rPr>
            </w:pP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5180" w:type="dxa"/>
            <w:vAlign w:val="bottom"/>
          </w:tcPr>
          <w:p>
            <w:pPr>
              <w:spacing w:after="0"/>
              <w:rPr>
                <w:sz w:val="15"/>
                <w:szCs w:val="15"/>
                <w:color w:val="auto"/>
              </w:rPr>
            </w:pPr>
          </w:p>
        </w:tc>
        <w:tc>
          <w:tcPr>
            <w:tcW w:w="15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3"/>
          </w:tcPr>
          <w:p>
            <w:pPr>
              <w:jc w:val="right"/>
              <w:ind w:right="924"/>
              <w:spacing w:after="0"/>
              <w:rPr>
                <w:sz w:val="20"/>
                <w:szCs w:val="20"/>
                <w:color w:val="auto"/>
              </w:rPr>
            </w:pPr>
            <w:r>
              <w:rPr>
                <w:rFonts w:ascii="Courier New" w:cs="Courier New" w:eastAsia="Courier New" w:hAnsi="Courier New"/>
                <w:sz w:val="15"/>
                <w:szCs w:val="15"/>
                <w:color w:val="auto"/>
              </w:rPr>
              <w:t>(Unaudited)</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sales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21,626,369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23,311,125</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sales ..........................................</w:t>
            </w:r>
          </w:p>
        </w:tc>
        <w:tc>
          <w:tcPr>
            <w:tcW w:w="260" w:type="dxa"/>
            <w:vAlign w:val="bottom"/>
          </w:tcPr>
          <w:p>
            <w:pPr>
              <w:spacing w:after="0"/>
              <w:rPr>
                <w:sz w:val="24"/>
                <w:szCs w:val="24"/>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(16,654,017)</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(18,123,717)</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 ...........................................</w:t>
            </w:r>
          </w:p>
        </w:tc>
        <w:tc>
          <w:tcPr>
            <w:tcW w:w="260" w:type="dxa"/>
            <w:vAlign w:val="bottom"/>
          </w:tcPr>
          <w:p>
            <w:pPr>
              <w:spacing w:after="0"/>
              <w:rPr>
                <w:sz w:val="24"/>
                <w:szCs w:val="2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4,972,352</w:t>
            </w:r>
          </w:p>
        </w:tc>
        <w:tc>
          <w:tcPr>
            <w:tcW w:w="44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5,187,408</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 ....................</w:t>
            </w:r>
          </w:p>
        </w:tc>
        <w:tc>
          <w:tcPr>
            <w:tcW w:w="260" w:type="dxa"/>
            <w:vAlign w:val="bottom"/>
          </w:tcPr>
          <w:p>
            <w:pPr>
              <w:spacing w:after="0"/>
              <w:rPr>
                <w:sz w:val="24"/>
                <w:szCs w:val="24"/>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(2,560,859)</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(2,515,517)</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Litigation settlement reimbursement ....................</w:t>
            </w:r>
          </w:p>
        </w:tc>
        <w:tc>
          <w:tcPr>
            <w:tcW w:w="260" w:type="dxa"/>
            <w:vAlign w:val="bottom"/>
          </w:tcPr>
          <w:p>
            <w:pPr>
              <w:spacing w:after="0"/>
              <w:rPr>
                <w:sz w:val="24"/>
                <w:szCs w:val="2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2,754,000</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from operations .................................</w:t>
            </w:r>
          </w:p>
        </w:tc>
        <w:tc>
          <w:tcPr>
            <w:tcW w:w="260" w:type="dxa"/>
            <w:vAlign w:val="bottom"/>
          </w:tcPr>
          <w:p>
            <w:pPr>
              <w:spacing w:after="0"/>
              <w:rPr>
                <w:sz w:val="24"/>
                <w:szCs w:val="2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2,411,493</w:t>
            </w:r>
          </w:p>
        </w:tc>
        <w:tc>
          <w:tcPr>
            <w:tcW w:w="44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5,425,891</w:t>
            </w:r>
          </w:p>
        </w:tc>
      </w:tr>
      <w:tr>
        <w:trPr>
          <w:trHeight w:val="349"/>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income (deductions):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 .....................................</w:t>
            </w:r>
          </w:p>
        </w:tc>
        <w:tc>
          <w:tcPr>
            <w:tcW w:w="2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287,356</w:t>
            </w:r>
          </w:p>
        </w:tc>
        <w:tc>
          <w:tcPr>
            <w:tcW w:w="4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281,062</w:t>
            </w: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 ....................................</w:t>
            </w: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(7,561)</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(9,232)</w:t>
            </w: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Miscellaneous .......................................</w:t>
            </w:r>
          </w:p>
        </w:tc>
        <w:tc>
          <w:tcPr>
            <w:tcW w:w="2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14,499</w:t>
            </w:r>
          </w:p>
        </w:tc>
        <w:tc>
          <w:tcPr>
            <w:tcW w:w="4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21,913</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other income (deductions) ........................</w:t>
            </w:r>
          </w:p>
        </w:tc>
        <w:tc>
          <w:tcPr>
            <w:tcW w:w="260" w:type="dxa"/>
            <w:vAlign w:val="bottom"/>
          </w:tcPr>
          <w:p>
            <w:pPr>
              <w:spacing w:after="0"/>
              <w:rPr>
                <w:sz w:val="24"/>
                <w:szCs w:val="2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294,294</w:t>
            </w:r>
          </w:p>
        </w:tc>
        <w:tc>
          <w:tcPr>
            <w:tcW w:w="44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293,743</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 .............................</w:t>
            </w:r>
          </w:p>
        </w:tc>
        <w:tc>
          <w:tcPr>
            <w:tcW w:w="260" w:type="dxa"/>
            <w:vAlign w:val="bottom"/>
          </w:tcPr>
          <w:p>
            <w:pPr>
              <w:spacing w:after="0"/>
              <w:rPr>
                <w:sz w:val="24"/>
                <w:szCs w:val="2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2,705,787</w:t>
            </w:r>
          </w:p>
        </w:tc>
        <w:tc>
          <w:tcPr>
            <w:tcW w:w="44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5,719,634</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 .............................</w:t>
            </w:r>
          </w:p>
        </w:tc>
        <w:tc>
          <w:tcPr>
            <w:tcW w:w="260" w:type="dxa"/>
            <w:vAlign w:val="bottom"/>
          </w:tcPr>
          <w:p>
            <w:pPr>
              <w:spacing w:after="0"/>
              <w:rPr>
                <w:sz w:val="24"/>
                <w:szCs w:val="24"/>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(1,066,100)</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(2,293,400)</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1,639,687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3,426,234</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51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10,868,087</w:t>
            </w:r>
          </w:p>
        </w:tc>
        <w:tc>
          <w:tcPr>
            <w:tcW w:w="4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11,361,052</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5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per common share - basic and diluted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0.30</w:t>
            </w: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2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42" w:right="1440" w:bottom="1440" w:gutter="0" w:footer="0" w:header="0"/>
        </w:sectPr>
      </w:pPr>
    </w:p>
    <w:bookmarkStart w:id="4" w:name="page5"/>
    <w:bookmarkEnd w:id="4"/>
    <w:p>
      <w:pPr>
        <w:jc w:val="center"/>
        <w:ind w:right="3280"/>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5"/>
        </w:trPr>
        <w:tc>
          <w:tcPr>
            <w:tcW w:w="7720" w:type="dxa"/>
            <w:vAlign w:val="bottom"/>
          </w:tcPr>
          <w:p>
            <w:pPr>
              <w:spacing w:after="0"/>
              <w:rPr>
                <w:sz w:val="15"/>
                <w:szCs w:val="15"/>
                <w:color w:val="auto"/>
              </w:rPr>
            </w:pPr>
          </w:p>
        </w:tc>
        <w:tc>
          <w:tcPr>
            <w:tcW w:w="28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r>
      <w:tr>
        <w:trPr>
          <w:trHeight w:val="175"/>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772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3"/>
          </w:tcPr>
          <w:p>
            <w:pPr>
              <w:jc w:val="right"/>
              <w:ind w:right="1024"/>
              <w:spacing w:after="0"/>
              <w:rPr>
                <w:sz w:val="20"/>
                <w:szCs w:val="20"/>
                <w:color w:val="auto"/>
              </w:rPr>
            </w:pPr>
            <w:r>
              <w:rPr>
                <w:rFonts w:ascii="Courier New" w:cs="Courier New" w:eastAsia="Courier New" w:hAnsi="Courier New"/>
                <w:sz w:val="15"/>
                <w:szCs w:val="15"/>
                <w:color w:val="auto"/>
              </w:rPr>
              <w:t>(Unaudited)</w:t>
            </w:r>
          </w:p>
        </w:tc>
      </w:tr>
      <w:tr>
        <w:trPr>
          <w:trHeight w:val="349"/>
        </w:trPr>
        <w:tc>
          <w:tcPr>
            <w:tcW w:w="7720" w:type="dxa"/>
            <w:vAlign w:val="bottom"/>
          </w:tcPr>
          <w:p>
            <w:pPr>
              <w:jc w:val="right"/>
              <w:ind w:right="4284"/>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$ 1,639,687</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$ 3,426,234</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510,774</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420,274</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27,500</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8,000</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(26,024)</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(26,190)</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Changes in certain current assets and liabilities...............................</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1,324,901</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809,826</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3,476,838</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4,638,144</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49"/>
        </w:trPr>
        <w:tc>
          <w:tcPr>
            <w:tcW w:w="7720" w:type="dxa"/>
            <w:vAlign w:val="bottom"/>
          </w:tcPr>
          <w:p>
            <w:pPr>
              <w:jc w:val="right"/>
              <w:ind w:right="4284"/>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Additions to property, plant and equipment......................................</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(2,392,445)</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(668,227)</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investments........................................................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(169,787)</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(3,170,560)</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Sale of investments ............................................................</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500,000</w:t>
            </w:r>
          </w:p>
        </w:tc>
        <w:tc>
          <w:tcPr>
            <w:tcW w:w="22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Payments received on notes receivable...........................................</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73,202</w:t>
            </w:r>
          </w:p>
        </w:tc>
        <w:tc>
          <w:tcPr>
            <w:tcW w:w="22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67,622</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 ......................................</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(1,989,030)</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(3,771,165)</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49"/>
        </w:trPr>
        <w:tc>
          <w:tcPr>
            <w:tcW w:w="7720" w:type="dxa"/>
            <w:vAlign w:val="bottom"/>
          </w:tcPr>
          <w:p>
            <w:pPr>
              <w:jc w:val="right"/>
              <w:ind w:right="4284"/>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 paid.............................................................</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(1,314,154)</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(1,147,090)</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 and retirement of stock.............................................</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(1,085,189)</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(1,295,991)</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 repayment..................................................................</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(95,362)</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(89,123)</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financing activities ......................................</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(2,494,705)</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(2,532,204)</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524"/>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DECREASE IN CASH AND CASH EQUIVALENTS ..............................................</w:t>
            </w:r>
          </w:p>
        </w:tc>
        <w:tc>
          <w:tcPr>
            <w:tcW w:w="26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(1,006,897)</w:t>
            </w:r>
          </w:p>
        </w:tc>
        <w:tc>
          <w:tcPr>
            <w:tcW w:w="22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(1,665,225)</w:t>
            </w:r>
          </w:p>
        </w:tc>
      </w:tr>
      <w:tr>
        <w:trPr>
          <w:trHeight w:val="349"/>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BEGINNING OF YEAR .......................................</w:t>
            </w:r>
          </w:p>
        </w:tc>
        <w:tc>
          <w:tcPr>
            <w:tcW w:w="260" w:type="dxa"/>
            <w:vAlign w:val="bottom"/>
          </w:tcPr>
          <w:p>
            <w:pPr>
              <w:spacing w:after="0"/>
              <w:rPr>
                <w:sz w:val="24"/>
                <w:szCs w:val="24"/>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4,778,174</w:t>
            </w:r>
          </w:p>
        </w:tc>
        <w:tc>
          <w:tcPr>
            <w:tcW w:w="22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3,197,015</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49"/>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END OF PERIOD ...........................................</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$ 3,771,277</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$ 1,531,790</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49"/>
        </w:trPr>
        <w:tc>
          <w:tcPr>
            <w:tcW w:w="7720" w:type="dxa"/>
            <w:vAlign w:val="bottom"/>
          </w:tcPr>
          <w:p>
            <w:pPr>
              <w:jc w:val="right"/>
              <w:ind w:right="4284"/>
              <w:spacing w:after="0"/>
              <w:rPr>
                <w:sz w:val="20"/>
                <w:szCs w:val="20"/>
                <w:color w:val="auto"/>
              </w:rPr>
            </w:pPr>
            <w:r>
              <w:rPr>
                <w:rFonts w:ascii="Courier New" w:cs="Courier New" w:eastAsia="Courier New" w:hAnsi="Courier New"/>
                <w:sz w:val="15"/>
                <w:szCs w:val="15"/>
                <w:color w:val="auto"/>
              </w:rPr>
              <w:t>SUPPLEMENTAL DISCLOSURES OF CASH FLOW</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5"/>
        </w:trPr>
        <w:tc>
          <w:tcPr>
            <w:tcW w:w="7720" w:type="dxa"/>
            <w:vAlign w:val="bottom"/>
          </w:tcPr>
          <w:p>
            <w:pPr>
              <w:jc w:val="right"/>
              <w:ind w:right="6204"/>
              <w:spacing w:after="0"/>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49"/>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paid for interest..........................................................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32,541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38,780</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7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paid for income taxes......................................................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322,233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163,500</w:t>
            </w:r>
          </w:p>
        </w:tc>
      </w:tr>
      <w:tr>
        <w:trPr>
          <w:trHeight w:val="175"/>
        </w:trPr>
        <w:tc>
          <w:tcPr>
            <w:tcW w:w="7720" w:type="dxa"/>
            <w:vAlign w:val="bottom"/>
          </w:tcPr>
          <w:p>
            <w:pPr>
              <w:spacing w:after="0"/>
              <w:rPr>
                <w:sz w:val="15"/>
                <w:szCs w:val="15"/>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540"/>
          </w:cols>
          <w:pgMar w:left="320" w:top="642" w:right="1039" w:bottom="1440" w:gutter="0" w:footer="0" w:header="0"/>
        </w:sectPr>
      </w:pPr>
    </w:p>
    <w:bookmarkStart w:id="5" w:name="page6"/>
    <w:bookmarkEnd w:id="5"/>
    <w:p>
      <w:pPr>
        <w:ind w:left="2627"/>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54" w:lineRule="exact"/>
        <w:rPr>
          <w:sz w:val="20"/>
          <w:szCs w:val="20"/>
          <w:color w:val="auto"/>
        </w:rPr>
      </w:pPr>
    </w:p>
    <w:p>
      <w:pPr>
        <w:ind w:left="447" w:right="2879" w:hanging="447"/>
        <w:spacing w:after="0" w:line="246"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3, 1999, previously filed with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0" w:lineRule="exact"/>
        <w:rPr>
          <w:rFonts w:ascii="Courier New" w:cs="Courier New" w:eastAsia="Courier New" w:hAnsi="Courier New"/>
          <w:sz w:val="15"/>
          <w:szCs w:val="15"/>
          <w:color w:val="auto"/>
        </w:rPr>
      </w:pPr>
    </w:p>
    <w:p>
      <w:pPr>
        <w:ind w:left="447" w:right="29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policies followed by the Company are set forth in Note 1 to the Company's financial statements in the 1999 Hawkins Chemical, Inc. Annual Report which is incorporated by reference to Form 10-K filed with the Commission on January 3, 2000.</w:t>
      </w:r>
    </w:p>
    <w:p>
      <w:pPr>
        <w:spacing w:after="0" w:line="176" w:lineRule="exact"/>
        <w:rPr>
          <w:rFonts w:ascii="Courier New" w:cs="Courier New" w:eastAsia="Courier New" w:hAnsi="Courier New"/>
          <w:sz w:val="15"/>
          <w:szCs w:val="15"/>
          <w:color w:val="auto"/>
        </w:rPr>
      </w:pPr>
    </w:p>
    <w:p>
      <w:pPr>
        <w:ind w:left="447" w:right="3159" w:hanging="447"/>
        <w:spacing w:after="0" w:line="246"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period ended December 31, 1999 are not necessarily indicative of the results that may be expected for the full year.</w:t>
      </w:r>
    </w:p>
    <w:p>
      <w:pPr>
        <w:spacing w:after="0" w:line="176" w:lineRule="exact"/>
        <w:rPr>
          <w:rFonts w:ascii="Courier New" w:cs="Courier New" w:eastAsia="Courier New" w:hAnsi="Courier New"/>
          <w:sz w:val="15"/>
          <w:szCs w:val="15"/>
          <w:color w:val="auto"/>
        </w:rPr>
      </w:pPr>
    </w:p>
    <w:p>
      <w:pPr>
        <w:ind w:left="447" w:right="3059" w:hanging="447"/>
        <w:spacing w:after="0" w:line="246"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principally valued by the LIFO method, are less than current cost by approximately $570,000 at December 31, 1999. Inventory consists principally of finished goods. Inventory quantities fluctuate during the year. No material amounts of interim liquidation of inventory quantities have occurred that are not expected to be replaced by year-end.</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in the amount of $1,314,154 were paid on October 12, 1999.</w:t>
      </w:r>
    </w:p>
    <w:p>
      <w:pPr>
        <w:spacing w:after="0" w:line="179" w:lineRule="exact"/>
        <w:rPr>
          <w:rFonts w:ascii="Courier New" w:cs="Courier New" w:eastAsia="Courier New" w:hAnsi="Courier New"/>
          <w:sz w:val="15"/>
          <w:szCs w:val="15"/>
          <w:color w:val="auto"/>
        </w:rPr>
      </w:pPr>
    </w:p>
    <w:p>
      <w:pPr>
        <w:ind w:left="447" w:right="3519" w:hanging="447"/>
        <w:spacing w:after="0" w:line="247"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December 31, 1999, the Company acquired and retired 132,400 shares of common stock for $1,085,189.</w:t>
      </w:r>
    </w:p>
    <w:p>
      <w:pPr>
        <w:spacing w:after="0" w:line="174" w:lineRule="exact"/>
        <w:rPr>
          <w:rFonts w:ascii="Courier New" w:cs="Courier New" w:eastAsia="Courier New" w:hAnsi="Courier New"/>
          <w:sz w:val="15"/>
          <w:szCs w:val="15"/>
          <w:color w:val="auto"/>
        </w:rPr>
      </w:pPr>
    </w:p>
    <w:p>
      <w:pPr>
        <w:ind w:left="447" w:right="2979" w:hanging="447"/>
        <w:spacing w:after="0" w:line="246"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1995, the Company had a fire in the office/warehouse of The Lynde Company, a former wholly owned subsidiary. The Company's insurers denied coverage and refused to defend the lawsuit filed against it as a result of the fire. In the first quarter of fiscal 1999, the Company prevailed against its insurers to recover the legal and settlement costs in connection with the 1995 warehouse fire. The Company received $2,754,000, which covers substantially all of its settlement and legal costs. The umbrella insurer has agreed to defend and indemnify the Company on remaining claims under the Settlement Agreement up to and in accordance with its policy limits of $5,000,000. The Company's results of operations for the first fiscal quarter of 1999 include $2,754,000 associated with this settlement.</w:t>
      </w:r>
    </w:p>
    <w:p>
      <w:pPr>
        <w:spacing w:after="0" w:line="35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6"/>
          </w:cols>
          <w:pgMar w:left="313" w:top="642" w:right="1440" w:bottom="1440" w:gutter="0" w:footer="0" w:header="0"/>
        </w:sectPr>
      </w:pPr>
    </w:p>
    <w:bookmarkStart w:id="6" w:name="page7"/>
    <w:bookmarkEnd w:id="6"/>
    <w:p>
      <w:pPr>
        <w:ind w:left="447" w:right="2879" w:hanging="447"/>
        <w:spacing w:after="0" w:line="246" w:lineRule="auto"/>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administration, customer service or purchasing options. The information for 1999 has been restated to conform to the 2000 presentation.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00" w:type="dxa"/>
            <w:vAlign w:val="bottom"/>
          </w:tcPr>
          <w:p>
            <w:pPr>
              <w:jc w:val="right"/>
              <w:ind w:right="1604"/>
              <w:spacing w:after="0"/>
              <w:rPr>
                <w:sz w:val="20"/>
                <w:szCs w:val="20"/>
                <w:color w:val="auto"/>
              </w:rPr>
            </w:pPr>
            <w:r>
              <w:rPr>
                <w:rFonts w:ascii="Courier New" w:cs="Courier New" w:eastAsia="Courier New" w:hAnsi="Courier New"/>
                <w:sz w:val="15"/>
                <w:szCs w:val="15"/>
                <w:color w:val="auto"/>
                <w:w w:val="99"/>
              </w:rPr>
              <w:t>REPORTABLE SEGMENTS</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INDUSTRIAL</w:t>
            </w: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WATER TREATMENT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349"/>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THREE MONTHS ENDED DECEMBER 31, 1999</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sales .....................</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$15,231,831</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$ 6,394,538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$21,626,369</w:t>
            </w: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profit ..................</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2,987,029</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1,985,323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4,972,352</w:t>
            </w: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income ..............</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1,267,412</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1,144,081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2,411,493</w:t>
            </w:r>
          </w:p>
        </w:tc>
      </w:tr>
      <w:tr>
        <w:trPr>
          <w:trHeight w:val="349"/>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THREE MONTHS ENDED DECEMBER 31, 1998</w:t>
            </w: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sales .....................</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$16,865,880</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$ 6,445,245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$23,311,125</w:t>
            </w: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profit ..................</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3,241,850</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1,945,558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5,187,408</w:t>
            </w: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income ..............</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1,557,454</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1,114,437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2,671,891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PROFIT RECONCILIATION</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349"/>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income for reportable segments</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$2,411,493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$2,671,891</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Unallocated corporate income .......</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2,754,000</w:t>
            </w:r>
          </w:p>
        </w:tc>
      </w:tr>
      <w:tr>
        <w:trPr>
          <w:trHeight w:val="175"/>
        </w:trPr>
        <w:tc>
          <w:tcPr>
            <w:tcW w:w="3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operating Income .............</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$2,411,493</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$5,425,891</w:t>
            </w:r>
          </w:p>
        </w:tc>
      </w:tr>
      <w:tr>
        <w:trPr>
          <w:trHeight w:val="175"/>
        </w:trPr>
        <w:tc>
          <w:tcPr>
            <w:tcW w:w="3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3400" w:type="dxa"/>
            <w:vAlign w:val="bottom"/>
          </w:tcPr>
          <w:p>
            <w:pPr>
              <w:spacing w:after="0"/>
              <w:rPr>
                <w:sz w:val="24"/>
                <w:szCs w:val="24"/>
                <w:color w:val="auto"/>
              </w:rPr>
            </w:pPr>
          </w:p>
        </w:tc>
        <w:tc>
          <w:tcPr>
            <w:tcW w:w="204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7</w:t>
            </w:r>
          </w:p>
        </w:tc>
        <w:tc>
          <w:tcPr>
            <w:tcW w:w="1460" w:type="dxa"/>
            <w:vAlign w:val="bottom"/>
          </w:tcPr>
          <w:p>
            <w:pPr>
              <w:spacing w:after="0"/>
              <w:rPr>
                <w:sz w:val="24"/>
                <w:szCs w:val="24"/>
                <w:color w:val="auto"/>
              </w:rPr>
            </w:pPr>
          </w:p>
        </w:tc>
      </w:tr>
    </w:tbl>
    <w:p>
      <w:pPr>
        <w:sectPr>
          <w:pgSz w:w="11900" w:h="16838" w:orient="portrait"/>
          <w:cols w:equalWidth="0" w:num="1">
            <w:col w:w="10146"/>
          </w:cols>
          <w:pgMar w:left="313" w:top="642" w:right="1440" w:bottom="1440" w:gutter="0" w:footer="0" w:header="0"/>
        </w:sectPr>
      </w:pPr>
    </w:p>
    <w:bookmarkStart w:id="7" w:name="page8"/>
    <w:bookmarkEnd w:id="7"/>
    <w:p>
      <w:pPr>
        <w:ind w:left="1260" w:right="4779" w:hanging="1271"/>
        <w:spacing w:after="0" w:line="247" w:lineRule="auto"/>
        <w:tabs>
          <w:tab w:leader="none" w:pos="12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9"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80"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CONTINUING OPERATIONS</w:t>
      </w:r>
    </w:p>
    <w:p>
      <w:pPr>
        <w:spacing w:after="0" w:line="179"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Net sales decreased $1,684,756, or 7.2%, in the first quarter of this fiscal year as compared to the same quarter a year ago, due to a decrease of $1,634,049 in Industrial segment sales and a decrease of $50,707 in Water Treatment segment sales. The Industrial segment decrease is mainly attributable to selling price decreases of a single, large-volume product (caustic soda), although partially offset by increased volumes in other product lines. The Water Treatment segment decrease is due mainly to lesser volumes.</w:t>
      </w:r>
    </w:p>
    <w:p>
      <w:pPr>
        <w:spacing w:after="0" w:line="179"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The gross margin, as a percentage of net sales, for the first quarter of fiscal 2000 was 23.0% compared to 22.3% for the same quarter one year ago. For the Industrial segment, gross margin, as a percentage of sales, was 19.6% for the first quarter of fiscal 2000 and 19.2% for the first quarter of fiscal 1999. This increase is mainly due to the selling price of caustic soda, where both the selling price and cost of the product had decreased from one year ago. The demand for this product does not fluctuate materially as the cost and selling price increases or decreases. The Company has generally been able to, and expects to continue to, adjust its selling prices as the cost of materials and other expenses change, thereby maintaining relatively stable dollar gross margins. Gross margin, as a percentage of sales, for the Water Treatment segment was 31.0% for the quarter ended December 31, 1999 compared to 30.2% in the comparable quarter one year ago. This increase is due mainly to increased profit margins in various product lines.</w:t>
      </w:r>
    </w:p>
    <w:p>
      <w:pPr>
        <w:spacing w:after="0" w:line="182"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Selling, general and administrative expenses, as a percentage of net sales, for the first quarter of fiscal 2000 was 11.8% compared to 10.8% for the same quarter one year ago, an increase of 1.8%, or $45,342, from the prior period. The increase was mainly due to increased employee compensation and benefits, which comprise the majority of the selling, general and administrative expenditures. Most of the remaining expenses in this category are fixed in nature and vary only slightly with sales fluctuations.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42" w:right="1440" w:bottom="1440" w:gutter="0" w:footer="0" w:header="0"/>
        </w:sectPr>
      </w:pPr>
    </w:p>
    <w:bookmarkStart w:id="8" w:name="page9"/>
    <w:bookmarkEnd w:id="8"/>
    <w:p>
      <w:pPr>
        <w:ind w:right="3159"/>
        <w:spacing w:after="0" w:line="246" w:lineRule="auto"/>
        <w:rPr>
          <w:sz w:val="20"/>
          <w:szCs w:val="20"/>
          <w:color w:val="auto"/>
        </w:rPr>
      </w:pPr>
      <w:r>
        <w:rPr>
          <w:rFonts w:ascii="Courier New" w:cs="Courier New" w:eastAsia="Courier New" w:hAnsi="Courier New"/>
          <w:sz w:val="15"/>
          <w:szCs w:val="15"/>
          <w:color w:val="auto"/>
        </w:rPr>
        <w:t>Income from operations decreased by $3,014,398 in the first quarter of fiscal 2000, compared to the first quarter of fiscal 1999. This decrease is primarily attributable to the amounts received from the Company's insurers during fiscal 1999 in connection with the 1995 fire at the Lynde Company, a former wholly owned subsidiary, cover substantially all of its related settlement and legal costs previously incurred in prior periods. Also contributing to the decrease was a reduction in sales as well as increased costs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79" w:lineRule="exact"/>
        <w:rPr>
          <w:sz w:val="20"/>
          <w:szCs w:val="20"/>
          <w:color w:val="auto"/>
        </w:rPr>
      </w:pPr>
    </w:p>
    <w:p>
      <w:pPr>
        <w:jc w:val="both"/>
        <w:ind w:right="3159"/>
        <w:spacing w:after="0" w:line="246" w:lineRule="auto"/>
        <w:rPr>
          <w:sz w:val="20"/>
          <w:szCs w:val="20"/>
          <w:color w:val="auto"/>
        </w:rPr>
      </w:pPr>
      <w:r>
        <w:rPr>
          <w:rFonts w:ascii="Courier New" w:cs="Courier New" w:eastAsia="Courier New" w:hAnsi="Courier New"/>
          <w:sz w:val="15"/>
          <w:szCs w:val="15"/>
          <w:color w:val="auto"/>
        </w:rPr>
        <w:t>Interest income increased by $6,294, or 2.2%, for the quarter ended December 31, 1999 compared to the same quarter one year ago. This increase is due to a higher rate of return earned on cash investments. Interest expense decreased slightly due to the decline in the outstanding amount of long-term debt.</w:t>
      </w:r>
    </w:p>
    <w:p>
      <w:pPr>
        <w:spacing w:after="0" w:line="2"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Other miscellaneous income decreased slightly, by $7,414, as compared to the same period in the previous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9"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For the first quarter ended December 31, 1999, cash provided by operations was $3,476,838 compared to $4,638,144 for the same period one-year ago. This decrease was due mainly to the decrease in net income and changes in certain current asset and liability accounts discussed in the next paragraph below. The decrease in net income is primarily due to the receipt in 1999 of amounts from the Company's insurers during fiscal 1999 in connection with the 1995 fire at the Lynde Company. During the three months ended December 31, 1999, the Company invested $2,392,445 in property and equipment additions, which included approximately $1,800,000 for a new building being constructed in St. Paul, Minnesota that will be occupied by both the Industrial and Water Treatment segments.</w:t>
      </w:r>
    </w:p>
    <w:p>
      <w:pPr>
        <w:spacing w:after="0" w:line="180"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Accounts receivable, inventories, and other current liabilities decreased during the first three months of fiscal 2000. Decreases in these accounts are typical for the first quarter of our fiscal year. Accounts payable increased due to amounts due for construction costs of the new building in St. Paul. Other current assets decreased due to prepayment that existed at October 3, 1999, for the new building. The Company did not issue any securities during the quarter ended December 31, 1999.</w:t>
      </w:r>
    </w:p>
    <w:p>
      <w:pPr>
        <w:spacing w:after="0" w:line="178"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During the quarter ended December 31, 1999, the Company acquired and retired 132,400 shares of common stock for an aggregate of $1,085,189.</w:t>
      </w:r>
    </w:p>
    <w:p>
      <w:pPr>
        <w:spacing w:after="0" w:line="174"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179"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Although management continually reviews opportunities to enhance the value of the Company through strategic acquisitions, other capital investments and strategic divestitures, no material commitments for such investments or divestitures currently exist, except that an additional amount of approximately $2.2 million has been committed for the construction of a facility in St. Paul on the Mississippi River. Until appropriate investment opportunities are identified, the Company will continue to invest excess cash in conservative investments. Cash equivalents include all liquid debt instruments (primarily cash funds and certificates of deposit) purchased with an original maturity of three months or less. Cash equivalents are carried at cost, which approximates market value. Investments classified as available-for-sale securities consist of insurance contracts and variable rate marketable securities (primarily municipal bonds and</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42" w:right="1440" w:bottom="1440" w:gutter="0" w:footer="0" w:header="0"/>
        </w:sectPr>
      </w:pPr>
    </w:p>
    <w:bookmarkStart w:id="9" w:name="page10"/>
    <w:bookmarkEnd w:id="9"/>
    <w:p>
      <w:pPr>
        <w:ind w:right="3779"/>
        <w:spacing w:after="0" w:line="246" w:lineRule="auto"/>
        <w:rPr>
          <w:sz w:val="20"/>
          <w:szCs w:val="20"/>
          <w:color w:val="auto"/>
        </w:rPr>
      </w:pPr>
      <w:r>
        <w:rPr>
          <w:rFonts w:ascii="Courier New" w:cs="Courier New" w:eastAsia="Courier New" w:hAnsi="Courier New"/>
          <w:sz w:val="15"/>
          <w:szCs w:val="15"/>
          <w:color w:val="auto"/>
        </w:rPr>
        <w:t>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177"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Other than as discussed above, management is not aware of any matters that have materially affected the first three months of fiscal 2000, or are expected to materially affect future periods, nor is management aware of other matters not affecting this period that are expected to materially affect future periods.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9"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As of the date of this filing, the Company has experienced no significant problems related to Year 2000 issues. The Company upgraded or replaced many of its information technology (IT) systems and infrastructure in the ordinary course of business over the last three years, including the upgrade of its primary IT systems, IT infrastructure and security systems and the replacement of its telephone, voicemail and time keeping systems, in each case with Y2K compliant systems. The aggregate amount the Company spent on these replacements and upgrades was approximately $610,000 as of December 31, 1999. The Company does not expect to incur any significant further expenses specifically related to the Y2K issue, although it will continue to maintain, upgrade and replace its IT and related systems as needed in the ordinary course of business. Further, as of the date of this filing, the Company has incurred no additional related expenses and has not experienced any operating problems or product failures as a result of Year 2000 issues with its vendors, service providers or customers.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9"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At December 31, 1999, the Company had an investment portfolio of fixed income securities of $2,179,226, excluding $20,660,853 of those classified as cash and cash equivalents and variable rate securities.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9"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the FASB issued SFAS No. 137 delaying the effective date of SFAS No.</w:t>
      </w:r>
    </w:p>
    <w:p>
      <w:pPr>
        <w:spacing w:after="0" w:line="4"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133 for one year to fiscal years beginning after June 15, 2000, with earlier adoption encouraged. Management has not yet determined the effects SFAS No. 133 will have on its financial position or the results of its operations. The Company will be required to adopt SFAS No. 133 in fiscal 2001.</w:t>
      </w: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42" w:right="1440" w:bottom="1440" w:gutter="0" w:footer="0" w:header="0"/>
        </w:sectPr>
      </w:pPr>
    </w:p>
    <w:bookmarkStart w:id="10" w:name="page11"/>
    <w:bookmarkEnd w:id="10"/>
    <w:p>
      <w:pPr>
        <w:ind w:left="2440"/>
        <w:spacing w:after="0"/>
        <w:rPr>
          <w:sz w:val="20"/>
          <w:szCs w:val="20"/>
          <w:color w:val="auto"/>
        </w:rPr>
      </w:pPr>
      <w:r>
        <w:rPr>
          <w:rFonts w:ascii="Courier New" w:cs="Courier New" w:eastAsia="Courier New" w:hAnsi="Courier New"/>
          <w:sz w:val="15"/>
          <w:szCs w:val="15"/>
          <w:color w:val="auto"/>
        </w:rPr>
        <w:t>PART II. OTHER INFORMATION</w:t>
      </w:r>
    </w:p>
    <w:p>
      <w:pPr>
        <w:spacing w:after="0" w:line="17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79" w:lineRule="exact"/>
        <w:rPr>
          <w:sz w:val="20"/>
          <w:szCs w:val="20"/>
          <w:color w:val="auto"/>
        </w:rPr>
      </w:pPr>
    </w:p>
    <w:p>
      <w:pPr>
        <w:jc w:val="both"/>
        <w:ind w:right="3159"/>
        <w:spacing w:after="0" w:line="246" w:lineRule="auto"/>
        <w:rPr>
          <w:sz w:val="20"/>
          <w:szCs w:val="20"/>
          <w:color w:val="auto"/>
        </w:rPr>
      </w:pPr>
      <w:r>
        <w:rPr>
          <w:rFonts w:ascii="Courier New" w:cs="Courier New" w:eastAsia="Courier New" w:hAnsi="Courier New"/>
          <w:sz w:val="15"/>
          <w:szCs w:val="15"/>
          <w:color w:val="auto"/>
        </w:rPr>
        <w:t>As of the date of this filing, the Registrant was not involved in any pending legal proceedings other than ordinary routine litigation incidental to their business, except as follows:</w:t>
      </w:r>
    </w:p>
    <w:p>
      <w:pPr>
        <w:spacing w:after="0" w:line="176" w:lineRule="exact"/>
        <w:rPr>
          <w:sz w:val="20"/>
          <w:szCs w:val="20"/>
          <w:color w:val="auto"/>
        </w:rPr>
      </w:pPr>
    </w:p>
    <w:p>
      <w:pPr>
        <w:ind w:left="440" w:right="2879"/>
        <w:spacing w:after="0" w:line="246" w:lineRule="auto"/>
        <w:rPr>
          <w:sz w:val="20"/>
          <w:szCs w:val="20"/>
          <w:color w:val="auto"/>
        </w:rPr>
      </w:pPr>
      <w:r>
        <w:rPr>
          <w:rFonts w:ascii="Courier New" w:cs="Courier New" w:eastAsia="Courier New" w:hAnsi="Courier New"/>
          <w:sz w:val="15"/>
          <w:szCs w:val="15"/>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In October 1998 the Company obtained a judgment against its primary and umbrella insurers obligating both insurers to defend the Company in connection with the Cooksey lawsuit. The two insurers subsequently settled with the Company by reimbursing it for substantially all amounts incurred in defending and settling the Cooksey action. Less than 20 claimants remain who have not yet resolved their claims under the Settlement Agreement. The Registrant anticipates that the defense and payment of these remaining claims, which are subject to arbitration, will be covered by its umbrella insurer.</w:t>
      </w:r>
    </w:p>
    <w:p>
      <w:pPr>
        <w:spacing w:after="0" w:line="35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42" w:right="1440" w:bottom="1440" w:gutter="0" w:footer="0" w:header="0"/>
        </w:sectPr>
      </w:pPr>
    </w:p>
    <w:bookmarkStart w:id="11" w:name="page12"/>
    <w:bookmarkEnd w:id="11"/>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79" w:lineRule="exact"/>
        <w:rPr>
          <w:sz w:val="20"/>
          <w:szCs w:val="20"/>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4" w:lineRule="exact"/>
        <w:rPr>
          <w:rFonts w:ascii="Courier New" w:cs="Courier New" w:eastAsia="Courier New" w:hAnsi="Courier New"/>
          <w:sz w:val="15"/>
          <w:szCs w:val="15"/>
          <w:color w:val="auto"/>
        </w:rPr>
      </w:pPr>
    </w:p>
    <w:p>
      <w:pPr>
        <w:ind w:left="447" w:right="28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included with this Quarterly Report on Form 10-Q (or incorporated by reference) as required by Item 601 of Regulation S-K.</w:t>
      </w:r>
    </w:p>
    <w:p>
      <w:pPr>
        <w:sectPr>
          <w:pgSz w:w="11900" w:h="16838" w:orient="portrait"/>
          <w:cols w:equalWidth="0" w:num="1">
            <w:col w:w="10146"/>
          </w:cols>
          <w:pgMar w:left="313"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2647" w:space="720"/>
            <w:col w:w="6779"/>
          </w:cols>
          <w:pgMar w:left="313" w:top="642" w:right="1440" w:bottom="1440" w:gutter="0" w:footer="0" w:header="0"/>
          <w:type w:val="continuous"/>
        </w:sectPr>
      </w:pPr>
    </w:p>
    <w:p>
      <w:pPr>
        <w:jc w:val="center"/>
        <w:ind w:left="627"/>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ectPr>
          <w:pgSz w:w="11900" w:h="16838" w:orient="portrait"/>
          <w:cols w:equalWidth="0" w:num="2">
            <w:col w:w="2647" w:space="720"/>
            <w:col w:w="6779"/>
          </w:cols>
          <w:pgMar w:left="313" w:top="642" w:right="1440" w:bottom="1440" w:gutter="0" w:footer="0" w:header="0"/>
          <w:type w:val="continuous"/>
        </w:sectPr>
      </w:pPr>
    </w:p>
    <w:p>
      <w:pPr>
        <w:spacing w:after="0" w:line="154" w:lineRule="exact"/>
        <w:rPr>
          <w:sz w:val="20"/>
          <w:szCs w:val="20"/>
          <w:color w:val="auto"/>
        </w:rPr>
      </w:pPr>
    </w:p>
    <w:p>
      <w:pPr>
        <w:ind w:left="367" w:hanging="367"/>
        <w:spacing w:after="0"/>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9" w:lineRule="exact"/>
        <w:rPr>
          <w:rFonts w:ascii="Courier New" w:cs="Courier New" w:eastAsia="Courier New" w:hAnsi="Courier New"/>
          <w:sz w:val="15"/>
          <w:szCs w:val="15"/>
          <w:color w:val="auto"/>
        </w:rPr>
      </w:pPr>
    </w:p>
    <w:p>
      <w:pPr>
        <w:ind w:left="36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fiscal quarter ended DECEMBER 31, 1999.</w:t>
      </w:r>
    </w:p>
    <w:p>
      <w:pPr>
        <w:spacing w:after="0" w:line="349"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SIGNATURE</w:t>
      </w:r>
    </w:p>
    <w:p>
      <w:pPr>
        <w:spacing w:after="0" w:line="179" w:lineRule="exact"/>
        <w:rPr>
          <w:sz w:val="20"/>
          <w:szCs w:val="20"/>
          <w:color w:val="auto"/>
        </w:rPr>
      </w:pPr>
    </w:p>
    <w:p>
      <w:pPr>
        <w:jc w:val="both"/>
        <w:ind w:left="7" w:right="3599"/>
        <w:spacing w:after="0" w:line="246"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HAWKINS CHEMICAL, INC.</w:t>
      </w:r>
    </w:p>
    <w:p>
      <w:pPr>
        <w:spacing w:after="0" w:line="354" w:lineRule="exact"/>
        <w:rPr>
          <w:sz w:val="20"/>
          <w:szCs w:val="20"/>
          <w:color w:val="auto"/>
        </w:rPr>
      </w:pPr>
    </w:p>
    <w:p>
      <w:pPr>
        <w:ind w:left="3367"/>
        <w:spacing w:after="0"/>
        <w:tabs>
          <w:tab w:leader="none" w:pos="3706" w:val="left"/>
          <w:tab w:leader="none" w:pos="4166" w:val="left"/>
        </w:tabs>
        <w:rPr>
          <w:sz w:val="20"/>
          <w:szCs w:val="20"/>
          <w:color w:val="auto"/>
        </w:rPr>
      </w:pPr>
      <w:r>
        <w:rPr>
          <w:rFonts w:ascii="Courier New" w:cs="Courier New" w:eastAsia="Courier New" w:hAnsi="Courier New"/>
          <w:sz w:val="15"/>
          <w:szCs w:val="15"/>
          <w:color w:val="auto"/>
        </w:rPr>
        <w:t>By</w:t>
        <w:tab/>
        <w:t>/s/</w:t>
        <w:tab/>
        <w:t>Marvin E. Dee</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Marvin E. Dee, Vice President, Chief</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Financial Officer, Secretary, Treasurer</w:t>
      </w:r>
    </w:p>
    <w:p>
      <w:pPr>
        <w:spacing w:after="0" w:line="354" w:lineRule="exact"/>
        <w:rPr>
          <w:sz w:val="20"/>
          <w:szCs w:val="20"/>
          <w:color w:val="auto"/>
        </w:rPr>
      </w:pPr>
    </w:p>
    <w:p>
      <w:pPr>
        <w:ind w:left="7"/>
        <w:spacing w:after="0"/>
        <w:tabs>
          <w:tab w:leader="none" w:pos="706" w:val="left"/>
        </w:tabs>
        <w:rPr>
          <w:sz w:val="20"/>
          <w:szCs w:val="20"/>
          <w:color w:val="auto"/>
        </w:rPr>
      </w:pPr>
      <w:r>
        <w:rPr>
          <w:rFonts w:ascii="Courier New" w:cs="Courier New" w:eastAsia="Courier New" w:hAnsi="Courier New"/>
          <w:sz w:val="15"/>
          <w:szCs w:val="15"/>
          <w:color w:val="auto"/>
        </w:rPr>
        <w:t>Dated:</w:t>
        <w:tab/>
        <w:t>February 14, 2000</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46"/>
          </w:cols>
          <w:pgMar w:left="313" w:top="642" w:right="1440" w:bottom="1440" w:gutter="0" w:footer="0" w:header="0"/>
          <w:type w:val="continuous"/>
        </w:sectPr>
      </w:pPr>
    </w:p>
    <w:bookmarkStart w:id="12" w:name="page13"/>
    <w:bookmarkEnd w:id="12"/>
    <w:p>
      <w:pPr>
        <w:ind w:left="3080"/>
        <w:spacing w:after="0"/>
        <w:rPr>
          <w:sz w:val="20"/>
          <w:szCs w:val="20"/>
          <w:color w:val="auto"/>
        </w:rPr>
      </w:pPr>
      <w:r>
        <w:rPr>
          <w:rFonts w:ascii="Courier New" w:cs="Courier New" w:eastAsia="Courier New" w:hAnsi="Courier New"/>
          <w:sz w:val="15"/>
          <w:szCs w:val="15"/>
          <w:color w:val="auto"/>
        </w:rPr>
        <w:t>EXHIBIT INDEX</w:t>
      </w:r>
    </w:p>
    <w:p>
      <w:pPr>
        <w:spacing w:after="0" w:line="179" w:lineRule="exact"/>
        <w:rPr>
          <w:sz w:val="20"/>
          <w:szCs w:val="20"/>
          <w:color w:val="auto"/>
        </w:rPr>
      </w:pPr>
    </w:p>
    <w:p>
      <w:pPr>
        <w:ind w:right="3339"/>
        <w:spacing w:after="0" w:line="247" w:lineRule="auto"/>
        <w:rPr>
          <w:sz w:val="20"/>
          <w:szCs w:val="20"/>
          <w:color w:val="auto"/>
        </w:rPr>
      </w:pPr>
      <w:r>
        <w:rPr>
          <w:rFonts w:ascii="Courier New" w:cs="Courier New" w:eastAsia="Courier New" w:hAnsi="Courier New"/>
          <w:sz w:val="15"/>
          <w:szCs w:val="15"/>
          <w:color w:val="auto"/>
        </w:rPr>
        <w:t>The following exhibits are included with this Quarterly Report on Form 10-Q (or incorporated by reference) as required by Item 601 of Regulation S-K.</w:t>
      </w:r>
    </w:p>
    <w:p>
      <w:pPr>
        <w:sectPr>
          <w:pgSz w:w="11900" w:h="16838" w:orient="portrait"/>
          <w:cols w:equalWidth="0" w:num="1">
            <w:col w:w="10139"/>
          </w:cols>
          <w:pgMar w:left="320"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0" w:firstLine="182"/>
        <w:spacing w:after="0" w:line="247" w:lineRule="auto"/>
        <w:rPr>
          <w:sz w:val="20"/>
          <w:szCs w:val="20"/>
          <w:color w:val="auto"/>
        </w:rPr>
      </w:pPr>
      <w:r>
        <w:rPr>
          <w:rFonts w:ascii="Courier New" w:cs="Courier New" w:eastAsia="Courier New" w:hAnsi="Courier New"/>
          <w:sz w:val="15"/>
          <w:szCs w:val="15"/>
          <w:color w:val="auto"/>
        </w:rPr>
        <w:t>Exhibit 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Description of Exhibit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0" w:lineRule="exact"/>
        <w:rPr>
          <w:sz w:val="20"/>
          <w:szCs w:val="20"/>
          <w:color w:val="auto"/>
        </w:rPr>
      </w:pPr>
    </w:p>
    <w:p>
      <w:pPr>
        <w:sectPr>
          <w:pgSz w:w="11900" w:h="16838" w:orient="portrait"/>
          <w:cols w:equalWidth="0" w:num="3">
            <w:col w:w="2440" w:space="360"/>
            <w:col w:w="5640" w:space="280"/>
            <w:col w:w="1419"/>
          </w:cols>
          <w:pgMar w:left="320" w:top="642" w:right="1440" w:bottom="1440" w:gutter="0" w:footer="0" w:header="0"/>
          <w:type w:val="continuous"/>
        </w:sectPr>
      </w:pPr>
    </w:p>
    <w:p>
      <w:pPr>
        <w:ind w:left="15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ectPr>
          <w:pgSz w:w="11900" w:h="16838" w:orient="portrait"/>
          <w:cols w:equalWidth="0" w:num="3">
            <w:col w:w="2080" w:space="720"/>
            <w:col w:w="5560" w:space="720"/>
            <w:col w:w="1059"/>
          </w:cols>
          <w:pgMar w:left="320" w:top="642" w:right="1440" w:bottom="1440" w:gutter="0" w:footer="0" w:header="0"/>
          <w:type w:val="continuous"/>
        </w:sect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42" w:right="1440" w:bottom="1440" w:gutter="0" w:footer="0" w:header="0"/>
          <w:type w:val="continuous"/>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3-MOS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OCT-01-2000</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OCT-04-1999</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3,771,277</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17,094,487</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10,621,656</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381,343</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8,296,004</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42,040,741</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36,860,318</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16,297,874</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68,117,267</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10,014,503</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226,003</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540,944</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55,588,770</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68,117,267</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21,626,369</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21,626,369</w:t>
      </w:r>
    </w:p>
    <w:p>
      <w:pPr>
        <w:spacing w:after="0" w:line="5"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16,654,017</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16,654,017</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7,561</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2,705,787</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1,066,100</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1,639,687</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1,639,687</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sectPr>
      <w:pgSz w:w="11900" w:h="16838" w:orient="portrait"/>
      <w:cols w:equalWidth="0" w:num="1">
        <w:col w:w="10059"/>
      </w:cols>
      <w:pgMar w:left="4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7"/>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2020-10-07T01:23:16Z</dcterms:created>
  <dcterms:modified xsi:type="dcterms:W3CDTF">2020-10-07T01:23:16Z</dcterms:modified>
</cp:coreProperties>
</file>