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137795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2006</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0" w:gutter="0" w:footer="0" w:header="0"/>
        </w:sectPr>
      </w:pPr>
    </w:p>
    <w:p>
      <w:pPr>
        <w:spacing w:after="0" w:line="368"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7320" w:space="720"/>
            <w:col w:w="3380"/>
          </w:cols>
          <w:pgMar w:left="240" w:top="239" w:right="239" w:bottom="0" w:gutter="0" w:footer="0" w:header="0"/>
          <w:type w:val="continuous"/>
        </w:sectPr>
      </w:pPr>
    </w:p>
    <w:p>
      <w:pPr>
        <w:ind w:left="18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2">
            <w:col w:w="6580" w:space="720"/>
            <w:col w:w="4120"/>
          </w:cols>
          <w:pgMar w:left="240" w:top="239" w:right="239" w:bottom="0" w:gutter="0" w:footer="0" w:header="0"/>
          <w:type w:val="continuous"/>
        </w:sectPr>
      </w:pP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ind w:right="-19"/>
        <w:spacing w:after="0"/>
        <w:tabs>
          <w:tab w:leader="none" w:pos="300" w:val="left"/>
        </w:tabs>
        <w:rPr>
          <w:sz w:val="20"/>
          <w:szCs w:val="20"/>
          <w:color w:val="auto"/>
        </w:rPr>
      </w:pPr>
      <w:r>
        <w:rPr>
          <w:rFonts w:ascii="Arial" w:cs="Arial" w:eastAsia="Arial" w:hAnsi="Arial"/>
          <w:sz w:val="22"/>
          <w:szCs w:val="22"/>
          <w:color w:val="auto"/>
        </w:rPr>
        <w:t>YES x</w:t>
        <w:tab/>
        <w:t>NO o</w:t>
      </w:r>
    </w:p>
    <w:p>
      <w:pPr>
        <w:spacing w:after="0" w:line="206"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pacing w:after="0" w:line="349" w:lineRule="exact"/>
        <w:rPr>
          <w:sz w:val="24"/>
          <w:szCs w:val="24"/>
          <w:color w:val="auto"/>
        </w:rPr>
      </w:pPr>
    </w:p>
    <w:p>
      <w:pPr>
        <w:ind w:left="1240"/>
        <w:spacing w:after="0"/>
        <w:tabs>
          <w:tab w:leader="none" w:pos="4800" w:val="left"/>
          <w:tab w:leader="none" w:pos="7900" w:val="left"/>
        </w:tabs>
        <w:rPr>
          <w:sz w:val="20"/>
          <w:szCs w:val="20"/>
          <w:color w:val="auto"/>
        </w:rPr>
      </w:pPr>
      <w:r>
        <w:rPr>
          <w:rFonts w:ascii="Arial" w:cs="Arial" w:eastAsia="Arial" w:hAnsi="Arial"/>
          <w:sz w:val="22"/>
          <w:szCs w:val="22"/>
          <w:color w:val="auto"/>
        </w:rPr>
        <w:t>Large Accelerated Filer  o</w:t>
      </w:r>
      <w:r>
        <w:rPr>
          <w:sz w:val="20"/>
          <w:szCs w:val="20"/>
          <w:color w:val="auto"/>
        </w:rPr>
        <w:tab/>
      </w:r>
      <w:r>
        <w:rPr>
          <w:rFonts w:ascii="Arial" w:cs="Arial" w:eastAsia="Arial" w:hAnsi="Arial"/>
          <w:sz w:val="22"/>
          <w:szCs w:val="22"/>
          <w:color w:val="auto"/>
        </w:rPr>
        <w:t>Accelerated Filer  x</w:t>
      </w:r>
      <w:r>
        <w:rPr>
          <w:sz w:val="20"/>
          <w:szCs w:val="20"/>
          <w:color w:val="auto"/>
        </w:rPr>
        <w:tab/>
      </w:r>
      <w:r>
        <w:rPr>
          <w:rFonts w:ascii="Arial" w:cs="Arial" w:eastAsia="Arial" w:hAnsi="Arial"/>
          <w:sz w:val="19"/>
          <w:szCs w:val="19"/>
          <w:color w:val="auto"/>
        </w:rPr>
        <w:t>Non-Accelerated Filer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233" w:lineRule="exact"/>
        <w:rPr>
          <w:sz w:val="24"/>
          <w:szCs w:val="24"/>
          <w:color w:val="auto"/>
        </w:rPr>
      </w:pPr>
    </w:p>
    <w:p>
      <w:pPr>
        <w:ind w:left="4980"/>
        <w:spacing w:after="0"/>
        <w:tabs>
          <w:tab w:leader="none" w:pos="5900" w:val="left"/>
        </w:tabs>
        <w:rPr>
          <w:sz w:val="20"/>
          <w:szCs w:val="20"/>
          <w:color w:val="auto"/>
        </w:rPr>
      </w:pPr>
      <w:r>
        <w:rPr>
          <w:rFonts w:ascii="Arial" w:cs="Arial" w:eastAsia="Arial" w:hAnsi="Arial"/>
          <w:sz w:val="22"/>
          <w:szCs w:val="22"/>
          <w:color w:val="auto"/>
        </w:rPr>
        <w:t>YES o</w:t>
        <w:tab/>
        <w:t>NO x</w:t>
      </w:r>
    </w:p>
    <w:p>
      <w:pPr>
        <w:spacing w:after="0" w:line="16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4960" w:type="dxa"/>
            <w:vAlign w:val="bottom"/>
            <w:tcBorders>
              <w:bottom w:val="single" w:sz="8" w:color="auto"/>
            </w:tcBorders>
          </w:tcPr>
          <w:p>
            <w:pPr>
              <w:jc w:val="center"/>
              <w:ind w:right="22"/>
              <w:spacing w:after="0"/>
              <w:rPr>
                <w:sz w:val="20"/>
                <w:szCs w:val="20"/>
                <w:color w:val="auto"/>
              </w:rPr>
            </w:pPr>
            <w:r>
              <w:rPr>
                <w:rFonts w:ascii="Arial" w:cs="Arial" w:eastAsia="Arial" w:hAnsi="Arial"/>
                <w:sz w:val="18"/>
                <w:szCs w:val="18"/>
                <w:color w:val="auto"/>
                <w:w w:val="94"/>
              </w:rPr>
              <w:t>CLASS</w:t>
            </w:r>
          </w:p>
        </w:tc>
        <w:tc>
          <w:tcPr>
            <w:tcW w:w="4760" w:type="dxa"/>
            <w:vAlign w:val="bottom"/>
            <w:tcBorders>
              <w:bottom w:val="single" w:sz="8" w:color="auto"/>
            </w:tcBorders>
          </w:tcPr>
          <w:p>
            <w:pPr>
              <w:jc w:val="center"/>
              <w:ind w:right="2"/>
              <w:spacing w:after="0"/>
              <w:rPr>
                <w:sz w:val="20"/>
                <w:szCs w:val="20"/>
                <w:color w:val="auto"/>
              </w:rPr>
            </w:pPr>
            <w:r>
              <w:rPr>
                <w:rFonts w:ascii="Arial" w:cs="Arial" w:eastAsia="Arial" w:hAnsi="Arial"/>
                <w:sz w:val="18"/>
                <w:szCs w:val="18"/>
                <w:color w:val="auto"/>
                <w:w w:val="93"/>
              </w:rPr>
              <w:t>OUTSTANDING AT NOVEMBER 9, 2006</w:t>
            </w:r>
          </w:p>
        </w:tc>
        <w:tc>
          <w:tcPr>
            <w:tcW w:w="840" w:type="dxa"/>
            <w:vAlign w:val="bottom"/>
          </w:tcPr>
          <w:p>
            <w:pPr>
              <w:spacing w:after="0"/>
              <w:rPr>
                <w:sz w:val="19"/>
                <w:szCs w:val="19"/>
                <w:color w:val="auto"/>
              </w:rPr>
            </w:pPr>
          </w:p>
        </w:tc>
      </w:tr>
      <w:tr>
        <w:trPr>
          <w:trHeight w:val="269"/>
        </w:trPr>
        <w:tc>
          <w:tcPr>
            <w:tcW w:w="860" w:type="dxa"/>
            <w:vAlign w:val="bottom"/>
          </w:tcPr>
          <w:p>
            <w:pPr>
              <w:spacing w:after="0"/>
              <w:rPr>
                <w:sz w:val="23"/>
                <w:szCs w:val="23"/>
                <w:color w:val="auto"/>
              </w:rPr>
            </w:pPr>
          </w:p>
        </w:tc>
        <w:tc>
          <w:tcPr>
            <w:tcW w:w="4960" w:type="dxa"/>
            <w:vAlign w:val="bottom"/>
          </w:tcPr>
          <w:p>
            <w:pPr>
              <w:jc w:val="center"/>
              <w:ind w:right="22"/>
              <w:spacing w:after="0"/>
              <w:rPr>
                <w:sz w:val="20"/>
                <w:szCs w:val="20"/>
                <w:color w:val="auto"/>
              </w:rPr>
            </w:pPr>
            <w:r>
              <w:rPr>
                <w:rFonts w:ascii="Arial" w:cs="Arial" w:eastAsia="Arial" w:hAnsi="Arial"/>
                <w:sz w:val="22"/>
                <w:szCs w:val="22"/>
                <w:color w:val="auto"/>
                <w:w w:val="87"/>
              </w:rPr>
              <w:t>Common Stock, par value $.05 per share</w:t>
            </w:r>
          </w:p>
        </w:tc>
        <w:tc>
          <w:tcPr>
            <w:tcW w:w="4760" w:type="dxa"/>
            <w:vAlign w:val="bottom"/>
          </w:tcPr>
          <w:p>
            <w:pPr>
              <w:jc w:val="right"/>
              <w:ind w:right="1842"/>
              <w:spacing w:after="0"/>
              <w:rPr>
                <w:sz w:val="20"/>
                <w:szCs w:val="20"/>
                <w:color w:val="auto"/>
              </w:rPr>
            </w:pPr>
            <w:r>
              <w:rPr>
                <w:rFonts w:ascii="Arial" w:cs="Arial" w:eastAsia="Arial" w:hAnsi="Arial"/>
                <w:sz w:val="22"/>
                <w:szCs w:val="22"/>
                <w:color w:val="auto"/>
              </w:rPr>
              <w:t>10,171,496</w:t>
            </w:r>
          </w:p>
        </w:tc>
        <w:tc>
          <w:tcPr>
            <w:tcW w:w="840" w:type="dxa"/>
            <w:vAlign w:val="bottom"/>
          </w:tcPr>
          <w:p>
            <w:pPr>
              <w:spacing w:after="0"/>
              <w:rPr>
                <w:sz w:val="23"/>
                <w:szCs w:val="23"/>
                <w:color w:val="auto"/>
              </w:rPr>
            </w:pPr>
          </w:p>
        </w:tc>
      </w:tr>
      <w:tr>
        <w:trPr>
          <w:trHeight w:val="644"/>
        </w:trPr>
        <w:tc>
          <w:tcPr>
            <w:tcW w:w="8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8"/>
        </w:trPr>
        <w:tc>
          <w:tcPr>
            <w:tcW w:w="86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75"/>
        </w:trPr>
        <w:tc>
          <w:tcPr>
            <w:tcW w:w="8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195" w:lineRule="exact"/>
        <w:rPr>
          <w:sz w:val="24"/>
          <w:szCs w:val="24"/>
          <w:color w:val="auto"/>
        </w:rPr>
      </w:pPr>
    </w:p>
    <w:p>
      <w:pPr>
        <w:ind w:left="10800"/>
        <w:spacing w:after="0"/>
        <w:rPr>
          <w:sz w:val="20"/>
          <w:szCs w:val="20"/>
          <w:color w:val="auto"/>
        </w:rPr>
      </w:pPr>
      <w:r>
        <w:rPr>
          <w:rFonts w:ascii="Arial" w:cs="Arial" w:eastAsia="Arial" w:hAnsi="Arial"/>
          <w:sz w:val="18"/>
          <w:szCs w:val="18"/>
          <w:b w:val="1"/>
          <w:bCs w:val="1"/>
          <w:color w:val="auto"/>
        </w:rPr>
        <w:t>Page</w:t>
      </w:r>
    </w:p>
    <w:p>
      <w:pPr>
        <w:spacing w:after="0" w:line="21"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51" w:lineRule="exact"/>
        <w:rPr>
          <w:sz w:val="24"/>
          <w:szCs w:val="24"/>
          <w:color w:val="auto"/>
        </w:rPr>
      </w:pPr>
    </w:p>
    <w:p>
      <w:pPr>
        <w:spacing w:after="0"/>
        <w:tabs>
          <w:tab w:leader="none" w:pos="106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2">
        <w:r>
          <w:rPr>
            <w:rFonts w:ascii="Arial" w:cs="Arial" w:eastAsia="Arial" w:hAnsi="Arial"/>
            <w:sz w:val="15"/>
            <w:szCs w:val="15"/>
            <w:u w:val="single" w:color="auto"/>
            <w:color w:val="0000EE"/>
          </w:rPr>
          <w:t>Financial Statements:</w:t>
        </w:r>
      </w:hyperlink>
    </w:p>
    <w:p>
      <w:pPr>
        <w:spacing w:after="0" w:line="135"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4760" w:type="dxa"/>
            <w:vAlign w:val="bottom"/>
            <w:tcBorders>
              <w:bottom w:val="single" w:sz="8" w:color="0000EE"/>
            </w:tcBorders>
          </w:tcPr>
          <w:p>
            <w:pPr>
              <w:spacing w:after="0"/>
              <w:rPr>
                <w:rFonts w:ascii="Arial" w:cs="Arial" w:eastAsia="Arial" w:hAnsi="Arial"/>
                <w:sz w:val="18"/>
                <w:szCs w:val="18"/>
                <w:color w:val="0000EE"/>
                <w:w w:val="86"/>
              </w:rPr>
            </w:pPr>
            <w:hyperlink w:anchor="page2">
              <w:r>
                <w:rPr>
                  <w:rFonts w:ascii="Arial" w:cs="Arial" w:eastAsia="Arial" w:hAnsi="Arial"/>
                  <w:sz w:val="18"/>
                  <w:szCs w:val="18"/>
                  <w:color w:val="0000EE"/>
                  <w:w w:val="86"/>
                </w:rPr>
                <w:t>Condensed Balance Sheets – September 30, 2006 and April 2, 2006</w:t>
              </w:r>
            </w:hyperlink>
          </w:p>
        </w:tc>
        <w:tc>
          <w:tcPr>
            <w:tcW w:w="51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3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Statements of Income - Three and Six Months Ended September 30, 2006 and 2005</w:t>
              </w:r>
            </w:hyperlink>
          </w:p>
        </w:tc>
        <w:tc>
          <w:tcPr>
            <w:tcW w:w="1540" w:type="dxa"/>
            <w:vAlign w:val="bottom"/>
          </w:tcPr>
          <w:p>
            <w:pPr>
              <w:spacing w:after="0"/>
              <w:rPr>
                <w:sz w:val="17"/>
                <w:szCs w:val="17"/>
                <w:color w:val="auto"/>
              </w:rPr>
            </w:pPr>
          </w:p>
        </w:tc>
        <w:tc>
          <w:tcPr>
            <w:tcW w:w="1720" w:type="dxa"/>
            <w:vAlign w:val="bottom"/>
          </w:tcPr>
          <w:p>
            <w:pPr>
              <w:jc w:val="center"/>
              <w:ind w:left="1472"/>
              <w:spacing w:after="0"/>
              <w:rPr>
                <w:sz w:val="20"/>
                <w:szCs w:val="20"/>
                <w:color w:val="auto"/>
              </w:rPr>
            </w:pPr>
            <w:r>
              <w:rPr>
                <w:rFonts w:ascii="Arial" w:cs="Arial" w:eastAsia="Arial" w:hAnsi="Arial"/>
                <w:sz w:val="18"/>
                <w:szCs w:val="18"/>
                <w:color w:val="auto"/>
                <w:w w:val="79"/>
              </w:rPr>
              <w:t>4</w:t>
            </w:r>
          </w:p>
        </w:tc>
      </w:tr>
      <w:tr>
        <w:trPr>
          <w:trHeight w:val="345"/>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Cash Flows - Six Months Ended September 30, 2006 and 2005</w:t>
              </w:r>
            </w:hyperlink>
          </w:p>
        </w:tc>
        <w:tc>
          <w:tcPr>
            <w:tcW w:w="1720" w:type="dxa"/>
            <w:vAlign w:val="bottom"/>
          </w:tcPr>
          <w:p>
            <w:pPr>
              <w:jc w:val="center"/>
              <w:ind w:left="1472"/>
              <w:spacing w:after="0"/>
              <w:rPr>
                <w:sz w:val="20"/>
                <w:szCs w:val="20"/>
                <w:color w:val="auto"/>
              </w:rPr>
            </w:pPr>
            <w:r>
              <w:rPr>
                <w:rFonts w:ascii="Arial" w:cs="Arial" w:eastAsia="Arial" w:hAnsi="Arial"/>
                <w:sz w:val="18"/>
                <w:szCs w:val="18"/>
                <w:color w:val="auto"/>
                <w:w w:val="79"/>
              </w:rPr>
              <w:t>5</w:t>
            </w:r>
          </w:p>
        </w:tc>
      </w:tr>
      <w:tr>
        <w:trPr>
          <w:trHeight w:val="345"/>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Notes to Condensed Financial Statements</w:t>
              </w:r>
            </w:hyperlink>
          </w:p>
        </w:tc>
        <w:tc>
          <w:tcPr>
            <w:tcW w:w="3320" w:type="dxa"/>
            <w:vAlign w:val="bottom"/>
            <w:tcBorders>
              <w:top w:val="single" w:sz="8" w:color="0000EE"/>
            </w:tcBorders>
            <w:gridSpan w:val="3"/>
          </w:tcPr>
          <w:p>
            <w:pPr>
              <w:spacing w:after="0"/>
              <w:rPr>
                <w:sz w:val="24"/>
                <w:szCs w:val="24"/>
                <w:color w:val="auto"/>
              </w:rPr>
            </w:pPr>
          </w:p>
        </w:tc>
        <w:tc>
          <w:tcPr>
            <w:tcW w:w="2000" w:type="dxa"/>
            <w:vAlign w:val="bottom"/>
            <w:gridSpan w:val="3"/>
          </w:tcPr>
          <w:p>
            <w:pPr>
              <w:spacing w:after="0"/>
              <w:rPr>
                <w:sz w:val="24"/>
                <w:szCs w:val="24"/>
                <w:color w:val="auto"/>
              </w:rPr>
            </w:pPr>
          </w:p>
        </w:tc>
        <w:tc>
          <w:tcPr>
            <w:tcW w:w="1720" w:type="dxa"/>
            <w:vAlign w:val="bottom"/>
          </w:tcPr>
          <w:p>
            <w:pPr>
              <w:jc w:val="center"/>
              <w:ind w:left="1472"/>
              <w:spacing w:after="0"/>
              <w:rPr>
                <w:sz w:val="20"/>
                <w:szCs w:val="20"/>
                <w:color w:val="auto"/>
              </w:rPr>
            </w:pPr>
            <w:r>
              <w:rPr>
                <w:rFonts w:ascii="Arial" w:cs="Arial" w:eastAsia="Arial" w:hAnsi="Arial"/>
                <w:sz w:val="18"/>
                <w:szCs w:val="18"/>
                <w:color w:val="auto"/>
                <w:w w:val="79"/>
              </w:rPr>
              <w:t>6</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Management’s Discussion and Analysis of Financial Condition and Results of Operations</w:t>
              </w:r>
            </w:hyperlink>
          </w:p>
        </w:tc>
        <w:tc>
          <w:tcPr>
            <w:tcW w:w="1720" w:type="dxa"/>
            <w:vAlign w:val="bottom"/>
          </w:tcPr>
          <w:p>
            <w:pPr>
              <w:jc w:val="center"/>
              <w:ind w:left="1472"/>
              <w:spacing w:after="0"/>
              <w:rPr>
                <w:sz w:val="20"/>
                <w:szCs w:val="20"/>
                <w:color w:val="auto"/>
              </w:rPr>
            </w:pPr>
            <w:r>
              <w:rPr>
                <w:rFonts w:ascii="Arial" w:cs="Arial" w:eastAsia="Arial" w:hAnsi="Arial"/>
                <w:sz w:val="18"/>
                <w:szCs w:val="18"/>
                <w:color w:val="auto"/>
                <w:w w:val="79"/>
              </w:rPr>
              <w:t>8</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960" w:type="dxa"/>
            <w:vAlign w:val="bottom"/>
            <w:gridSpan w:val="2"/>
          </w:tcPr>
          <w:p>
            <w:pPr>
              <w:spacing w:after="0"/>
              <w:rPr>
                <w:sz w:val="24"/>
                <w:szCs w:val="24"/>
                <w:color w:val="auto"/>
              </w:rPr>
            </w:pPr>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9">
              <w:r>
                <w:rPr>
                  <w:rFonts w:ascii="Arial" w:cs="Arial" w:eastAsia="Arial" w:hAnsi="Arial"/>
                  <w:sz w:val="18"/>
                  <w:szCs w:val="18"/>
                  <w:color w:val="0000EE"/>
                  <w:w w:val="86"/>
                </w:rPr>
                <w:t>Controls and Procedures</w:t>
              </w:r>
            </w:hyperlink>
          </w:p>
        </w:tc>
        <w:tc>
          <w:tcPr>
            <w:tcW w:w="6520" w:type="dxa"/>
            <w:vAlign w:val="bottom"/>
            <w:gridSpan w:val="7"/>
          </w:tcPr>
          <w:p>
            <w:pPr>
              <w:spacing w:after="0"/>
              <w:rPr>
                <w:sz w:val="24"/>
                <w:szCs w:val="24"/>
                <w:color w:val="auto"/>
              </w:rPr>
            </w:pPr>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12</w:t>
            </w:r>
          </w:p>
        </w:tc>
      </w:tr>
      <w:tr>
        <w:trPr>
          <w:trHeight w:val="532"/>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260" w:type="dxa"/>
            <w:vAlign w:val="bottom"/>
            <w:gridSpan w:val="10"/>
          </w:tcPr>
          <w:p>
            <w:pPr>
              <w:spacing w:after="0"/>
              <w:rPr>
                <w:sz w:val="20"/>
                <w:szCs w:val="20"/>
                <w:color w:val="auto"/>
              </w:rPr>
            </w:pPr>
            <w:r>
              <w:rPr>
                <w:rFonts w:ascii="Arial" w:cs="Arial" w:eastAsia="Arial" w:hAnsi="Arial"/>
                <w:sz w:val="18"/>
                <w:szCs w:val="18"/>
                <w:b w:val="1"/>
                <w:bCs w:val="1"/>
                <w:color w:val="auto"/>
              </w:rPr>
              <w:t>OTHER INFORMATION</w:t>
            </w:r>
          </w:p>
        </w:tc>
        <w:tc>
          <w:tcPr>
            <w:tcW w:w="1720" w:type="dxa"/>
            <w:vAlign w:val="bottom"/>
          </w:tcPr>
          <w:p>
            <w:pPr>
              <w:spacing w:after="0"/>
              <w:rPr>
                <w:sz w:val="24"/>
                <w:szCs w:val="24"/>
                <w:color w:val="auto"/>
              </w:rPr>
            </w:pPr>
          </w:p>
        </w:tc>
      </w:tr>
      <w:tr>
        <w:trPr>
          <w:trHeight w:val="326"/>
        </w:trPr>
        <w:tc>
          <w:tcPr>
            <w:tcW w:w="10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360" w:type="dxa"/>
            <w:vAlign w:val="bottom"/>
            <w:gridSpan w:val="8"/>
          </w:tcPr>
          <w:p>
            <w:pPr>
              <w:spacing w:after="0"/>
              <w:rPr>
                <w:sz w:val="24"/>
                <w:szCs w:val="24"/>
                <w:color w:val="auto"/>
              </w:rPr>
            </w:pPr>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260" w:type="dxa"/>
            <w:vAlign w:val="bottom"/>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Submission of Matters to a Vote of Security Holders</w:t>
              </w:r>
            </w:hyperlink>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3680" w:type="dxa"/>
            <w:vAlign w:val="bottom"/>
            <w:tcBorders>
              <w:top w:val="single" w:sz="8" w:color="0000EE"/>
            </w:tcBorders>
            <w:gridSpan w:val="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Exhibits</w:t>
              </w:r>
            </w:hyperlink>
          </w:p>
        </w:tc>
        <w:tc>
          <w:tcPr>
            <w:tcW w:w="4580" w:type="dxa"/>
            <w:vAlign w:val="bottom"/>
            <w:gridSpan w:val="5"/>
          </w:tcPr>
          <w:p>
            <w:pPr>
              <w:spacing w:after="0"/>
              <w:rPr>
                <w:sz w:val="24"/>
                <w:szCs w:val="24"/>
                <w:color w:val="auto"/>
              </w:rPr>
            </w:pPr>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13</w:t>
            </w:r>
          </w:p>
        </w:tc>
      </w:tr>
      <w:tr>
        <w:trPr>
          <w:trHeight w:val="345"/>
        </w:trPr>
        <w:tc>
          <w:tcPr>
            <w:tcW w:w="1080" w:type="dxa"/>
            <w:vAlign w:val="bottom"/>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14</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45"/>
        </w:trPr>
        <w:tc>
          <w:tcPr>
            <w:tcW w:w="1080" w:type="dxa"/>
            <w:vAlign w:val="bottom"/>
            <w:gridSpan w:val="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jc w:val="center"/>
              <w:ind w:left="1452"/>
              <w:spacing w:after="0"/>
              <w:rPr>
                <w:sz w:val="20"/>
                <w:szCs w:val="20"/>
                <w:color w:val="auto"/>
              </w:rPr>
            </w:pPr>
            <w:r>
              <w:rPr>
                <w:rFonts w:ascii="Arial" w:cs="Arial" w:eastAsia="Arial" w:hAnsi="Arial"/>
                <w:sz w:val="18"/>
                <w:szCs w:val="18"/>
                <w:color w:val="auto"/>
                <w:w w:val="89"/>
              </w:rPr>
              <w:t>15</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APRIL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SEPTEMBER 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3"/>
              </w:rPr>
              <w:t>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(UNAUDITED)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STATEMENTS)</w:t>
            </w:r>
          </w:p>
        </w:tc>
        <w:tc>
          <w:tcPr>
            <w:tcW w:w="0" w:type="dxa"/>
            <w:vAlign w:val="bottom"/>
          </w:tcPr>
          <w:p>
            <w:pPr>
              <w:spacing w:after="0"/>
              <w:rPr>
                <w:sz w:val="1"/>
                <w:szCs w:val="1"/>
                <w:color w:val="auto"/>
              </w:rPr>
            </w:pPr>
          </w:p>
        </w:tc>
      </w:tr>
      <w:tr>
        <w:trPr>
          <w:trHeight w:val="194"/>
        </w:trPr>
        <w:tc>
          <w:tcPr>
            <w:tcW w:w="73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7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5,391,315</w:t>
            </w:r>
          </w:p>
        </w:tc>
        <w:tc>
          <w:tcPr>
            <w:tcW w:w="4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6,330,004</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Investments available-for-sale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13,858,844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14,167,047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Trade receivables - net</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16,703,276</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16,185,560</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14,662,633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10,449,671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1,599,019</w:t>
            </w:r>
          </w:p>
        </w:tc>
        <w:tc>
          <w:tcPr>
            <w:tcW w:w="3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2,314,458</w:t>
            </w:r>
          </w:p>
        </w:tc>
        <w:tc>
          <w:tcPr>
            <w:tcW w:w="2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line="202"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52,215,087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49,446,740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D6F3E8"/>
          </w:tcPr>
          <w:p>
            <w:pPr>
              <w:spacing w:after="0"/>
              <w:rPr>
                <w:sz w:val="20"/>
                <w:szCs w:val="20"/>
                <w:color w:val="auto"/>
              </w:rPr>
            </w:pPr>
            <w:r>
              <w:rPr>
                <w:rFonts w:ascii="Arial" w:cs="Arial" w:eastAsia="Arial" w:hAnsi="Arial"/>
                <w:sz w:val="18"/>
                <w:szCs w:val="18"/>
                <w:color w:val="auto"/>
              </w:rPr>
              <w:t>PROPERTY, PLANT AND EQUIPMENT – net</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35,479,455</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34,721,739</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380" w:type="dxa"/>
            <w:vAlign w:val="bottom"/>
            <w:gridSpan w:val="2"/>
          </w:tcPr>
          <w:p>
            <w:pPr>
              <w:spacing w:after="0"/>
              <w:rPr>
                <w:sz w:val="20"/>
                <w:szCs w:val="20"/>
                <w:color w:val="auto"/>
              </w:rPr>
            </w:pPr>
            <w:r>
              <w:rPr>
                <w:rFonts w:ascii="Arial" w:cs="Arial" w:eastAsia="Arial" w:hAnsi="Arial"/>
                <w:sz w:val="18"/>
                <w:szCs w:val="18"/>
                <w:color w:val="auto"/>
                <w:w w:val="92"/>
              </w:rPr>
              <w:t>INTANGIBLE ASSETS - less accumulated amortization of $1,530,900 and $1,418,491, respectively</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1,952,133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2,064,542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4,483,421</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5,658,341</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7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2,215,989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2,165,372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6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96,346,085</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94,056,734</w:t>
            </w:r>
          </w:p>
        </w:tc>
        <w:tc>
          <w:tcPr>
            <w:tcW w:w="28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6,660,068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8,695,396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2,240,041</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2,034,299</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Accrued payroll and employee benefits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4,227,899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4,426,356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2,895,710</w:t>
            </w:r>
          </w:p>
        </w:tc>
        <w:tc>
          <w:tcPr>
            <w:tcW w:w="3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2,411,676</w:t>
            </w:r>
          </w:p>
        </w:tc>
        <w:tc>
          <w:tcPr>
            <w:tcW w:w="2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00"/>
              <w:spacing w:after="0" w:line="202"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16,023,718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17,567,727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121,501</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127,644</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3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316,824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265,324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3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Common stock, par value $.05 per share; 10,171,496 shares issued and outstanding</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508,575</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508,575</w:t>
            </w:r>
          </w:p>
        </w:tc>
        <w:tc>
          <w:tcPr>
            <w:tcW w:w="2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37,056,103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37,056,103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(46,117)</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(125,754)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42,365,481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38,657,115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40" w:type="dxa"/>
            <w:vAlign w:val="bottom"/>
            <w:tcBorders>
              <w:top w:val="single" w:sz="8" w:color="D6F3E8"/>
            </w:tcBorders>
            <w:gridSpan w:val="2"/>
            <w:shd w:val="clear" w:color="auto" w:fill="D6F3E8"/>
          </w:tcPr>
          <w:p>
            <w:pPr>
              <w:ind w:left="4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D6F3E8"/>
            </w:tcBorders>
            <w:shd w:val="clear" w:color="auto" w:fill="D6F3E8"/>
          </w:tcPr>
          <w:p>
            <w:pPr>
              <w:spacing w:after="0"/>
              <w:rPr>
                <w:sz w:val="19"/>
                <w:szCs w:val="19"/>
                <w:color w:val="auto"/>
              </w:rPr>
            </w:pPr>
          </w:p>
        </w:tc>
        <w:tc>
          <w:tcPr>
            <w:tcW w:w="1120" w:type="dxa"/>
            <w:vAlign w:val="bottom"/>
            <w:tcBorders>
              <w:top w:val="single" w:sz="8" w:color="D6F3E8"/>
            </w:tcBorders>
            <w:shd w:val="clear" w:color="auto" w:fill="D6F3E8"/>
          </w:tcPr>
          <w:p>
            <w:pPr>
              <w:spacing w:after="0"/>
              <w:rPr>
                <w:sz w:val="19"/>
                <w:szCs w:val="19"/>
                <w:color w:val="auto"/>
              </w:rPr>
            </w:pPr>
          </w:p>
        </w:tc>
        <w:tc>
          <w:tcPr>
            <w:tcW w:w="200" w:type="dxa"/>
            <w:vAlign w:val="bottom"/>
            <w:tcBorders>
              <w:top w:val="single" w:sz="8" w:color="D6F3E8"/>
            </w:tcBorders>
            <w:shd w:val="clear" w:color="auto" w:fill="D6F3E8"/>
          </w:tcPr>
          <w:p>
            <w:pPr>
              <w:spacing w:after="0"/>
              <w:rPr>
                <w:sz w:val="19"/>
                <w:szCs w:val="19"/>
                <w:color w:val="auto"/>
              </w:rPr>
            </w:pPr>
          </w:p>
        </w:tc>
        <w:tc>
          <w:tcPr>
            <w:tcW w:w="180" w:type="dxa"/>
            <w:vAlign w:val="bottom"/>
            <w:tcBorders>
              <w:top w:val="single" w:sz="8" w:color="D6F3E8"/>
            </w:tcBorders>
            <w:shd w:val="clear" w:color="auto" w:fill="D6F3E8"/>
          </w:tcPr>
          <w:p>
            <w:pPr>
              <w:spacing w:after="0"/>
              <w:rPr>
                <w:sz w:val="19"/>
                <w:szCs w:val="19"/>
                <w:color w:val="auto"/>
              </w:rPr>
            </w:pPr>
          </w:p>
        </w:tc>
        <w:tc>
          <w:tcPr>
            <w:tcW w:w="260" w:type="dxa"/>
            <w:vAlign w:val="bottom"/>
            <w:tcBorders>
              <w:top w:val="single" w:sz="8" w:color="D6F3E8"/>
            </w:tcBorders>
            <w:shd w:val="clear" w:color="auto" w:fill="D6F3E8"/>
          </w:tcPr>
          <w:p>
            <w:pPr>
              <w:spacing w:after="0"/>
              <w:rPr>
                <w:sz w:val="19"/>
                <w:szCs w:val="19"/>
                <w:color w:val="auto"/>
              </w:rPr>
            </w:pPr>
          </w:p>
        </w:tc>
        <w:tc>
          <w:tcPr>
            <w:tcW w:w="300" w:type="dxa"/>
            <w:vAlign w:val="bottom"/>
            <w:tcBorders>
              <w:top w:val="single" w:sz="8" w:color="D6F3E8"/>
            </w:tcBorders>
            <w:shd w:val="clear" w:color="auto" w:fill="D6F3E8"/>
          </w:tcPr>
          <w:p>
            <w:pPr>
              <w:spacing w:after="0"/>
              <w:rPr>
                <w:sz w:val="19"/>
                <w:szCs w:val="19"/>
                <w:color w:val="auto"/>
              </w:rPr>
            </w:pPr>
          </w:p>
        </w:tc>
        <w:tc>
          <w:tcPr>
            <w:tcW w:w="540" w:type="dxa"/>
            <w:vAlign w:val="bottom"/>
            <w:tcBorders>
              <w:top w:val="single" w:sz="8" w:color="auto"/>
              <w:bottom w:val="single" w:sz="8" w:color="auto"/>
            </w:tcBorders>
            <w:shd w:val="clear" w:color="auto" w:fill="D6F3E8"/>
          </w:tcPr>
          <w:p>
            <w:pPr>
              <w:spacing w:after="0"/>
              <w:rPr>
                <w:sz w:val="19"/>
                <w:szCs w:val="19"/>
                <w:color w:val="auto"/>
              </w:rPr>
            </w:pPr>
          </w:p>
        </w:tc>
        <w:tc>
          <w:tcPr>
            <w:tcW w:w="920" w:type="dxa"/>
            <w:vAlign w:val="bottom"/>
            <w:tcBorders>
              <w:top w:val="single" w:sz="8" w:color="auto"/>
              <w:bottom w:val="single" w:sz="8" w:color="auto"/>
            </w:tcBorders>
            <w:gridSpan w:val="4"/>
            <w:shd w:val="clear" w:color="auto" w:fill="D6F3E8"/>
          </w:tcPr>
          <w:p>
            <w:pPr>
              <w:jc w:val="right"/>
              <w:spacing w:after="0"/>
              <w:rPr>
                <w:sz w:val="20"/>
                <w:szCs w:val="20"/>
                <w:color w:val="auto"/>
              </w:rPr>
            </w:pPr>
            <w:r>
              <w:rPr>
                <w:rFonts w:ascii="Arial" w:cs="Arial" w:eastAsia="Arial" w:hAnsi="Arial"/>
                <w:sz w:val="18"/>
                <w:szCs w:val="18"/>
                <w:color w:val="auto"/>
                <w:w w:val="99"/>
              </w:rPr>
              <w:t>79,884,042</w:t>
            </w:r>
          </w:p>
        </w:tc>
        <w:tc>
          <w:tcPr>
            <w:tcW w:w="300" w:type="dxa"/>
            <w:vAlign w:val="bottom"/>
            <w:tcBorders>
              <w:top w:val="single" w:sz="8" w:color="D6F3E8"/>
            </w:tcBorders>
            <w:shd w:val="clear" w:color="auto" w:fill="D6F3E8"/>
          </w:tcPr>
          <w:p>
            <w:pPr>
              <w:spacing w:after="0"/>
              <w:rPr>
                <w:sz w:val="19"/>
                <w:szCs w:val="19"/>
                <w:color w:val="auto"/>
              </w:rPr>
            </w:pPr>
          </w:p>
        </w:tc>
        <w:tc>
          <w:tcPr>
            <w:tcW w:w="260" w:type="dxa"/>
            <w:vAlign w:val="bottom"/>
            <w:tcBorders>
              <w:top w:val="single" w:sz="8" w:color="D6F3E8"/>
            </w:tcBorders>
            <w:shd w:val="clear" w:color="auto" w:fill="D6F3E8"/>
          </w:tcPr>
          <w:p>
            <w:pPr>
              <w:spacing w:after="0"/>
              <w:rPr>
                <w:sz w:val="19"/>
                <w:szCs w:val="19"/>
                <w:color w:val="auto"/>
              </w:rPr>
            </w:pPr>
          </w:p>
        </w:tc>
        <w:tc>
          <w:tcPr>
            <w:tcW w:w="60" w:type="dxa"/>
            <w:vAlign w:val="bottom"/>
            <w:tcBorders>
              <w:top w:val="single" w:sz="8" w:color="D6F3E8"/>
            </w:tcBorders>
            <w:shd w:val="clear" w:color="auto" w:fill="D6F3E8"/>
          </w:tcPr>
          <w:p>
            <w:pPr>
              <w:spacing w:after="0"/>
              <w:rPr>
                <w:sz w:val="19"/>
                <w:szCs w:val="19"/>
                <w:color w:val="auto"/>
              </w:rPr>
            </w:pPr>
          </w:p>
        </w:tc>
        <w:tc>
          <w:tcPr>
            <w:tcW w:w="60" w:type="dxa"/>
            <w:vAlign w:val="bottom"/>
            <w:tcBorders>
              <w:top w:val="single" w:sz="8" w:color="D6F3E8"/>
            </w:tcBorders>
            <w:shd w:val="clear" w:color="auto" w:fill="D6F3E8"/>
          </w:tcPr>
          <w:p>
            <w:pPr>
              <w:spacing w:after="0"/>
              <w:rPr>
                <w:sz w:val="19"/>
                <w:szCs w:val="19"/>
                <w:color w:val="auto"/>
              </w:rPr>
            </w:pPr>
          </w:p>
        </w:tc>
        <w:tc>
          <w:tcPr>
            <w:tcW w:w="100" w:type="dxa"/>
            <w:vAlign w:val="bottom"/>
            <w:tcBorders>
              <w:top w:val="single" w:sz="8" w:color="auto"/>
              <w:bottom w:val="single" w:sz="8" w:color="auto"/>
            </w:tcBorders>
            <w:shd w:val="clear" w:color="auto" w:fill="D6F3E8"/>
          </w:tcPr>
          <w:p>
            <w:pPr>
              <w:spacing w:after="0"/>
              <w:rPr>
                <w:sz w:val="19"/>
                <w:szCs w:val="19"/>
                <w:color w:val="auto"/>
              </w:rPr>
            </w:pPr>
          </w:p>
        </w:tc>
        <w:tc>
          <w:tcPr>
            <w:tcW w:w="420" w:type="dxa"/>
            <w:vAlign w:val="bottom"/>
            <w:tcBorders>
              <w:top w:val="single" w:sz="8" w:color="auto"/>
              <w:bottom w:val="single" w:sz="8" w:color="auto"/>
            </w:tcBorders>
            <w:shd w:val="clear" w:color="auto" w:fill="D6F3E8"/>
          </w:tcPr>
          <w:p>
            <w:pPr>
              <w:spacing w:after="0"/>
              <w:rPr>
                <w:sz w:val="19"/>
                <w:szCs w:val="19"/>
                <w:color w:val="auto"/>
              </w:rPr>
            </w:pPr>
          </w:p>
        </w:tc>
        <w:tc>
          <w:tcPr>
            <w:tcW w:w="86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w w:val="86"/>
              </w:rPr>
              <w:t>76,096,039</w:t>
            </w:r>
          </w:p>
        </w:tc>
        <w:tc>
          <w:tcPr>
            <w:tcW w:w="220" w:type="dxa"/>
            <w:vAlign w:val="bottom"/>
            <w:tcBorders>
              <w:top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96,346,085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94,056,734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89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bottom w:val="single" w:sz="8" w:color="808080"/>
            </w:tcBorders>
            <w:gridSpan w:val="2"/>
          </w:tcPr>
          <w:p>
            <w:pPr>
              <w:spacing w:after="0"/>
              <w:rPr>
                <w:sz w:val="21"/>
                <w:szCs w:val="21"/>
                <w:color w:val="auto"/>
              </w:rPr>
            </w:pPr>
          </w:p>
        </w:tc>
        <w:tc>
          <w:tcPr>
            <w:tcW w:w="42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CONDENSED STATEMENTS OF INCOME</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center"/>
              <w:ind w:right="83"/>
              <w:spacing w:after="0"/>
              <w:rPr>
                <w:sz w:val="20"/>
                <w:szCs w:val="20"/>
                <w:color w:val="auto"/>
              </w:rPr>
            </w:pPr>
            <w:r>
              <w:rPr>
                <w:rFonts w:ascii="Arial" w:cs="Arial" w:eastAsia="Arial" w:hAnsi="Arial"/>
                <w:sz w:val="14"/>
                <w:szCs w:val="14"/>
                <w:b w:val="1"/>
                <w:bCs w:val="1"/>
                <w:color w:val="auto"/>
                <w:w w:val="97"/>
              </w:rPr>
              <w:t>THREE MONTHS ENDED</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gridSpan w:val="9"/>
          </w:tcPr>
          <w:p>
            <w:pPr>
              <w:jc w:val="center"/>
              <w:ind w:right="7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96"/>
              <w:spacing w:after="0"/>
              <w:rPr>
                <w:sz w:val="20"/>
                <w:szCs w:val="20"/>
                <w:color w:val="auto"/>
              </w:rPr>
            </w:pPr>
            <w:r>
              <w:rPr>
                <w:rFonts w:ascii="Arial" w:cs="Arial" w:eastAsia="Arial" w:hAnsi="Arial"/>
                <w:sz w:val="14"/>
                <w:szCs w:val="14"/>
                <w:b w:val="1"/>
                <w:bCs w:val="1"/>
                <w:color w:val="auto"/>
                <w:w w:val="93"/>
              </w:rPr>
              <w:t>SEPTEMBER 30</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6"/>
          </w:tcPr>
          <w:p>
            <w:pPr>
              <w:jc w:val="center"/>
              <w:ind w:left="92"/>
              <w:spacing w:after="0"/>
              <w:rPr>
                <w:sz w:val="20"/>
                <w:szCs w:val="20"/>
                <w:color w:val="auto"/>
              </w:rPr>
            </w:pPr>
            <w:r>
              <w:rPr>
                <w:rFonts w:ascii="Arial" w:cs="Arial" w:eastAsia="Arial" w:hAnsi="Arial"/>
                <w:sz w:val="14"/>
                <w:szCs w:val="14"/>
                <w:b w:val="1"/>
                <w:bCs w:val="1"/>
                <w:color w:val="auto"/>
                <w:w w:val="93"/>
              </w:rPr>
              <w:t>SEPTEMBER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23"/>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72"/>
              <w:spacing w:after="0" w:line="155" w:lineRule="exact"/>
              <w:rPr>
                <w:sz w:val="20"/>
                <w:szCs w:val="20"/>
                <w:color w:val="auto"/>
              </w:rPr>
            </w:pPr>
            <w:r>
              <w:rPr>
                <w:rFonts w:ascii="Arial" w:cs="Arial" w:eastAsia="Arial" w:hAnsi="Arial"/>
                <w:sz w:val="14"/>
                <w:szCs w:val="14"/>
                <w:b w:val="1"/>
                <w:bCs w:val="1"/>
                <w:color w:val="auto"/>
                <w:w w:val="83"/>
              </w:rPr>
              <w:t>2006</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left="596"/>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6"/>
          </w:tcPr>
          <w:p>
            <w:pPr>
              <w:jc w:val="center"/>
              <w:ind w:left="92"/>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2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42,200,162</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0"/>
              </w:rPr>
              <w:t>36,643,242</w:t>
            </w:r>
          </w:p>
        </w:tc>
        <w:tc>
          <w:tcPr>
            <w:tcW w:w="640" w:type="dxa"/>
            <w:vAlign w:val="bottom"/>
            <w:gridSpan w:val="2"/>
            <w:shd w:val="clear" w:color="auto" w:fill="D6F3E8"/>
          </w:tcPr>
          <w:p>
            <w:pPr>
              <w:jc w:val="right"/>
              <w:ind w:right="264"/>
              <w:spacing w:after="0"/>
              <w:rPr>
                <w:sz w:val="20"/>
                <w:szCs w:val="20"/>
                <w:color w:val="auto"/>
              </w:rPr>
            </w:pPr>
            <w:r>
              <w:rPr>
                <w:rFonts w:ascii="Arial" w:cs="Arial" w:eastAsia="Arial" w:hAnsi="Arial"/>
                <w:sz w:val="18"/>
                <w:szCs w:val="18"/>
                <w:color w:val="auto"/>
              </w:rPr>
              <w:t>$</w:t>
            </w:r>
          </w:p>
        </w:tc>
        <w:tc>
          <w:tcPr>
            <w:tcW w:w="60" w:type="dxa"/>
            <w:vAlign w:val="bottom"/>
            <w:shd w:val="clear" w:color="auto" w:fill="D6F3E8"/>
          </w:tcPr>
          <w:p>
            <w:pPr>
              <w:spacing w:after="0"/>
              <w:rPr>
                <w:sz w:val="18"/>
                <w:szCs w:val="18"/>
                <w:color w:val="auto"/>
              </w:rPr>
            </w:pPr>
          </w:p>
        </w:tc>
        <w:tc>
          <w:tcPr>
            <w:tcW w:w="840" w:type="dxa"/>
            <w:vAlign w:val="bottom"/>
            <w:gridSpan w:val="4"/>
            <w:shd w:val="clear" w:color="auto" w:fill="D6F3E8"/>
          </w:tcPr>
          <w:p>
            <w:pPr>
              <w:jc w:val="right"/>
              <w:ind w:right="60"/>
              <w:spacing w:after="0"/>
              <w:rPr>
                <w:sz w:val="20"/>
                <w:szCs w:val="20"/>
                <w:color w:val="auto"/>
              </w:rPr>
            </w:pPr>
            <w:r>
              <w:rPr>
                <w:rFonts w:ascii="Arial" w:cs="Arial" w:eastAsia="Arial" w:hAnsi="Arial"/>
                <w:sz w:val="18"/>
                <w:szCs w:val="18"/>
                <w:color w:val="auto"/>
                <w:w w:val="84"/>
              </w:rPr>
              <w:t>83,660,825</w:t>
            </w:r>
          </w:p>
        </w:tc>
        <w:tc>
          <w:tcPr>
            <w:tcW w:w="58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w w:val="93"/>
              </w:rPr>
              <w:t>72,497,769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46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31,023,515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27,848,289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84"/>
              </w:rPr>
              <w:t>61,661,093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53,817,158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11,176,647</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8,794,953</w:t>
            </w:r>
          </w:p>
        </w:tc>
        <w:tc>
          <w:tcPr>
            <w:tcW w:w="22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840" w:type="dxa"/>
            <w:vAlign w:val="bottom"/>
            <w:gridSpan w:val="4"/>
            <w:shd w:val="clear" w:color="auto" w:fill="D6F3E8"/>
          </w:tcPr>
          <w:p>
            <w:pPr>
              <w:jc w:val="right"/>
              <w:ind w:right="60"/>
              <w:spacing w:after="0"/>
              <w:rPr>
                <w:sz w:val="20"/>
                <w:szCs w:val="20"/>
                <w:color w:val="auto"/>
              </w:rPr>
            </w:pPr>
            <w:r>
              <w:rPr>
                <w:rFonts w:ascii="Arial" w:cs="Arial" w:eastAsia="Arial" w:hAnsi="Arial"/>
                <w:sz w:val="18"/>
                <w:szCs w:val="18"/>
                <w:color w:val="auto"/>
                <w:w w:val="84"/>
              </w:rPr>
              <w:t>21,999,732</w:t>
            </w:r>
          </w:p>
        </w:tc>
        <w:tc>
          <w:tcPr>
            <w:tcW w:w="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w w:val="93"/>
              </w:rPr>
              <w:t>18,680,611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46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6,482,276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5,189,914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84"/>
              </w:rPr>
              <w:t>13,119,141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11,088,310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60" w:type="dxa"/>
            <w:vAlign w:val="bottom"/>
            <w:gridSpan w:val="2"/>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Litigation settlement (Note 6)</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72"/>
              <w:spacing w:after="0"/>
              <w:rPr>
                <w:sz w:val="20"/>
                <w:szCs w:val="20"/>
                <w:color w:val="auto"/>
              </w:rPr>
            </w:pPr>
            <w:r>
              <w:rPr>
                <w:rFonts w:ascii="Arial" w:cs="Arial" w:eastAsia="Arial" w:hAnsi="Arial"/>
                <w:sz w:val="18"/>
                <w:szCs w:val="18"/>
                <w:color w:val="auto"/>
                <w:w w:val="95"/>
              </w:rPr>
              <w:t>(1,015,826)</w:t>
            </w:r>
          </w:p>
        </w:tc>
        <w:tc>
          <w:tcPr>
            <w:tcW w:w="420" w:type="dxa"/>
            <w:vAlign w:val="bottom"/>
            <w:shd w:val="clear" w:color="auto" w:fill="D6F3E8"/>
          </w:tcPr>
          <w:p>
            <w:pPr>
              <w:spacing w:after="0"/>
              <w:rPr>
                <w:sz w:val="21"/>
                <w:szCs w:val="21"/>
                <w:color w:val="auto"/>
              </w:rPr>
            </w:pPr>
          </w:p>
        </w:tc>
        <w:tc>
          <w:tcPr>
            <w:tcW w:w="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3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0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w w:val="97"/>
              </w:rPr>
              <w:t>(1,015,826)</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4,694,371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4,620,865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8,880,591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8,608,127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60" w:type="dxa"/>
            <w:vAlign w:val="bottom"/>
            <w:gridSpan w:val="2"/>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347,757</w:t>
            </w:r>
          </w:p>
        </w:tc>
        <w:tc>
          <w:tcPr>
            <w:tcW w:w="20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68,654</w:t>
            </w:r>
          </w:p>
        </w:tc>
        <w:tc>
          <w:tcPr>
            <w:tcW w:w="22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60" w:type="dxa"/>
            <w:vAlign w:val="bottom"/>
            <w:shd w:val="clear" w:color="auto" w:fill="D6F3E8"/>
          </w:tcPr>
          <w:p>
            <w:pPr>
              <w:spacing w:after="0"/>
              <w:rPr>
                <w:sz w:val="19"/>
                <w:szCs w:val="19"/>
                <w:color w:val="auto"/>
              </w:rPr>
            </w:pPr>
          </w:p>
        </w:tc>
        <w:tc>
          <w:tcPr>
            <w:tcW w:w="840" w:type="dxa"/>
            <w:vAlign w:val="bottom"/>
            <w:gridSpan w:val="4"/>
            <w:shd w:val="clear" w:color="auto" w:fill="D6F3E8"/>
          </w:tcPr>
          <w:p>
            <w:pPr>
              <w:jc w:val="right"/>
              <w:ind w:right="60"/>
              <w:spacing w:after="0"/>
              <w:rPr>
                <w:sz w:val="20"/>
                <w:szCs w:val="20"/>
                <w:color w:val="auto"/>
              </w:rPr>
            </w:pPr>
            <w:r>
              <w:rPr>
                <w:rFonts w:ascii="Arial" w:cs="Arial" w:eastAsia="Arial" w:hAnsi="Arial"/>
                <w:sz w:val="18"/>
                <w:szCs w:val="18"/>
                <w:color w:val="auto"/>
              </w:rPr>
              <w:t>649,004</w:t>
            </w:r>
          </w:p>
        </w:tc>
        <w:tc>
          <w:tcPr>
            <w:tcW w:w="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376,878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5,042,128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4,689,519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9,529,595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8,985,005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260" w:type="dxa"/>
            <w:vAlign w:val="bottom"/>
            <w:gridSpan w:val="2"/>
          </w:tcPr>
          <w:p>
            <w:pPr>
              <w:spacing w:after="0"/>
              <w:rPr>
                <w:sz w:val="13"/>
                <w:szCs w:val="13"/>
                <w:color w:val="auto"/>
              </w:rPr>
            </w:pPr>
          </w:p>
        </w:tc>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1,896,000</w:t>
            </w:r>
          </w:p>
        </w:tc>
        <w:tc>
          <w:tcPr>
            <w:tcW w:w="20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1,688,600</w:t>
            </w:r>
          </w:p>
        </w:tc>
        <w:tc>
          <w:tcPr>
            <w:tcW w:w="22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60" w:type="dxa"/>
            <w:vAlign w:val="bottom"/>
            <w:shd w:val="clear" w:color="auto" w:fill="D6F3E8"/>
          </w:tcPr>
          <w:p>
            <w:pPr>
              <w:spacing w:after="0"/>
              <w:rPr>
                <w:sz w:val="19"/>
                <w:szCs w:val="19"/>
                <w:color w:val="auto"/>
              </w:rPr>
            </w:pPr>
          </w:p>
        </w:tc>
        <w:tc>
          <w:tcPr>
            <w:tcW w:w="840" w:type="dxa"/>
            <w:vAlign w:val="bottom"/>
            <w:gridSpan w:val="4"/>
            <w:shd w:val="clear" w:color="auto" w:fill="D6F3E8"/>
          </w:tcPr>
          <w:p>
            <w:pPr>
              <w:jc w:val="right"/>
              <w:ind w:right="60"/>
              <w:spacing w:after="0"/>
              <w:rPr>
                <w:sz w:val="20"/>
                <w:szCs w:val="20"/>
                <w:color w:val="auto"/>
              </w:rPr>
            </w:pPr>
            <w:r>
              <w:rPr>
                <w:rFonts w:ascii="Arial" w:cs="Arial" w:eastAsia="Arial" w:hAnsi="Arial"/>
                <w:sz w:val="18"/>
                <w:szCs w:val="18"/>
                <w:color w:val="auto"/>
                <w:w w:val="94"/>
              </w:rPr>
              <w:t>3,583,500</w:t>
            </w:r>
          </w:p>
        </w:tc>
        <w:tc>
          <w:tcPr>
            <w:tcW w:w="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3,234,600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4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3,146,128</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3,000,919</w:t>
            </w:r>
          </w:p>
        </w:tc>
        <w:tc>
          <w:tcPr>
            <w:tcW w:w="64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5,946,095</w:t>
            </w: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5,750,405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shd w:val="clear" w:color="auto" w:fill="D6F3E8"/>
          </w:tcPr>
          <w:p>
            <w:pPr>
              <w:spacing w:after="0"/>
              <w:rPr>
                <w:sz w:val="19"/>
                <w:szCs w:val="19"/>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20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0"/>
              </w:rPr>
              <w:t>10,227,209</w:t>
            </w:r>
          </w:p>
        </w:tc>
        <w:tc>
          <w:tcPr>
            <w:tcW w:w="22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60" w:type="dxa"/>
            <w:vAlign w:val="bottom"/>
            <w:shd w:val="clear" w:color="auto" w:fill="D6F3E8"/>
          </w:tcPr>
          <w:p>
            <w:pPr>
              <w:spacing w:after="0"/>
              <w:rPr>
                <w:sz w:val="19"/>
                <w:szCs w:val="19"/>
                <w:color w:val="auto"/>
              </w:rPr>
            </w:pPr>
          </w:p>
        </w:tc>
        <w:tc>
          <w:tcPr>
            <w:tcW w:w="840" w:type="dxa"/>
            <w:vAlign w:val="bottom"/>
            <w:gridSpan w:val="4"/>
            <w:shd w:val="clear" w:color="auto" w:fill="D6F3E8"/>
          </w:tcPr>
          <w:p>
            <w:pPr>
              <w:jc w:val="right"/>
              <w:ind w:right="60"/>
              <w:spacing w:after="0"/>
              <w:rPr>
                <w:sz w:val="20"/>
                <w:szCs w:val="20"/>
                <w:color w:val="auto"/>
              </w:rPr>
            </w:pPr>
            <w:r>
              <w:rPr>
                <w:rFonts w:ascii="Arial" w:cs="Arial" w:eastAsia="Arial" w:hAnsi="Arial"/>
                <w:sz w:val="18"/>
                <w:szCs w:val="18"/>
                <w:color w:val="auto"/>
                <w:w w:val="84"/>
              </w:rPr>
              <w:t>10,171,496</w:t>
            </w:r>
          </w:p>
        </w:tc>
        <w:tc>
          <w:tcPr>
            <w:tcW w:w="6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w w:val="93"/>
              </w:rPr>
              <w:t>10,222,065</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D6F3E8"/>
            </w:tcBorders>
          </w:tcPr>
          <w:p>
            <w:pPr>
              <w:spacing w:after="0" w:line="20" w:lineRule="exact"/>
              <w:rPr>
                <w:sz w:val="1"/>
                <w:szCs w:val="1"/>
                <w:color w:val="auto"/>
              </w:rPr>
            </w:pPr>
          </w:p>
        </w:tc>
        <w:tc>
          <w:tcPr>
            <w:tcW w:w="42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gridSpan w:val="3"/>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10,171,496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10,251,181</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84"/>
              </w:rPr>
              <w:t>10,171,496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10,247,623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Earnings per share - basic and diluted</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D6F3E8"/>
          </w:tcPr>
          <w:p>
            <w:pPr>
              <w:spacing w:after="0"/>
              <w:rPr>
                <w:sz w:val="19"/>
                <w:szCs w:val="19"/>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D6F3E8"/>
          </w:tcPr>
          <w:p>
            <w:pPr>
              <w:spacing w:after="0"/>
              <w:rPr>
                <w:sz w:val="19"/>
                <w:szCs w:val="19"/>
                <w:color w:val="auto"/>
              </w:rPr>
            </w:pPr>
          </w:p>
        </w:tc>
        <w:tc>
          <w:tcPr>
            <w:tcW w:w="8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2"/>
            <w:shd w:val="clear" w:color="auto" w:fill="D6F3E8"/>
          </w:tcPr>
          <w:p>
            <w:pPr>
              <w:jc w:val="right"/>
              <w:ind w:right="264"/>
              <w:spacing w:after="0"/>
              <w:rPr>
                <w:sz w:val="20"/>
                <w:szCs w:val="20"/>
                <w:color w:val="auto"/>
              </w:rPr>
            </w:pPr>
            <w:r>
              <w:rPr>
                <w:rFonts w:ascii="Arial" w:cs="Arial" w:eastAsia="Arial" w:hAnsi="Arial"/>
                <w:sz w:val="18"/>
                <w:szCs w:val="18"/>
                <w:color w:val="auto"/>
              </w:rPr>
              <w:t>$</w:t>
            </w:r>
          </w:p>
        </w:tc>
        <w:tc>
          <w:tcPr>
            <w:tcW w:w="60" w:type="dxa"/>
            <w:vAlign w:val="bottom"/>
            <w:shd w:val="clear" w:color="auto" w:fill="D6F3E8"/>
          </w:tcPr>
          <w:p>
            <w:pPr>
              <w:spacing w:after="0"/>
              <w:rPr>
                <w:sz w:val="19"/>
                <w:szCs w:val="19"/>
                <w:color w:val="auto"/>
              </w:rPr>
            </w:pPr>
          </w:p>
        </w:tc>
        <w:tc>
          <w:tcPr>
            <w:tcW w:w="840" w:type="dxa"/>
            <w:vAlign w:val="bottom"/>
            <w:gridSpan w:val="4"/>
            <w:shd w:val="clear" w:color="auto" w:fill="D6F3E8"/>
          </w:tcPr>
          <w:p>
            <w:pPr>
              <w:jc w:val="right"/>
              <w:ind w:right="60"/>
              <w:spacing w:after="0"/>
              <w:rPr>
                <w:sz w:val="20"/>
                <w:szCs w:val="20"/>
                <w:color w:val="auto"/>
              </w:rPr>
            </w:pPr>
            <w:r>
              <w:rPr>
                <w:rFonts w:ascii="Arial" w:cs="Arial" w:eastAsia="Arial" w:hAnsi="Arial"/>
                <w:sz w:val="18"/>
                <w:szCs w:val="18"/>
                <w:color w:val="auto"/>
              </w:rPr>
              <w:t>0.58</w:t>
            </w:r>
          </w:p>
        </w:tc>
        <w:tc>
          <w:tcPr>
            <w:tcW w:w="580" w:type="dxa"/>
            <w:vAlign w:val="bottom"/>
            <w:gridSpan w:val="3"/>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0.56</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D6F3E8"/>
            </w:tcBorders>
          </w:tcPr>
          <w:p>
            <w:pPr>
              <w:spacing w:after="0" w:line="20" w:lineRule="exact"/>
              <w:rPr>
                <w:sz w:val="1"/>
                <w:szCs w:val="1"/>
                <w:color w:val="auto"/>
              </w:rPr>
            </w:pPr>
          </w:p>
        </w:tc>
        <w:tc>
          <w:tcPr>
            <w:tcW w:w="420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6F3E8"/>
            </w:tcBorders>
          </w:tcPr>
          <w:p>
            <w:pPr>
              <w:spacing w:after="0" w:line="20" w:lineRule="exact"/>
              <w:rPr>
                <w:sz w:val="1"/>
                <w:szCs w:val="1"/>
                <w:color w:val="auto"/>
              </w:rPr>
            </w:pPr>
          </w:p>
        </w:tc>
        <w:tc>
          <w:tcPr>
            <w:tcW w:w="160" w:type="dxa"/>
            <w:vAlign w:val="bottom"/>
            <w:tcBorders>
              <w:top w:val="single" w:sz="8" w:color="D6F3E8"/>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460" w:type="dxa"/>
            <w:vAlign w:val="bottom"/>
            <w:gridSpan w:val="3"/>
          </w:tcPr>
          <w:p>
            <w:pPr>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64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0.22</w:t>
            </w: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4"/>
        </w:trPr>
        <w:tc>
          <w:tcPr>
            <w:tcW w:w="5460" w:type="dxa"/>
            <w:vAlign w:val="bottom"/>
            <w:gridSpan w:val="3"/>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896"/>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Borders>
              <w:bottom w:val="single" w:sz="8" w:color="808080"/>
            </w:tcBorders>
            <w:gridSpan w:val="2"/>
          </w:tcPr>
          <w:p>
            <w:pPr>
              <w:spacing w:after="0"/>
              <w:rPr>
                <w:sz w:val="21"/>
                <w:szCs w:val="21"/>
                <w:color w:val="auto"/>
              </w:rPr>
            </w:pPr>
          </w:p>
        </w:tc>
        <w:tc>
          <w:tcPr>
            <w:tcW w:w="420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HAWKINS, INC.</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9"/>
          </w:tcPr>
          <w:p>
            <w:pPr>
              <w:jc w:val="center"/>
              <w:ind w:right="460"/>
              <w:spacing w:after="0"/>
              <w:rPr>
                <w:sz w:val="20"/>
                <w:szCs w:val="20"/>
                <w:color w:val="auto"/>
              </w:rPr>
            </w:pPr>
            <w:r>
              <w:rPr>
                <w:rFonts w:ascii="Arial" w:cs="Arial" w:eastAsia="Arial" w:hAnsi="Arial"/>
                <w:sz w:val="14"/>
                <w:szCs w:val="14"/>
                <w:b w:val="1"/>
                <w:bCs w:val="1"/>
                <w:color w:val="auto"/>
                <w:w w:val="97"/>
              </w:rPr>
              <w:t>SIX MONTHS ENDED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left="44"/>
              <w:spacing w:after="0"/>
              <w:rPr>
                <w:sz w:val="20"/>
                <w:szCs w:val="20"/>
                <w:color w:val="auto"/>
              </w:rPr>
            </w:pPr>
            <w:r>
              <w:rPr>
                <w:rFonts w:ascii="Arial" w:cs="Arial" w:eastAsia="Arial" w:hAnsi="Arial"/>
                <w:sz w:val="14"/>
                <w:szCs w:val="14"/>
                <w:b w:val="1"/>
                <w:bCs w:val="1"/>
                <w:color w:val="auto"/>
                <w:w w:val="93"/>
              </w:rPr>
              <w:t>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6"/>
          </w:tcPr>
          <w:p>
            <w:pPr>
              <w:jc w:val="center"/>
              <w:ind w:left="44"/>
              <w:spacing w:after="0"/>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4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5"/>
            <w:shd w:val="clear" w:color="auto" w:fill="D6F3E8"/>
          </w:tcPr>
          <w:p>
            <w:pPr>
              <w:jc w:val="right"/>
              <w:ind w:right="60"/>
              <w:spacing w:after="0"/>
              <w:rPr>
                <w:sz w:val="20"/>
                <w:szCs w:val="20"/>
                <w:color w:val="auto"/>
              </w:rPr>
            </w:pPr>
            <w:r>
              <w:rPr>
                <w:rFonts w:ascii="Arial" w:cs="Arial" w:eastAsia="Arial" w:hAnsi="Arial"/>
                <w:sz w:val="18"/>
                <w:szCs w:val="18"/>
                <w:color w:val="auto"/>
              </w:rPr>
              <w:t>5,946,095</w:t>
            </w:r>
          </w:p>
        </w:tc>
        <w:tc>
          <w:tcPr>
            <w:tcW w:w="780" w:type="dxa"/>
            <w:vAlign w:val="bottom"/>
            <w:gridSpan w:val="3"/>
            <w:shd w:val="clear" w:color="auto" w:fill="D6F3E8"/>
          </w:tcPr>
          <w:p>
            <w:pPr>
              <w:jc w:val="right"/>
              <w:ind w:right="92"/>
              <w:spacing w:after="0"/>
              <w:rPr>
                <w:sz w:val="20"/>
                <w:szCs w:val="20"/>
                <w:color w:val="auto"/>
              </w:rPr>
            </w:pPr>
            <w:r>
              <w:rPr>
                <w:rFonts w:ascii="Arial" w:cs="Arial" w:eastAsia="Arial" w:hAnsi="Arial"/>
                <w:sz w:val="18"/>
                <w:szCs w:val="18"/>
                <w:color w:val="auto"/>
              </w:rPr>
              <w:t>$</w:t>
            </w:r>
          </w:p>
        </w:tc>
        <w:tc>
          <w:tcPr>
            <w:tcW w:w="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5,750,405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Reconciliation to cash flows: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5"/>
          </w:tcPr>
          <w:p>
            <w:pPr>
              <w:jc w:val="right"/>
              <w:ind w:right="60"/>
              <w:spacing w:after="0"/>
              <w:rPr>
                <w:sz w:val="20"/>
                <w:szCs w:val="20"/>
                <w:color w:val="auto"/>
              </w:rPr>
            </w:pPr>
            <w:r>
              <w:rPr>
                <w:rFonts w:ascii="Arial" w:cs="Arial" w:eastAsia="Arial" w:hAnsi="Arial"/>
                <w:sz w:val="18"/>
                <w:szCs w:val="18"/>
                <w:color w:val="auto"/>
              </w:rPr>
              <w:t>1,878,365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1,748,441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Restricted stock compensation expense</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4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198,702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Intangible assets impairment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Impairment of investments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700" w:type="dxa"/>
            <w:vAlign w:val="bottom"/>
            <w:gridSpan w:val="3"/>
            <w:shd w:val="clear" w:color="auto" w:fill="D6F3E8"/>
          </w:tcPr>
          <w:p>
            <w:pPr>
              <w:jc w:val="right"/>
              <w:ind w:right="60"/>
              <w:spacing w:after="0"/>
              <w:rPr>
                <w:sz w:val="20"/>
                <w:szCs w:val="20"/>
                <w:color w:val="auto"/>
              </w:rPr>
            </w:pPr>
            <w:r>
              <w:rPr>
                <w:rFonts w:ascii="Arial" w:cs="Arial" w:eastAsia="Arial" w:hAnsi="Arial"/>
                <w:sz w:val="18"/>
                <w:szCs w:val="18"/>
                <w:color w:val="auto"/>
              </w:rPr>
              <w:t>30,595</w:t>
            </w: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211,859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Loss from property disposals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66,446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Changes in operating accounts (using) providing cash:</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D6F3E8"/>
          </w:tcPr>
          <w:p>
            <w:pPr>
              <w:ind w:left="520"/>
              <w:spacing w:after="0"/>
              <w:rPr>
                <w:sz w:val="20"/>
                <w:szCs w:val="20"/>
                <w:color w:val="auto"/>
              </w:rPr>
            </w:pPr>
            <w:r>
              <w:rPr>
                <w:rFonts w:ascii="Arial" w:cs="Arial" w:eastAsia="Arial" w:hAnsi="Arial"/>
                <w:sz w:val="18"/>
                <w:szCs w:val="18"/>
                <w:color w:val="auto"/>
              </w:rPr>
              <w:t>Trade receivables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7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w w:val="88"/>
              </w:rPr>
              <w:t>(517,716)</w:t>
            </w: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w w:val="95"/>
              </w:rPr>
              <w:t>(1,325,645)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5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(4,212,962)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(7,224,453)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D6F3E8"/>
          </w:tcPr>
          <w:p>
            <w:pPr>
              <w:ind w:left="5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540" w:type="dxa"/>
            <w:vAlign w:val="bottom"/>
            <w:gridSpan w:val="5"/>
            <w:shd w:val="clear" w:color="auto" w:fill="D6F3E8"/>
          </w:tcPr>
          <w:p>
            <w:pPr>
              <w:jc w:val="right"/>
              <w:spacing w:after="0"/>
              <w:rPr>
                <w:sz w:val="20"/>
                <w:szCs w:val="20"/>
                <w:color w:val="auto"/>
              </w:rPr>
            </w:pPr>
            <w:r>
              <w:rPr>
                <w:rFonts w:ascii="Arial" w:cs="Arial" w:eastAsia="Arial" w:hAnsi="Arial"/>
                <w:sz w:val="18"/>
                <w:szCs w:val="18"/>
                <w:color w:val="auto"/>
              </w:rPr>
              <w:t>(1,758,173)</w:t>
            </w:r>
          </w:p>
        </w:tc>
        <w:tc>
          <w:tcPr>
            <w:tcW w:w="2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4,227,617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5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281,746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(480,950)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40" w:type="dxa"/>
            <w:vAlign w:val="bottom"/>
            <w:gridSpan w:val="2"/>
            <w:shd w:val="clear" w:color="auto" w:fill="D6F3E8"/>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6F3E8"/>
          </w:tcPr>
          <w:p>
            <w:pPr>
              <w:spacing w:after="0"/>
              <w:rPr>
                <w:sz w:val="21"/>
                <w:szCs w:val="21"/>
                <w:color w:val="auto"/>
              </w:rPr>
            </w:pPr>
          </w:p>
        </w:tc>
        <w:tc>
          <w:tcPr>
            <w:tcW w:w="112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540" w:type="dxa"/>
            <w:vAlign w:val="bottom"/>
            <w:shd w:val="clear" w:color="auto" w:fill="D6F3E8"/>
          </w:tcPr>
          <w:p>
            <w:pPr>
              <w:spacing w:after="0"/>
              <w:rPr>
                <w:sz w:val="21"/>
                <w:szCs w:val="21"/>
                <w:color w:val="auto"/>
              </w:rPr>
            </w:pPr>
          </w:p>
        </w:tc>
        <w:tc>
          <w:tcPr>
            <w:tcW w:w="6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5"/>
              </w:rPr>
              <w:t>493,761</w:t>
            </w:r>
          </w:p>
        </w:tc>
        <w:tc>
          <w:tcPr>
            <w:tcW w:w="6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60" w:type="dxa"/>
            <w:vAlign w:val="bottom"/>
            <w:shd w:val="clear" w:color="auto" w:fill="D6F3E8"/>
          </w:tcPr>
          <w:p>
            <w:pPr>
              <w:spacing w:after="0"/>
              <w:rPr>
                <w:sz w:val="21"/>
                <w:szCs w:val="21"/>
                <w:color w:val="auto"/>
              </w:rPr>
            </w:pPr>
          </w:p>
        </w:tc>
        <w:tc>
          <w:tcPr>
            <w:tcW w:w="60" w:type="dxa"/>
            <w:vAlign w:val="bottom"/>
            <w:shd w:val="clear" w:color="auto" w:fill="D6F3E8"/>
          </w:tcPr>
          <w:p>
            <w:pPr>
              <w:spacing w:after="0"/>
              <w:rPr>
                <w:sz w:val="21"/>
                <w:szCs w:val="21"/>
                <w:color w:val="auto"/>
              </w:rPr>
            </w:pPr>
          </w:p>
        </w:tc>
        <w:tc>
          <w:tcPr>
            <w:tcW w:w="10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(352,929)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-9168765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-9168765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-3183255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-3183255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3"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2,208,157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2,966,692</w:t>
            </w:r>
          </w:p>
        </w:tc>
        <w:tc>
          <w:tcPr>
            <w:tcW w:w="0" w:type="dxa"/>
            <w:vAlign w:val="bottom"/>
          </w:tcPr>
          <w:p>
            <w:pPr>
              <w:spacing w:after="0"/>
              <w:rPr>
                <w:sz w:val="1"/>
                <w:szCs w:val="1"/>
                <w:color w:val="auto"/>
              </w:rPr>
            </w:pPr>
          </w:p>
        </w:tc>
      </w:tr>
      <w:tr>
        <w:trPr>
          <w:trHeight w:val="366"/>
        </w:trPr>
        <w:tc>
          <w:tcPr>
            <w:tcW w:w="6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(2,859,147)</w:t>
            </w:r>
          </w:p>
        </w:tc>
        <w:tc>
          <w:tcPr>
            <w:tcW w:w="2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(3,504,076)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(2,068,577)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Sale and maturities of investments</w:t>
            </w: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1,588,710</w:t>
            </w:r>
          </w:p>
        </w:tc>
        <w:tc>
          <w:tcPr>
            <w:tcW w:w="2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3,266,641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Proceeds from property disposals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74,494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Payments received on notes receivable</w:t>
            </w:r>
          </w:p>
        </w:tc>
        <w:tc>
          <w:tcPr>
            <w:tcW w:w="960" w:type="dxa"/>
            <w:vAlign w:val="bottom"/>
            <w:shd w:val="clear" w:color="auto" w:fill="D6F3E8"/>
          </w:tcPr>
          <w:p>
            <w:pPr>
              <w:spacing w:after="0"/>
              <w:rPr>
                <w:sz w:val="19"/>
                <w:szCs w:val="19"/>
                <w:color w:val="auto"/>
              </w:rPr>
            </w:pPr>
          </w:p>
        </w:tc>
        <w:tc>
          <w:tcPr>
            <w:tcW w:w="540" w:type="dxa"/>
            <w:vAlign w:val="bottom"/>
            <w:tcBorders>
              <w:bottom w:val="single" w:sz="8" w:color="auto"/>
            </w:tcBorders>
            <w:shd w:val="clear" w:color="auto" w:fill="D6F3E8"/>
          </w:tcPr>
          <w:p>
            <w:pPr>
              <w:spacing w:after="0"/>
              <w:rPr>
                <w:sz w:val="19"/>
                <w:szCs w:val="19"/>
                <w:color w:val="auto"/>
              </w:rPr>
            </w:pP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83,396</w:t>
            </w:r>
          </w:p>
        </w:tc>
        <w:tc>
          <w:tcPr>
            <w:tcW w:w="320" w:type="dxa"/>
            <w:vAlign w:val="bottom"/>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540" w:type="dxa"/>
            <w:vAlign w:val="bottom"/>
            <w:tcBorders>
              <w:bottom w:val="single" w:sz="8" w:color="auto"/>
            </w:tcBorders>
            <w:shd w:val="clear" w:color="auto" w:fill="D6F3E8"/>
          </w:tcPr>
          <w:p>
            <w:pPr>
              <w:spacing w:after="0"/>
              <w:rPr>
                <w:sz w:val="19"/>
                <w:szCs w:val="19"/>
                <w:color w:val="auto"/>
              </w:rPr>
            </w:pPr>
          </w:p>
        </w:tc>
        <w:tc>
          <w:tcPr>
            <w:tcW w:w="12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77,005</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(1,112,547)</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(2,219,376)</w:t>
            </w:r>
          </w:p>
        </w:tc>
        <w:tc>
          <w:tcPr>
            <w:tcW w:w="0" w:type="dxa"/>
            <w:vAlign w:val="bottom"/>
          </w:tcPr>
          <w:p>
            <w:pPr>
              <w:spacing w:after="0"/>
              <w:rPr>
                <w:sz w:val="1"/>
                <w:szCs w:val="1"/>
                <w:color w:val="auto"/>
              </w:rPr>
            </w:pPr>
          </w:p>
        </w:tc>
      </w:tr>
      <w:tr>
        <w:trPr>
          <w:trHeight w:val="366"/>
        </w:trPr>
        <w:tc>
          <w:tcPr>
            <w:tcW w:w="6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Cash dividends paid</w:t>
            </w:r>
          </w:p>
        </w:tc>
        <w:tc>
          <w:tcPr>
            <w:tcW w:w="960" w:type="dxa"/>
            <w:vAlign w:val="bottom"/>
            <w:shd w:val="clear" w:color="auto" w:fill="D6F3E8"/>
          </w:tcPr>
          <w:p>
            <w:pPr>
              <w:spacing w:after="0"/>
              <w:rPr>
                <w:sz w:val="21"/>
                <w:szCs w:val="21"/>
                <w:color w:val="auto"/>
              </w:rPr>
            </w:pPr>
          </w:p>
        </w:tc>
        <w:tc>
          <w:tcPr>
            <w:tcW w:w="540" w:type="dxa"/>
            <w:vAlign w:val="bottom"/>
            <w:shd w:val="clear" w:color="auto" w:fill="D6F3E8"/>
          </w:tcPr>
          <w:p>
            <w:pPr>
              <w:spacing w:after="0"/>
              <w:rPr>
                <w:sz w:val="21"/>
                <w:szCs w:val="21"/>
                <w:color w:val="auto"/>
              </w:rPr>
            </w:pPr>
          </w:p>
        </w:tc>
        <w:tc>
          <w:tcPr>
            <w:tcW w:w="152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(2,034,299)</w:t>
            </w:r>
          </w:p>
        </w:tc>
        <w:tc>
          <w:tcPr>
            <w:tcW w:w="260" w:type="dxa"/>
            <w:vAlign w:val="bottom"/>
            <w:shd w:val="clear" w:color="auto" w:fill="D6F3E8"/>
          </w:tcPr>
          <w:p>
            <w:pPr>
              <w:spacing w:after="0"/>
              <w:rPr>
                <w:sz w:val="21"/>
                <w:szCs w:val="21"/>
                <w:color w:val="auto"/>
              </w:rPr>
            </w:pPr>
          </w:p>
        </w:tc>
        <w:tc>
          <w:tcPr>
            <w:tcW w:w="540" w:type="dxa"/>
            <w:vAlign w:val="bottom"/>
            <w:shd w:val="clear" w:color="auto" w:fill="D6F3E8"/>
          </w:tcPr>
          <w:p>
            <w:pPr>
              <w:spacing w:after="0"/>
              <w:rPr>
                <w:sz w:val="21"/>
                <w:szCs w:val="21"/>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(1,846,321)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(2,034,299)</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(1,846,321)</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D6F3E8"/>
          </w:tcPr>
          <w:p>
            <w:pPr>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(938,689)</w:t>
            </w:r>
          </w:p>
        </w:tc>
        <w:tc>
          <w:tcPr>
            <w:tcW w:w="2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(1,099,005)</w:t>
            </w:r>
          </w:p>
        </w:tc>
        <w:tc>
          <w:tcPr>
            <w:tcW w:w="0" w:type="dxa"/>
            <w:vAlign w:val="bottom"/>
          </w:tcPr>
          <w:p>
            <w:pPr>
              <w:spacing w:after="0"/>
              <w:rPr>
                <w:sz w:val="1"/>
                <w:szCs w:val="1"/>
                <w:color w:val="auto"/>
              </w:rPr>
            </w:pPr>
          </w:p>
        </w:tc>
      </w:tr>
      <w:tr>
        <w:trPr>
          <w:trHeight w:val="377"/>
        </w:trPr>
        <w:tc>
          <w:tcPr>
            <w:tcW w:w="61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6,330,004</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4,564,790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shd w:val="clear" w:color="auto" w:fill="D6F3E8"/>
          </w:tcPr>
          <w:p>
            <w:pPr>
              <w:spacing w:after="0"/>
              <w:rPr>
                <w:sz w:val="19"/>
                <w:szCs w:val="19"/>
                <w:color w:val="auto"/>
              </w:rPr>
            </w:pPr>
          </w:p>
        </w:tc>
        <w:tc>
          <w:tcPr>
            <w:tcW w:w="540" w:type="dxa"/>
            <w:vAlign w:val="bottom"/>
            <w:shd w:val="clear" w:color="auto" w:fill="D6F3E8"/>
          </w:tcPr>
          <w:p>
            <w:pPr>
              <w:jc w:val="right"/>
              <w:ind w:right="3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5,391,315</w:t>
            </w:r>
          </w:p>
        </w:tc>
        <w:tc>
          <w:tcPr>
            <w:tcW w:w="320" w:type="dxa"/>
            <w:vAlign w:val="bottom"/>
            <w:shd w:val="clear" w:color="auto" w:fill="D6F3E8"/>
          </w:tcPr>
          <w:p>
            <w:pPr>
              <w:spacing w:after="0"/>
              <w:rPr>
                <w:sz w:val="19"/>
                <w:szCs w:val="19"/>
                <w:color w:val="auto"/>
              </w:rPr>
            </w:pPr>
          </w:p>
        </w:tc>
        <w:tc>
          <w:tcPr>
            <w:tcW w:w="8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3,465,785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shd w:val="clear" w:color="auto" w:fill="D6F3E8"/>
          </w:tcPr>
          <w:p>
            <w:pPr>
              <w:spacing w:after="0" w:line="20" w:lineRule="exact"/>
              <w:rPr>
                <w:sz w:val="1"/>
                <w:szCs w:val="1"/>
                <w:color w:val="auto"/>
              </w:rPr>
            </w:pPr>
          </w:p>
        </w:tc>
        <w:tc>
          <w:tcPr>
            <w:tcW w:w="96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60" w:type="dxa"/>
            <w:vAlign w:val="bottom"/>
            <w:shd w:val="clear" w:color="auto" w:fill="D6F3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1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50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2,823,000</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2,714,000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Noncash investing activities-</w:t>
            </w:r>
          </w:p>
        </w:tc>
        <w:tc>
          <w:tcPr>
            <w:tcW w:w="9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D6F3E8"/>
          </w:tcPr>
          <w:p>
            <w:pPr>
              <w:ind w:left="500"/>
              <w:spacing w:after="0"/>
              <w:rPr>
                <w:sz w:val="20"/>
                <w:szCs w:val="20"/>
                <w:color w:val="auto"/>
              </w:rPr>
            </w:pPr>
            <w:r>
              <w:rPr>
                <w:rFonts w:ascii="Arial" w:cs="Arial" w:eastAsia="Arial" w:hAnsi="Arial"/>
                <w:sz w:val="18"/>
                <w:szCs w:val="18"/>
                <w:color w:val="auto"/>
              </w:rPr>
              <w:t>Capital expenditures in accounts payable</w:t>
            </w:r>
          </w:p>
        </w:tc>
        <w:tc>
          <w:tcPr>
            <w:tcW w:w="1500" w:type="dxa"/>
            <w:vAlign w:val="bottom"/>
            <w:gridSpan w:val="2"/>
            <w:shd w:val="clear" w:color="auto" w:fill="D6F3E8"/>
          </w:tcPr>
          <w:p>
            <w:pPr>
              <w:jc w:val="right"/>
              <w:ind w:right="35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267,042</w:t>
            </w:r>
          </w:p>
        </w:tc>
        <w:tc>
          <w:tcPr>
            <w:tcW w:w="8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8" w:lineRule="exact"/>
        <w:rPr>
          <w:sz w:val="20"/>
          <w:szCs w:val="20"/>
          <w:color w:val="auto"/>
        </w:rPr>
      </w:pPr>
    </w:p>
    <w:p>
      <w:pPr>
        <w:ind w:left="540" w:right="40" w:hanging="532"/>
        <w:spacing w:after="0" w:line="291"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April 2, 2006,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06" w:lineRule="exact"/>
        <w:rPr>
          <w:rFonts w:ascii="Arial" w:cs="Arial" w:eastAsia="Arial" w:hAnsi="Arial"/>
          <w:sz w:val="16"/>
          <w:szCs w:val="16"/>
          <w:color w:val="auto"/>
        </w:rPr>
      </w:pPr>
    </w:p>
    <w:p>
      <w:pPr>
        <w:ind w:left="54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April 2, 2006 filed with the Commission on June 16, 2006.</w:t>
      </w:r>
    </w:p>
    <w:p>
      <w:pPr>
        <w:spacing w:after="0" w:line="118" w:lineRule="exact"/>
        <w:rPr>
          <w:rFonts w:ascii="Arial" w:cs="Arial" w:eastAsia="Arial" w:hAnsi="Arial"/>
          <w:sz w:val="16"/>
          <w:szCs w:val="16"/>
          <w:color w:val="auto"/>
        </w:rPr>
      </w:pPr>
    </w:p>
    <w:p>
      <w:pPr>
        <w:ind w:left="540" w:hanging="532"/>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 ended September 30, 2006 are not necessarily indicative of the results that may be expected for the full year.</w:t>
      </w:r>
    </w:p>
    <w:p>
      <w:pPr>
        <w:spacing w:after="0" w:line="180" w:lineRule="exact"/>
        <w:rPr>
          <w:rFonts w:ascii="Arial" w:cs="Arial" w:eastAsia="Arial" w:hAnsi="Arial"/>
          <w:sz w:val="16"/>
          <w:szCs w:val="16"/>
          <w:color w:val="auto"/>
        </w:rPr>
      </w:pPr>
    </w:p>
    <w:p>
      <w:pPr>
        <w:ind w:left="540" w:right="26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$3,374,000 and $3,859,000 at September 30, 2006 and April 2, 2006, respectively. Inventory consists principally of finished goods.</w:t>
      </w:r>
    </w:p>
    <w:p>
      <w:pPr>
        <w:spacing w:after="0" w:line="118"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38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377"/>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3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3,146,128</w:t>
            </w:r>
          </w:p>
        </w:tc>
        <w:tc>
          <w:tcPr>
            <w:tcW w:w="580" w:type="dxa"/>
            <w:vAlign w:val="bottom"/>
            <w:gridSpan w:val="2"/>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3,000,919</w:t>
            </w:r>
          </w:p>
        </w:tc>
        <w:tc>
          <w:tcPr>
            <w:tcW w:w="480" w:type="dxa"/>
            <w:vAlign w:val="bottom"/>
            <w:gridSpan w:val="2"/>
            <w:shd w:val="clear" w:color="auto" w:fill="D6F3E8"/>
          </w:tcPr>
          <w:p>
            <w:pPr>
              <w:jc w:val="right"/>
              <w:ind w:right="103"/>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5,946,095</w:t>
            </w:r>
          </w:p>
        </w:tc>
        <w:tc>
          <w:tcPr>
            <w:tcW w:w="200" w:type="dxa"/>
            <w:vAlign w:val="bottom"/>
            <w:shd w:val="clear" w:color="auto" w:fill="D6F3E8"/>
          </w:tcPr>
          <w:p>
            <w:pPr>
              <w:spacing w:after="0"/>
              <w:rPr>
                <w:sz w:val="18"/>
                <w:szCs w:val="18"/>
                <w:color w:val="auto"/>
              </w:rPr>
            </w:pP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2"/>
              </w:rPr>
              <w:t>5,750,405</w:t>
            </w: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Available-for-sale investments unrealized gain</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80,449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62,672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79,637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84,522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2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3,226,577</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380" w:type="dxa"/>
            <w:vAlign w:val="bottom"/>
            <w:tcBorders>
              <w:top w:val="single" w:sz="8" w:color="auto"/>
              <w:bottom w:val="single" w:sz="8" w:color="auto"/>
            </w:tcBorders>
            <w:shd w:val="clear" w:color="auto" w:fill="D6F3E8"/>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7"/>
              </w:rPr>
              <w:t>3,063,591</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6,025,732</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440" w:type="dxa"/>
            <w:vAlign w:val="bottom"/>
            <w:tcBorders>
              <w:top w:val="single" w:sz="8" w:color="auto"/>
              <w:bottom w:val="single" w:sz="8" w:color="auto"/>
            </w:tcBorders>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2"/>
              </w:rPr>
              <w:t>5,834,927</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right="40" w:hanging="532"/>
        <w:spacing w:after="0" w:line="288"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June 2006, the Financial Accounting Standards Board (FASB) issued FASB Interpretation (FIN) No. 48, “Accounting for Uncertainty in Income Taxes - an interpretation of FASB Statement No. 109.” FIN No. 48 clarifies the accounting for uncertain tax positions in accordance with SFAS No. 109, “Accounting for Income Taxes.” The Company will be required to recognize in its financial statements the largest tax benefit of a tax position that is “more-likely-than-not” to be sustained on audit based solely on the technical merits of the position as of the reporting date. The term “more-likely-than-not” means a likelihood of more than 50 percent. FIN No. 48 also provides guidance on new disclosure requirements, reporting and accrual of interest and penalties, accounting in interim periods and transition. Only tax positions that meet the “more-likely-than-not” threshold at that date may be recognized. The cumulative effect of initially applying FIN No. 48 will be recognized as a change in accounting principle as of the end of the period in which FIN No. 48 is adopted. The Company has begun an evaluation of the impact of applying this interpretation as of April 2, 2007, which will be the effective date of the interpretation for the Company.</w:t>
      </w:r>
    </w:p>
    <w:p>
      <w:pPr>
        <w:spacing w:after="0" w:line="106"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color w:val="auto"/>
        </w:rPr>
        <w:t>In September 2006, the FASB issued Statement of Financial Accounting Standards (SFAS) No. 158, “Employers’ Accounting for Defined Benefit Pension and Other Postretirement Plans.” SFAS No. 158 requires the recognition of the funded status of a defined benefit plan in the statement of financial position, requires that changes in the funded status be recognized through comprehensive income and expands disclosures. SFAS No. 158 is effective for</w:t>
      </w:r>
    </w:p>
    <w:p>
      <w:pPr>
        <w:sectPr>
          <w:pgSz w:w="11900" w:h="16838" w:orient="portrait"/>
          <w:cols w:equalWidth="0" w:num="1">
            <w:col w:w="11420"/>
          </w:cols>
          <w:pgMar w:left="240" w:top="145" w:right="239" w:bottom="0" w:gutter="0" w:footer="0" w:header="0"/>
        </w:sectPr>
      </w:pPr>
    </w:p>
    <w:bookmarkStart w:id="4" w:name="page5"/>
    <w:bookmarkEnd w:id="4"/>
    <w:p>
      <w:pPr>
        <w:spacing w:after="0" w:line="52"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Company for the fiscal year end April 1, 2007. The Company does not expect a material impact as a result of adopting SFAS No. 158 on its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In September 2006, the FASB issued SFAS No. 157, “Fair Value Measurements.” This statement establishes a consistent framework for measuring fair value and expands disclosures on fair value measurements. SFAS No. 157 is effective for the Company starting in fiscal 2009. The Company has not determined the impact, if any, the adoption of this statement will have on its financial statements.</w:t>
      </w:r>
    </w:p>
    <w:p>
      <w:pPr>
        <w:spacing w:after="0" w:line="194"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 xml:space="preserve">In September 2006, the Securities and Exchange Commission (SEC) issued Staff Accounting Bulletin No. 108, </w:t>
      </w:r>
      <w:r>
        <w:rPr>
          <w:rFonts w:ascii="Arial" w:cs="Arial" w:eastAsia="Arial" w:hAnsi="Arial"/>
          <w:sz w:val="16"/>
          <w:szCs w:val="16"/>
          <w:i w:val="1"/>
          <w:iCs w:val="1"/>
          <w:color w:val="auto"/>
        </w:rPr>
        <w:t>Considering the Effects of Prior Year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when Quantifying Misstatements in Current Year Financial Statements </w:t>
      </w:r>
      <w:r>
        <w:rPr>
          <w:rFonts w:ascii="Arial" w:cs="Arial" w:eastAsia="Arial" w:hAnsi="Arial"/>
          <w:sz w:val="16"/>
          <w:szCs w:val="16"/>
          <w:color w:val="auto"/>
        </w:rPr>
        <w:t>(SAB 108), to address diversity in practice in quantifying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misstatements. SAB 108 requires that the Company quantify misstatements based on their impact on each of our consolidated financial statements and related disclosures. SAB 108 is effective as of the end of our 2007 fiscal year, allowing a one-time transitional cumulative effect adjustment to retained earnings as of the beginning of the fiscal year for errors that were not previously deemed material, but are material under the guidance in SAB 108. The Company does not expect the impact of adopting SAB 108 to have a material impact on its financial statements.</w:t>
      </w:r>
    </w:p>
    <w:p>
      <w:pPr>
        <w:spacing w:after="0" w:line="174" w:lineRule="exact"/>
        <w:rPr>
          <w:sz w:val="20"/>
          <w:szCs w:val="20"/>
          <w:color w:val="auto"/>
        </w:rPr>
      </w:pPr>
    </w:p>
    <w:p>
      <w:pPr>
        <w:ind w:left="540" w:right="160" w:hanging="532"/>
        <w:spacing w:after="0" w:line="25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the fourth quarter of fiscal 2004, the Company paid $3.0 million to resolve a personal injury lawsuit encaptioned </w:t>
      </w:r>
      <w:r>
        <w:rPr>
          <w:rFonts w:ascii="Arial" w:cs="Arial" w:eastAsia="Arial" w:hAnsi="Arial"/>
          <w:sz w:val="18"/>
          <w:szCs w:val="18"/>
          <w:i w:val="1"/>
          <w:iCs w:val="1"/>
          <w:color w:val="auto"/>
        </w:rPr>
        <w:t>Chavarria et al v. Hawkins, Inc.,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Panorama Compounding Pharmacy, and Valley Drug and Compounding, et al </w:t>
      </w:r>
      <w:r>
        <w:rPr>
          <w:rFonts w:ascii="Arial" w:cs="Arial" w:eastAsia="Arial" w:hAnsi="Arial"/>
          <w:sz w:val="18"/>
          <w:szCs w:val="18"/>
          <w:color w:val="auto"/>
        </w:rPr>
        <w:t>that arose from the alleged mislabeling of certain inventory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in connection with its acquisition of St. Mary’s Chemicals, Inc. (d/b/a Universal Chemicals) in May 2000. Pursuant to the terms of the settlement, the Company denied all liability and reserved its right to pursue indemnification and contribution from third parties. In July 2004, the Company filed suit in Hennepin County, Minnesota against the former principals of Universal Chemicals, seeking indemnification for the costs the Company incurred in defending and resolving the prior litigation.</w:t>
      </w:r>
    </w:p>
    <w:p>
      <w:pPr>
        <w:spacing w:after="0" w:line="157" w:lineRule="exact"/>
        <w:rPr>
          <w:rFonts w:ascii="Arial" w:cs="Arial" w:eastAsia="Arial" w:hAnsi="Arial"/>
          <w:sz w:val="18"/>
          <w:szCs w:val="18"/>
          <w:color w:val="auto"/>
        </w:rPr>
      </w:pPr>
    </w:p>
    <w:p>
      <w:pPr>
        <w:ind w:left="540" w:right="240"/>
        <w:spacing w:after="0" w:line="289" w:lineRule="auto"/>
        <w:rPr>
          <w:rFonts w:ascii="Arial" w:cs="Arial" w:eastAsia="Arial" w:hAnsi="Arial"/>
          <w:sz w:val="18"/>
          <w:szCs w:val="18"/>
          <w:color w:val="auto"/>
        </w:rPr>
      </w:pPr>
      <w:r>
        <w:rPr>
          <w:rFonts w:ascii="Arial" w:cs="Arial" w:eastAsia="Arial" w:hAnsi="Arial"/>
          <w:sz w:val="16"/>
          <w:szCs w:val="16"/>
          <w:color w:val="auto"/>
        </w:rPr>
        <w:t>On June 23, 2005, the Company and the former Universal Chemicals principals (the “defendants”) executed a settlement agreement in full and final resolution of the Company’s claims, as well as any claims the defendants may have or may have had against the Company. The settlement agreement required the defendants to surrender to the Company 75,358 shares of the Company’s common stock, which they received as consideration for the May 2000 acquisition. The agreement also terminated the non-competition provisions of the Company’s agreements with the defendants, relieving the Company of the obligation to pay $500,000 to the defendants over the next five years as consideration for these provisions. The settlement agreement called for the parties to execute mutual releases and a stipulation of dismissal. Litigation settlement income of $1,015,826 was recorded in the Pharmaceutical segment during the quarter ended September 30, 2005 as the Company received the 75,358 shares and the executed final releases and stipulations.</w:t>
      </w:r>
    </w:p>
    <w:p>
      <w:pPr>
        <w:spacing w:after="0" w:line="172" w:lineRule="exact"/>
        <w:rPr>
          <w:rFonts w:ascii="Arial" w:cs="Arial" w:eastAsia="Arial" w:hAnsi="Arial"/>
          <w:sz w:val="18"/>
          <w:szCs w:val="18"/>
          <w:color w:val="auto"/>
        </w:rPr>
      </w:pPr>
    </w:p>
    <w:p>
      <w:pPr>
        <w:ind w:left="540" w:right="160"/>
        <w:spacing w:after="0" w:line="259" w:lineRule="auto"/>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67" w:lineRule="exact"/>
        <w:rPr>
          <w:rFonts w:ascii="Arial" w:cs="Arial" w:eastAsia="Arial" w:hAnsi="Arial"/>
          <w:sz w:val="18"/>
          <w:szCs w:val="18"/>
          <w:color w:val="auto"/>
        </w:rPr>
      </w:pPr>
    </w:p>
    <w:p>
      <w:pPr>
        <w:ind w:left="540" w:right="60"/>
        <w:spacing w:after="0" w:line="286" w:lineRule="auto"/>
        <w:rPr>
          <w:rFonts w:ascii="Arial" w:cs="Arial" w:eastAsia="Arial" w:hAnsi="Arial"/>
          <w:sz w:val="18"/>
          <w:szCs w:val="18"/>
          <w:color w:val="auto"/>
        </w:rPr>
      </w:pPr>
      <w:r>
        <w:rPr>
          <w:rFonts w:ascii="Arial" w:cs="Arial" w:eastAsia="Arial" w:hAnsi="Arial"/>
          <w:sz w:val="16"/>
          <w:szCs w:val="16"/>
          <w:color w:val="auto"/>
        </w:rPr>
        <w:t>The Company has two leases of land, and at the end of the lease term (currently 2018 if the leases are not renewed), the Company has a specified amount of time to remove the equipment and buildings. At the end of the specified amount of time, anything that remains on the land becomes the property of the lessor, and the lessor has the option to either maintain the property or remove the property at the Company’s expense. The Company has not been able to reasonably estimate the fair value of the asset retirement obligations, primarily due to the combination of the following factors: the leases do not expire in the near future; the Company has a history of extending the leases with the lessor and currently intends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an interpretation of FASB Statement No. 143,” the Company has not recorded an asset retirement obligation as of September 30, 2006. The Company will continue to monitor the factors surrounding the requirement to record an asset retirement obligation and will recognize the fair value of a liability in the period in which it is incurred and a reasonable estimate can be made.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40" w:hanging="532"/>
        <w:spacing w:after="0" w:line="314"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The segments do not have separate accounting, administration, customer service or purchasing functions. There are no intersegment sales. Sales are primarily within the United States and all assets are located within the United States.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Industrial</w:t>
            </w: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Water Treatment</w:t>
            </w: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Pharmaceutical*</w:t>
            </w: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r>
      <w:tr>
        <w:trPr>
          <w:trHeight w:val="357"/>
        </w:trPr>
        <w:tc>
          <w:tcPr>
            <w:tcW w:w="4700" w:type="dxa"/>
            <w:vAlign w:val="bottom"/>
            <w:gridSpan w:val="2"/>
          </w:tcPr>
          <w:p>
            <w:pPr>
              <w:spacing w:after="0"/>
              <w:rPr>
                <w:sz w:val="20"/>
                <w:szCs w:val="20"/>
                <w:color w:val="auto"/>
              </w:rPr>
            </w:pPr>
            <w:r>
              <w:rPr>
                <w:rFonts w:ascii="Arial" w:cs="Arial" w:eastAsia="Arial" w:hAnsi="Arial"/>
                <w:sz w:val="18"/>
                <w:szCs w:val="18"/>
                <w:color w:val="auto"/>
              </w:rPr>
              <w:t>Three Months Ended September 30, 2006:</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7"/>
        </w:trPr>
        <w:tc>
          <w:tcPr>
            <w:tcW w:w="4700" w:type="dxa"/>
            <w:vAlign w:val="bottom"/>
            <w:gridSpan w:val="2"/>
            <w:shd w:val="clear" w:color="auto" w:fill="D6F3E8"/>
          </w:tcPr>
          <w:p>
            <w:pPr>
              <w:ind w:left="7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23,027,848</w:t>
            </w:r>
          </w:p>
        </w:tc>
        <w:tc>
          <w:tcPr>
            <w:tcW w:w="6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16,718,530</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2,453,784</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42,200,162</w:t>
            </w:r>
          </w:p>
        </w:tc>
        <w:tc>
          <w:tcPr>
            <w:tcW w:w="220" w:type="dxa"/>
            <w:vAlign w:val="bottom"/>
            <w:shd w:val="clear" w:color="auto" w:fill="D6F3E8"/>
          </w:tcPr>
          <w:p>
            <w:pPr>
              <w:spacing w:after="0"/>
              <w:rPr>
                <w:sz w:val="18"/>
                <w:szCs w:val="18"/>
                <w:color w:val="auto"/>
              </w:rPr>
            </w:pPr>
          </w:p>
        </w:tc>
      </w:tr>
      <w:tr>
        <w:trPr>
          <w:trHeight w:val="216"/>
        </w:trPr>
        <w:tc>
          <w:tcPr>
            <w:tcW w:w="4700" w:type="dxa"/>
            <w:vAlign w:val="bottom"/>
            <w:gridSpan w:val="2"/>
          </w:tcPr>
          <w:p>
            <w:pPr>
              <w:ind w:left="76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4,981,466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5,417,211</w:t>
            </w:r>
          </w:p>
        </w:tc>
        <w:tc>
          <w:tcPr>
            <w:tcW w:w="12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777,970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11,176,647</w:t>
            </w:r>
          </w:p>
        </w:tc>
        <w:tc>
          <w:tcPr>
            <w:tcW w:w="220" w:type="dxa"/>
            <w:vAlign w:val="bottom"/>
          </w:tcPr>
          <w:p>
            <w:pPr>
              <w:spacing w:after="0"/>
              <w:rPr>
                <w:sz w:val="18"/>
                <w:szCs w:val="18"/>
                <w:color w:val="auto"/>
              </w:rPr>
            </w:pPr>
          </w:p>
        </w:tc>
      </w:tr>
      <w:tr>
        <w:trPr>
          <w:trHeight w:val="216"/>
        </w:trPr>
        <w:tc>
          <w:tcPr>
            <w:tcW w:w="4700" w:type="dxa"/>
            <w:vAlign w:val="bottom"/>
            <w:gridSpan w:val="2"/>
            <w:shd w:val="clear" w:color="auto" w:fill="D6F3E8"/>
          </w:tcPr>
          <w:p>
            <w:pPr>
              <w:ind w:left="76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1,193,901</w:t>
            </w:r>
          </w:p>
        </w:tc>
        <w:tc>
          <w:tcPr>
            <w:tcW w:w="6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3,376,603</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123,867</w:t>
            </w: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4,694,371</w:t>
            </w:r>
          </w:p>
        </w:tc>
        <w:tc>
          <w:tcPr>
            <w:tcW w:w="220" w:type="dxa"/>
            <w:vAlign w:val="bottom"/>
            <w:shd w:val="clear" w:color="auto" w:fill="D6F3E8"/>
          </w:tcPr>
          <w:p>
            <w:pPr>
              <w:spacing w:after="0"/>
              <w:rPr>
                <w:sz w:val="18"/>
                <w:szCs w:val="18"/>
                <w:color w:val="auto"/>
              </w:rPr>
            </w:pPr>
          </w:p>
        </w:tc>
      </w:tr>
      <w:tr>
        <w:trPr>
          <w:trHeight w:val="356"/>
        </w:trPr>
        <w:tc>
          <w:tcPr>
            <w:tcW w:w="4700" w:type="dxa"/>
            <w:vAlign w:val="bottom"/>
            <w:gridSpan w:val="2"/>
          </w:tcPr>
          <w:p>
            <w:pPr>
              <w:spacing w:after="0"/>
              <w:rPr>
                <w:sz w:val="20"/>
                <w:szCs w:val="20"/>
                <w:color w:val="auto"/>
              </w:rPr>
            </w:pPr>
            <w:r>
              <w:rPr>
                <w:rFonts w:ascii="Arial" w:cs="Arial" w:eastAsia="Arial" w:hAnsi="Arial"/>
                <w:sz w:val="18"/>
                <w:szCs w:val="18"/>
                <w:color w:val="auto"/>
              </w:rPr>
              <w:t>Three Months Ended September 30, 2005: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700" w:type="dxa"/>
            <w:vAlign w:val="bottom"/>
            <w:gridSpan w:val="2"/>
          </w:tcPr>
          <w:p>
            <w:pPr>
              <w:ind w:left="760"/>
              <w:spacing w:after="0"/>
              <w:rPr>
                <w:sz w:val="20"/>
                <w:szCs w:val="20"/>
                <w:color w:val="auto"/>
              </w:rPr>
            </w:pPr>
            <w:r>
              <w:rPr>
                <w:rFonts w:ascii="Arial" w:cs="Arial" w:eastAsia="Arial" w:hAnsi="Arial"/>
                <w:sz w:val="18"/>
                <w:szCs w:val="18"/>
                <w:color w:val="auto"/>
              </w:rPr>
              <w:t>Sales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19,830,558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14,269,585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2,543,099</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36,643,242</w:t>
            </w:r>
          </w:p>
        </w:tc>
        <w:tc>
          <w:tcPr>
            <w:tcW w:w="220" w:type="dxa"/>
            <w:vAlign w:val="bottom"/>
          </w:tcPr>
          <w:p>
            <w:pPr>
              <w:spacing w:after="0"/>
              <w:rPr>
                <w:sz w:val="19"/>
                <w:szCs w:val="19"/>
                <w:color w:val="auto"/>
              </w:rPr>
            </w:pPr>
          </w:p>
        </w:tc>
      </w:tr>
      <w:tr>
        <w:trPr>
          <w:trHeight w:val="217"/>
        </w:trPr>
        <w:tc>
          <w:tcPr>
            <w:tcW w:w="4700" w:type="dxa"/>
            <w:vAlign w:val="bottom"/>
            <w:gridSpan w:val="2"/>
            <w:shd w:val="clear" w:color="auto" w:fill="D6F3E8"/>
          </w:tcPr>
          <w:p>
            <w:pPr>
              <w:ind w:left="7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3,520,031</w:t>
            </w:r>
          </w:p>
        </w:tc>
        <w:tc>
          <w:tcPr>
            <w:tcW w:w="4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4,549,278</w:t>
            </w: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440"/>
              <w:spacing w:after="0"/>
              <w:rPr>
                <w:sz w:val="20"/>
                <w:szCs w:val="20"/>
                <w:color w:val="auto"/>
              </w:rPr>
            </w:pPr>
            <w:r>
              <w:rPr>
                <w:rFonts w:ascii="Arial" w:cs="Arial" w:eastAsia="Arial" w:hAnsi="Arial"/>
                <w:sz w:val="18"/>
                <w:szCs w:val="18"/>
                <w:color w:val="auto"/>
              </w:rPr>
              <w:t>725,644</w:t>
            </w:r>
          </w:p>
        </w:tc>
        <w:tc>
          <w:tcPr>
            <w:tcW w:w="2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8,794,953</w:t>
            </w:r>
          </w:p>
        </w:tc>
        <w:tc>
          <w:tcPr>
            <w:tcW w:w="220" w:type="dxa"/>
            <w:vAlign w:val="bottom"/>
            <w:shd w:val="clear" w:color="auto" w:fill="D6F3E8"/>
          </w:tcPr>
          <w:p>
            <w:pPr>
              <w:spacing w:after="0"/>
              <w:rPr>
                <w:sz w:val="18"/>
                <w:szCs w:val="18"/>
                <w:color w:val="auto"/>
              </w:rPr>
            </w:pPr>
          </w:p>
        </w:tc>
      </w:tr>
      <w:tr>
        <w:trPr>
          <w:trHeight w:val="222"/>
        </w:trPr>
        <w:tc>
          <w:tcPr>
            <w:tcW w:w="4700" w:type="dxa"/>
            <w:vAlign w:val="bottom"/>
            <w:gridSpan w:val="2"/>
          </w:tcPr>
          <w:p>
            <w:pPr>
              <w:ind w:left="76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581,513</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2,872,473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1,166,879</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4,620,865</w:t>
            </w:r>
          </w:p>
        </w:tc>
        <w:tc>
          <w:tcPr>
            <w:tcW w:w="220" w:type="dxa"/>
            <w:vAlign w:val="bottom"/>
          </w:tcPr>
          <w:p>
            <w:pPr>
              <w:spacing w:after="0"/>
              <w:rPr>
                <w:sz w:val="19"/>
                <w:szCs w:val="19"/>
                <w:color w:val="auto"/>
              </w:rPr>
            </w:pPr>
          </w:p>
        </w:tc>
      </w:tr>
    </w:tbl>
    <w:p>
      <w:pPr>
        <w:sectPr>
          <w:pgSz w:w="11900" w:h="16890" w:orient="portrait"/>
          <w:cols w:equalWidth="0" w:num="1">
            <w:col w:w="11420"/>
          </w:cols>
          <w:pgMar w:left="240" w:top="13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Six Months Ended September 30, 2006:</w:t>
            </w: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7"/>
        </w:trPr>
        <w:tc>
          <w:tcPr>
            <w:tcW w:w="3760" w:type="dxa"/>
            <w:vAlign w:val="bottom"/>
            <w:shd w:val="clear" w:color="auto" w:fill="D6F3E8"/>
          </w:tcPr>
          <w:p>
            <w:pPr>
              <w:ind w:left="760"/>
              <w:spacing w:after="0"/>
              <w:rPr>
                <w:sz w:val="20"/>
                <w:szCs w:val="20"/>
                <w:color w:val="auto"/>
              </w:rPr>
            </w:pPr>
            <w:r>
              <w:rPr>
                <w:rFonts w:ascii="Arial" w:cs="Arial" w:eastAsia="Arial" w:hAnsi="Arial"/>
                <w:sz w:val="18"/>
                <w:szCs w:val="18"/>
                <w:color w:val="auto"/>
              </w:rPr>
              <w:t>Sales</w:t>
            </w:r>
          </w:p>
        </w:tc>
        <w:tc>
          <w:tcPr>
            <w:tcW w:w="122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46,427,190</w:t>
            </w:r>
          </w:p>
        </w:tc>
        <w:tc>
          <w:tcPr>
            <w:tcW w:w="5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32,387,247</w:t>
            </w:r>
          </w:p>
        </w:tc>
        <w:tc>
          <w:tcPr>
            <w:tcW w:w="5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4,846,388</w:t>
            </w:r>
          </w:p>
        </w:tc>
        <w:tc>
          <w:tcPr>
            <w:tcW w:w="5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83,660,825</w:t>
            </w:r>
          </w:p>
        </w:tc>
      </w:tr>
      <w:tr>
        <w:trPr>
          <w:trHeight w:val="216"/>
        </w:trPr>
        <w:tc>
          <w:tcPr>
            <w:tcW w:w="3760" w:type="dxa"/>
            <w:vAlign w:val="bottom"/>
          </w:tcPr>
          <w:p>
            <w:pPr>
              <w:ind w:left="760"/>
              <w:spacing w:after="0"/>
              <w:rPr>
                <w:sz w:val="20"/>
                <w:szCs w:val="20"/>
                <w:color w:val="auto"/>
              </w:rPr>
            </w:pPr>
            <w:r>
              <w:rPr>
                <w:rFonts w:ascii="Arial" w:cs="Arial" w:eastAsia="Arial" w:hAnsi="Arial"/>
                <w:sz w:val="18"/>
                <w:szCs w:val="18"/>
                <w:color w:val="auto"/>
              </w:rPr>
              <w:t>Gross margin</w:t>
            </w:r>
          </w:p>
        </w:tc>
        <w:tc>
          <w:tcPr>
            <w:tcW w:w="122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10,084,770</w:t>
            </w:r>
          </w:p>
        </w:tc>
        <w:tc>
          <w:tcPr>
            <w:tcW w:w="560" w:type="dxa"/>
            <w:vAlign w:val="bottom"/>
          </w:tcPr>
          <w:p>
            <w:pPr>
              <w:spacing w:after="0"/>
              <w:rPr>
                <w:sz w:val="18"/>
                <w:szCs w:val="18"/>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10,415,231</w:t>
            </w:r>
          </w:p>
        </w:tc>
        <w:tc>
          <w:tcPr>
            <w:tcW w:w="54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1,499,731</w:t>
            </w:r>
          </w:p>
        </w:tc>
        <w:tc>
          <w:tcPr>
            <w:tcW w:w="50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21,999,732</w:t>
            </w:r>
          </w:p>
        </w:tc>
      </w:tr>
      <w:tr>
        <w:trPr>
          <w:trHeight w:val="216"/>
        </w:trPr>
        <w:tc>
          <w:tcPr>
            <w:tcW w:w="3760" w:type="dxa"/>
            <w:vAlign w:val="bottom"/>
            <w:shd w:val="clear" w:color="auto" w:fill="D6F3E8"/>
          </w:tcPr>
          <w:p>
            <w:pPr>
              <w:ind w:left="760"/>
              <w:spacing w:after="0"/>
              <w:rPr>
                <w:sz w:val="20"/>
                <w:szCs w:val="20"/>
                <w:color w:val="auto"/>
              </w:rPr>
            </w:pPr>
            <w:r>
              <w:rPr>
                <w:rFonts w:ascii="Arial" w:cs="Arial" w:eastAsia="Arial" w:hAnsi="Arial"/>
                <w:sz w:val="18"/>
                <w:szCs w:val="18"/>
                <w:color w:val="auto"/>
              </w:rPr>
              <w:t>Income from operations</w:t>
            </w:r>
          </w:p>
        </w:tc>
        <w:tc>
          <w:tcPr>
            <w:tcW w:w="122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2,482,655</w:t>
            </w:r>
          </w:p>
        </w:tc>
        <w:tc>
          <w:tcPr>
            <w:tcW w:w="56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6,248,803</w:t>
            </w:r>
          </w:p>
        </w:tc>
        <w:tc>
          <w:tcPr>
            <w:tcW w:w="5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149,133</w:t>
            </w:r>
          </w:p>
        </w:tc>
        <w:tc>
          <w:tcPr>
            <w:tcW w:w="5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8,880,591</w:t>
            </w:r>
          </w:p>
        </w:tc>
      </w:tr>
      <w:tr>
        <w:trPr>
          <w:trHeight w:val="356"/>
        </w:trPr>
        <w:tc>
          <w:tcPr>
            <w:tcW w:w="3760" w:type="dxa"/>
            <w:vAlign w:val="bottom"/>
          </w:tcPr>
          <w:p>
            <w:pPr>
              <w:spacing w:after="0"/>
              <w:rPr>
                <w:sz w:val="20"/>
                <w:szCs w:val="20"/>
                <w:color w:val="auto"/>
              </w:rPr>
            </w:pPr>
            <w:r>
              <w:rPr>
                <w:rFonts w:ascii="Arial" w:cs="Arial" w:eastAsia="Arial" w:hAnsi="Arial"/>
                <w:sz w:val="18"/>
                <w:szCs w:val="18"/>
                <w:color w:val="auto"/>
              </w:rPr>
              <w:t>Six Months Ended September 30, 2005:</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3760" w:type="dxa"/>
            <w:vAlign w:val="bottom"/>
          </w:tcPr>
          <w:p>
            <w:pPr>
              <w:ind w:left="760"/>
              <w:spacing w:after="0"/>
              <w:rPr>
                <w:sz w:val="20"/>
                <w:szCs w:val="20"/>
                <w:color w:val="auto"/>
              </w:rPr>
            </w:pPr>
            <w:r>
              <w:rPr>
                <w:rFonts w:ascii="Arial" w:cs="Arial" w:eastAsia="Arial" w:hAnsi="Arial"/>
                <w:sz w:val="18"/>
                <w:szCs w:val="18"/>
                <w:color w:val="auto"/>
              </w:rPr>
              <w:t>Sales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39,686,880</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27,745,092</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5,065,797</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72,497,769</w:t>
            </w:r>
          </w:p>
        </w:tc>
      </w:tr>
      <w:tr>
        <w:trPr>
          <w:trHeight w:val="217"/>
        </w:trPr>
        <w:tc>
          <w:tcPr>
            <w:tcW w:w="3760" w:type="dxa"/>
            <w:vAlign w:val="bottom"/>
            <w:shd w:val="clear" w:color="auto" w:fill="D6F3E8"/>
          </w:tcPr>
          <w:p>
            <w:pPr>
              <w:ind w:left="760"/>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7,981,908</w:t>
            </w:r>
          </w:p>
        </w:tc>
        <w:tc>
          <w:tcPr>
            <w:tcW w:w="560" w:type="dxa"/>
            <w:vAlign w:val="bottom"/>
            <w:shd w:val="clear" w:color="auto" w:fill="D6F3E8"/>
          </w:tcPr>
          <w:p>
            <w:pPr>
              <w:spacing w:after="0"/>
              <w:rPr>
                <w:sz w:val="18"/>
                <w:szCs w:val="18"/>
                <w:color w:val="auto"/>
              </w:rPr>
            </w:pPr>
          </w:p>
        </w:tc>
        <w:tc>
          <w:tcPr>
            <w:tcW w:w="12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9,200,265</w:t>
            </w:r>
          </w:p>
        </w:tc>
        <w:tc>
          <w:tcPr>
            <w:tcW w:w="540" w:type="dxa"/>
            <w:vAlign w:val="bottom"/>
            <w:shd w:val="clear" w:color="auto" w:fill="D6F3E8"/>
          </w:tcPr>
          <w:p>
            <w:pPr>
              <w:spacing w:after="0"/>
              <w:rPr>
                <w:sz w:val="18"/>
                <w:szCs w:val="18"/>
                <w:color w:val="auto"/>
              </w:rPr>
            </w:pPr>
          </w:p>
        </w:tc>
        <w:tc>
          <w:tcPr>
            <w:tcW w:w="116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1,498,438</w:t>
            </w:r>
          </w:p>
        </w:tc>
        <w:tc>
          <w:tcPr>
            <w:tcW w:w="50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rPr>
              <w:t>18,680,611</w:t>
            </w:r>
          </w:p>
        </w:tc>
      </w:tr>
      <w:tr>
        <w:trPr>
          <w:trHeight w:val="222"/>
        </w:trPr>
        <w:tc>
          <w:tcPr>
            <w:tcW w:w="3760" w:type="dxa"/>
            <w:vAlign w:val="bottom"/>
          </w:tcPr>
          <w:p>
            <w:pPr>
              <w:ind w:left="760"/>
              <w:spacing w:after="0"/>
              <w:rPr>
                <w:sz w:val="20"/>
                <w:szCs w:val="20"/>
                <w:color w:val="auto"/>
              </w:rPr>
            </w:pPr>
            <w:r>
              <w:rPr>
                <w:rFonts w:ascii="Arial" w:cs="Arial" w:eastAsia="Arial" w:hAnsi="Arial"/>
                <w:sz w:val="18"/>
                <w:szCs w:val="18"/>
                <w:color w:val="auto"/>
              </w:rPr>
              <w:t>Income from operations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1,863,883</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5,642,710</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1,101,534</w:t>
            </w:r>
          </w:p>
        </w:tc>
        <w:tc>
          <w:tcPr>
            <w:tcW w:w="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8,608,127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 The Pharmaceutical segment recorded $1,015,826 in pretax gain from the litigation settlement during the three months ended September 30, 2005.</w:t>
      </w:r>
    </w:p>
    <w:p>
      <w:pPr>
        <w:spacing w:after="0" w:line="200" w:lineRule="exact"/>
        <w:rPr>
          <w:sz w:val="20"/>
          <w:szCs w:val="20"/>
          <w:color w:val="auto"/>
        </w:rPr>
      </w:pPr>
    </w:p>
    <w:p>
      <w:pPr>
        <w:spacing w:after="0" w:line="319" w:lineRule="exact"/>
        <w:rPr>
          <w:sz w:val="20"/>
          <w:szCs w:val="20"/>
          <w:color w:val="auto"/>
        </w:rPr>
      </w:pPr>
    </w:p>
    <w:p>
      <w:pPr>
        <w:ind w:left="900" w:right="1200" w:hanging="890"/>
        <w:spacing w:after="0" w:line="251" w:lineRule="auto"/>
        <w:rPr>
          <w:sz w:val="20"/>
          <w:szCs w:val="20"/>
          <w:color w:val="auto"/>
        </w:rPr>
      </w:pPr>
      <w:r>
        <w:rPr>
          <w:rFonts w:ascii="Arial" w:cs="Arial" w:eastAsia="Arial" w:hAnsi="Arial"/>
          <w:sz w:val="22"/>
          <w:szCs w:val="22"/>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information contained in this Quarterly Report on Form 10-Q for the period ended September 30, 2006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8"/>
              </w:rPr>
              <w:t>THREE MONTHS ENDED</w:t>
            </w:r>
          </w:p>
        </w:tc>
        <w:tc>
          <w:tcPr>
            <w:tcW w:w="500" w:type="dxa"/>
            <w:vAlign w:val="bottom"/>
          </w:tcPr>
          <w:p>
            <w:pPr>
              <w:spacing w:after="0"/>
              <w:rPr>
                <w:sz w:val="14"/>
                <w:szCs w:val="14"/>
                <w:color w:val="auto"/>
              </w:rPr>
            </w:pPr>
          </w:p>
        </w:tc>
        <w:tc>
          <w:tcPr>
            <w:tcW w:w="2660" w:type="dxa"/>
            <w:vAlign w:val="bottom"/>
            <w:gridSpan w:val="3"/>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2"/>
              </w:rPr>
              <w:t>SEPTEMBER 30, 2006</w:t>
            </w:r>
          </w:p>
        </w:tc>
        <w:tc>
          <w:tcPr>
            <w:tcW w:w="500" w:type="dxa"/>
            <w:vAlign w:val="bottom"/>
          </w:tcPr>
          <w:p>
            <w:pPr>
              <w:spacing w:after="0"/>
              <w:rPr>
                <w:sz w:val="14"/>
                <w:szCs w:val="14"/>
                <w:color w:val="auto"/>
              </w:rPr>
            </w:pPr>
          </w:p>
        </w:tc>
        <w:tc>
          <w:tcPr>
            <w:tcW w:w="2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SEPTEMBER 30, 2006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42,200</w:t>
            </w:r>
          </w:p>
        </w:tc>
        <w:tc>
          <w:tcPr>
            <w:tcW w:w="220" w:type="dxa"/>
            <w:vAlign w:val="bottom"/>
            <w:shd w:val="clear" w:color="auto" w:fill="D6F3E8"/>
          </w:tcPr>
          <w:p>
            <w:pPr>
              <w:spacing w:after="0"/>
              <w:rPr>
                <w:sz w:val="18"/>
                <w:szCs w:val="18"/>
                <w:color w:val="auto"/>
              </w:rPr>
            </w:pPr>
          </w:p>
        </w:tc>
        <w:tc>
          <w:tcPr>
            <w:tcW w:w="1380" w:type="dxa"/>
            <w:vAlign w:val="bottom"/>
            <w:shd w:val="clear" w:color="auto" w:fill="D6F3E8"/>
          </w:tcPr>
          <w:p>
            <w:pPr>
              <w:jc w:val="right"/>
              <w:ind w:right="372"/>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D6F3E8"/>
          </w:tcPr>
          <w:p>
            <w:pPr>
              <w:spacing w:after="0"/>
              <w:rPr>
                <w:sz w:val="18"/>
                <w:szCs w:val="18"/>
                <w:color w:val="auto"/>
              </w:rPr>
            </w:pPr>
          </w:p>
        </w:tc>
        <w:tc>
          <w:tcPr>
            <w:tcW w:w="500" w:type="dxa"/>
            <w:vAlign w:val="bottom"/>
            <w:shd w:val="clear" w:color="auto" w:fill="D6F3E8"/>
          </w:tcPr>
          <w:p>
            <w:pPr>
              <w:jc w:val="right"/>
              <w:ind w:right="34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83,661</w:t>
            </w:r>
          </w:p>
        </w:tc>
        <w:tc>
          <w:tcPr>
            <w:tcW w:w="1360" w:type="dxa"/>
            <w:vAlign w:val="bottom"/>
            <w:shd w:val="clear" w:color="auto" w:fill="D6F3E8"/>
          </w:tcPr>
          <w:p>
            <w:pPr>
              <w:jc w:val="right"/>
              <w:ind w:right="35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31,024</w:t>
            </w:r>
          </w:p>
        </w:tc>
        <w:tc>
          <w:tcPr>
            <w:tcW w:w="220" w:type="dxa"/>
            <w:vAlign w:val="bottom"/>
          </w:tcPr>
          <w:p>
            <w:pPr>
              <w:spacing w:after="0"/>
              <w:rPr>
                <w:sz w:val="19"/>
                <w:szCs w:val="19"/>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73.5</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61,661</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Gross margin</w:t>
            </w:r>
          </w:p>
        </w:tc>
        <w:tc>
          <w:tcPr>
            <w:tcW w:w="44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11,177</w:t>
            </w:r>
          </w:p>
        </w:tc>
        <w:tc>
          <w:tcPr>
            <w:tcW w:w="220" w:type="dxa"/>
            <w:vAlign w:val="bottom"/>
            <w:tcBorders>
              <w:top w:val="single" w:sz="8" w:color="D6F3E8"/>
            </w:tcBorders>
            <w:shd w:val="clear" w:color="auto" w:fill="D6F3E8"/>
          </w:tcPr>
          <w:p>
            <w:pPr>
              <w:spacing w:after="0"/>
              <w:rPr>
                <w:sz w:val="18"/>
                <w:szCs w:val="18"/>
                <w:color w:val="auto"/>
              </w:rPr>
            </w:pPr>
          </w:p>
        </w:tc>
        <w:tc>
          <w:tcPr>
            <w:tcW w:w="1380" w:type="dxa"/>
            <w:vAlign w:val="bottom"/>
            <w:tcBorders>
              <w:top w:val="single" w:sz="8" w:color="auto"/>
            </w:tcBorders>
            <w:shd w:val="clear" w:color="auto" w:fill="D6F3E8"/>
          </w:tcPr>
          <w:p>
            <w:pPr>
              <w:jc w:val="right"/>
              <w:ind w:right="512"/>
              <w:spacing w:after="0"/>
              <w:rPr>
                <w:sz w:val="20"/>
                <w:szCs w:val="20"/>
                <w:color w:val="auto"/>
              </w:rPr>
            </w:pPr>
            <w:r>
              <w:rPr>
                <w:rFonts w:ascii="Arial" w:cs="Arial" w:eastAsia="Arial" w:hAnsi="Arial"/>
                <w:sz w:val="18"/>
                <w:szCs w:val="18"/>
                <w:color w:val="auto"/>
              </w:rPr>
              <w:t>26.5</w:t>
            </w:r>
          </w:p>
        </w:tc>
        <w:tc>
          <w:tcPr>
            <w:tcW w:w="580" w:type="dxa"/>
            <w:vAlign w:val="bottom"/>
            <w:tcBorders>
              <w:top w:val="single" w:sz="8" w:color="D6F3E8"/>
            </w:tcBorders>
            <w:shd w:val="clear" w:color="auto" w:fill="D6F3E8"/>
          </w:tcPr>
          <w:p>
            <w:pPr>
              <w:spacing w:after="0"/>
              <w:rPr>
                <w:sz w:val="18"/>
                <w:szCs w:val="18"/>
                <w:color w:val="auto"/>
              </w:rPr>
            </w:pPr>
          </w:p>
        </w:tc>
        <w:tc>
          <w:tcPr>
            <w:tcW w:w="50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tcBorders>
              <w:top w:val="single" w:sz="8" w:color="D6F3E8"/>
            </w:tcBorders>
            <w:shd w:val="clear" w:color="auto" w:fill="D6F3E8"/>
          </w:tcPr>
          <w:p>
            <w:pPr>
              <w:spacing w:after="0"/>
              <w:rPr>
                <w:sz w:val="18"/>
                <w:szCs w:val="18"/>
                <w:color w:val="auto"/>
              </w:rPr>
            </w:pPr>
          </w:p>
        </w:tc>
        <w:tc>
          <w:tcPr>
            <w:tcW w:w="1360" w:type="dxa"/>
            <w:vAlign w:val="bottom"/>
            <w:tcBorders>
              <w:top w:val="single" w:sz="8" w:color="auto"/>
            </w:tcBorders>
            <w:shd w:val="clear" w:color="auto" w:fill="D6F3E8"/>
          </w:tcPr>
          <w:p>
            <w:pPr>
              <w:jc w:val="right"/>
              <w:ind w:right="49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6,482</w:t>
            </w:r>
          </w:p>
        </w:tc>
        <w:tc>
          <w:tcPr>
            <w:tcW w:w="220" w:type="dxa"/>
            <w:vAlign w:val="bottom"/>
          </w:tcPr>
          <w:p>
            <w:pPr>
              <w:spacing w:after="0"/>
              <w:rPr>
                <w:sz w:val="19"/>
                <w:szCs w:val="19"/>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15.4</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13,119</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Income from operations</w:t>
            </w:r>
          </w:p>
        </w:tc>
        <w:tc>
          <w:tcPr>
            <w:tcW w:w="44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4,694</w:t>
            </w:r>
          </w:p>
        </w:tc>
        <w:tc>
          <w:tcPr>
            <w:tcW w:w="220" w:type="dxa"/>
            <w:vAlign w:val="bottom"/>
            <w:tcBorders>
              <w:top w:val="single" w:sz="8" w:color="D6F3E8"/>
            </w:tcBorders>
            <w:shd w:val="clear" w:color="auto" w:fill="D6F3E8"/>
          </w:tcPr>
          <w:p>
            <w:pPr>
              <w:spacing w:after="0"/>
              <w:rPr>
                <w:sz w:val="18"/>
                <w:szCs w:val="18"/>
                <w:color w:val="auto"/>
              </w:rPr>
            </w:pPr>
          </w:p>
        </w:tc>
        <w:tc>
          <w:tcPr>
            <w:tcW w:w="1380" w:type="dxa"/>
            <w:vAlign w:val="bottom"/>
            <w:tcBorders>
              <w:top w:val="single" w:sz="8" w:color="auto"/>
            </w:tcBorders>
            <w:shd w:val="clear" w:color="auto" w:fill="D6F3E8"/>
          </w:tcPr>
          <w:p>
            <w:pPr>
              <w:jc w:val="right"/>
              <w:ind w:right="512"/>
              <w:spacing w:after="0"/>
              <w:rPr>
                <w:sz w:val="20"/>
                <w:szCs w:val="20"/>
                <w:color w:val="auto"/>
              </w:rPr>
            </w:pPr>
            <w:r>
              <w:rPr>
                <w:rFonts w:ascii="Arial" w:cs="Arial" w:eastAsia="Arial" w:hAnsi="Arial"/>
                <w:sz w:val="18"/>
                <w:szCs w:val="18"/>
                <w:color w:val="auto"/>
              </w:rPr>
              <w:t>11.1</w:t>
            </w:r>
          </w:p>
        </w:tc>
        <w:tc>
          <w:tcPr>
            <w:tcW w:w="580" w:type="dxa"/>
            <w:vAlign w:val="bottom"/>
            <w:tcBorders>
              <w:top w:val="single" w:sz="8" w:color="D6F3E8"/>
            </w:tcBorders>
            <w:shd w:val="clear" w:color="auto" w:fill="D6F3E8"/>
          </w:tcPr>
          <w:p>
            <w:pPr>
              <w:spacing w:after="0"/>
              <w:rPr>
                <w:sz w:val="18"/>
                <w:szCs w:val="18"/>
                <w:color w:val="auto"/>
              </w:rPr>
            </w:pPr>
          </w:p>
        </w:tc>
        <w:tc>
          <w:tcPr>
            <w:tcW w:w="50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8,881</w:t>
            </w:r>
          </w:p>
        </w:tc>
        <w:tc>
          <w:tcPr>
            <w:tcW w:w="200" w:type="dxa"/>
            <w:vAlign w:val="bottom"/>
            <w:tcBorders>
              <w:top w:val="single" w:sz="8" w:color="D6F3E8"/>
            </w:tcBorders>
            <w:shd w:val="clear" w:color="auto" w:fill="D6F3E8"/>
          </w:tcPr>
          <w:p>
            <w:pPr>
              <w:spacing w:after="0"/>
              <w:rPr>
                <w:sz w:val="18"/>
                <w:szCs w:val="18"/>
                <w:color w:val="auto"/>
              </w:rPr>
            </w:pPr>
          </w:p>
        </w:tc>
        <w:tc>
          <w:tcPr>
            <w:tcW w:w="1360" w:type="dxa"/>
            <w:vAlign w:val="bottom"/>
            <w:tcBorders>
              <w:top w:val="single" w:sz="8" w:color="auto"/>
            </w:tcBorders>
            <w:shd w:val="clear" w:color="auto" w:fill="D6F3E8"/>
          </w:tcPr>
          <w:p>
            <w:pPr>
              <w:jc w:val="right"/>
              <w:ind w:right="49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649</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shd w:val="clear" w:color="auto" w:fill="D6F3E8"/>
          </w:tcPr>
          <w:p>
            <w:pPr>
              <w:spacing w:after="0"/>
              <w:rPr>
                <w:sz w:val="18"/>
                <w:szCs w:val="18"/>
                <w:color w:val="auto"/>
              </w:rPr>
            </w:pPr>
          </w:p>
        </w:tc>
        <w:tc>
          <w:tcPr>
            <w:tcW w:w="1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5,042</w:t>
            </w:r>
          </w:p>
        </w:tc>
        <w:tc>
          <w:tcPr>
            <w:tcW w:w="220" w:type="dxa"/>
            <w:vAlign w:val="bottom"/>
            <w:tcBorders>
              <w:top w:val="single" w:sz="8" w:color="D6F3E8"/>
            </w:tcBorders>
            <w:shd w:val="clear" w:color="auto" w:fill="D6F3E8"/>
          </w:tcPr>
          <w:p>
            <w:pPr>
              <w:spacing w:after="0"/>
              <w:rPr>
                <w:sz w:val="18"/>
                <w:szCs w:val="18"/>
                <w:color w:val="auto"/>
              </w:rPr>
            </w:pPr>
          </w:p>
        </w:tc>
        <w:tc>
          <w:tcPr>
            <w:tcW w:w="1380" w:type="dxa"/>
            <w:vAlign w:val="bottom"/>
            <w:tcBorders>
              <w:top w:val="single" w:sz="8" w:color="auto"/>
            </w:tcBorders>
            <w:shd w:val="clear" w:color="auto" w:fill="D6F3E8"/>
          </w:tcPr>
          <w:p>
            <w:pPr>
              <w:jc w:val="right"/>
              <w:ind w:right="512"/>
              <w:spacing w:after="0"/>
              <w:rPr>
                <w:sz w:val="20"/>
                <w:szCs w:val="20"/>
                <w:color w:val="auto"/>
              </w:rPr>
            </w:pPr>
            <w:r>
              <w:rPr>
                <w:rFonts w:ascii="Arial" w:cs="Arial" w:eastAsia="Arial" w:hAnsi="Arial"/>
                <w:sz w:val="18"/>
                <w:szCs w:val="18"/>
                <w:color w:val="auto"/>
              </w:rPr>
              <w:t>11.9</w:t>
            </w:r>
          </w:p>
        </w:tc>
        <w:tc>
          <w:tcPr>
            <w:tcW w:w="580" w:type="dxa"/>
            <w:vAlign w:val="bottom"/>
            <w:tcBorders>
              <w:top w:val="single" w:sz="8" w:color="D6F3E8"/>
            </w:tcBorders>
            <w:shd w:val="clear" w:color="auto" w:fill="D6F3E8"/>
          </w:tcPr>
          <w:p>
            <w:pPr>
              <w:spacing w:after="0"/>
              <w:rPr>
                <w:sz w:val="18"/>
                <w:szCs w:val="18"/>
                <w:color w:val="auto"/>
              </w:rPr>
            </w:pPr>
          </w:p>
        </w:tc>
        <w:tc>
          <w:tcPr>
            <w:tcW w:w="50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9,530</w:t>
            </w:r>
          </w:p>
        </w:tc>
        <w:tc>
          <w:tcPr>
            <w:tcW w:w="200" w:type="dxa"/>
            <w:vAlign w:val="bottom"/>
            <w:tcBorders>
              <w:top w:val="single" w:sz="8" w:color="D6F3E8"/>
            </w:tcBorders>
            <w:shd w:val="clear" w:color="auto" w:fill="D6F3E8"/>
          </w:tcPr>
          <w:p>
            <w:pPr>
              <w:spacing w:after="0"/>
              <w:rPr>
                <w:sz w:val="18"/>
                <w:szCs w:val="18"/>
                <w:color w:val="auto"/>
              </w:rPr>
            </w:pPr>
          </w:p>
        </w:tc>
        <w:tc>
          <w:tcPr>
            <w:tcW w:w="1360" w:type="dxa"/>
            <w:vAlign w:val="bottom"/>
            <w:tcBorders>
              <w:top w:val="single" w:sz="8" w:color="auto"/>
            </w:tcBorders>
            <w:shd w:val="clear" w:color="auto" w:fill="D6F3E8"/>
          </w:tcPr>
          <w:p>
            <w:pPr>
              <w:jc w:val="right"/>
              <w:ind w:right="49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1,896</w:t>
            </w:r>
          </w:p>
        </w:tc>
        <w:tc>
          <w:tcPr>
            <w:tcW w:w="220" w:type="dxa"/>
            <w:vAlign w:val="bottom"/>
          </w:tcPr>
          <w:p>
            <w:pPr>
              <w:spacing w:after="0"/>
              <w:rPr>
                <w:sz w:val="19"/>
                <w:szCs w:val="19"/>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3,584</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Borders>
              <w:top w:val="single" w:sz="8" w:color="D6F3E8"/>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3,146</w:t>
            </w:r>
          </w:p>
        </w:tc>
        <w:tc>
          <w:tcPr>
            <w:tcW w:w="220" w:type="dxa"/>
            <w:vAlign w:val="bottom"/>
            <w:tcBorders>
              <w:top w:val="single" w:sz="8" w:color="D6F3E8"/>
              <w:bottom w:val="single" w:sz="8" w:color="D6F3E8"/>
            </w:tcBorders>
            <w:shd w:val="clear" w:color="auto" w:fill="D6F3E8"/>
          </w:tcPr>
          <w:p>
            <w:pPr>
              <w:spacing w:after="0"/>
              <w:rPr>
                <w:sz w:val="20"/>
                <w:szCs w:val="20"/>
                <w:color w:val="auto"/>
              </w:rPr>
            </w:pPr>
          </w:p>
        </w:tc>
        <w:tc>
          <w:tcPr>
            <w:tcW w:w="1380" w:type="dxa"/>
            <w:vAlign w:val="bottom"/>
            <w:tcBorders>
              <w:top w:val="single" w:sz="8" w:color="auto"/>
              <w:bottom w:val="single" w:sz="8" w:color="auto"/>
            </w:tcBorders>
            <w:shd w:val="clear" w:color="auto" w:fill="D6F3E8"/>
          </w:tcPr>
          <w:p>
            <w:pPr>
              <w:jc w:val="right"/>
              <w:ind w:right="372"/>
              <w:spacing w:after="0"/>
              <w:rPr>
                <w:sz w:val="20"/>
                <w:szCs w:val="20"/>
                <w:color w:val="auto"/>
              </w:rPr>
            </w:pPr>
            <w:r>
              <w:rPr>
                <w:rFonts w:ascii="Arial" w:cs="Arial" w:eastAsia="Arial" w:hAnsi="Arial"/>
                <w:sz w:val="18"/>
                <w:szCs w:val="18"/>
                <w:color w:val="auto"/>
              </w:rPr>
              <w:t>7.5%</w:t>
            </w:r>
          </w:p>
        </w:tc>
        <w:tc>
          <w:tcPr>
            <w:tcW w:w="580" w:type="dxa"/>
            <w:vAlign w:val="bottom"/>
            <w:tcBorders>
              <w:top w:val="single" w:sz="8" w:color="D6F3E8"/>
              <w:bottom w:val="single" w:sz="8" w:color="D6F3E8"/>
            </w:tcBorders>
            <w:shd w:val="clear" w:color="auto" w:fill="D6F3E8"/>
          </w:tcPr>
          <w:p>
            <w:pPr>
              <w:spacing w:after="0"/>
              <w:rPr>
                <w:sz w:val="20"/>
                <w:szCs w:val="20"/>
                <w:color w:val="auto"/>
              </w:rPr>
            </w:pPr>
          </w:p>
        </w:tc>
        <w:tc>
          <w:tcPr>
            <w:tcW w:w="500" w:type="dxa"/>
            <w:vAlign w:val="bottom"/>
            <w:tcBorders>
              <w:top w:val="single" w:sz="8" w:color="auto"/>
              <w:bottom w:val="single" w:sz="8" w:color="auto"/>
            </w:tcBorders>
            <w:shd w:val="clear" w:color="auto" w:fill="D6F3E8"/>
          </w:tcPr>
          <w:p>
            <w:pPr>
              <w:jc w:val="right"/>
              <w:ind w:right="34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5,946</w:t>
            </w:r>
          </w:p>
        </w:tc>
        <w:tc>
          <w:tcPr>
            <w:tcW w:w="200" w:type="dxa"/>
            <w:vAlign w:val="bottom"/>
            <w:tcBorders>
              <w:top w:val="single" w:sz="8" w:color="D6F3E8"/>
              <w:bottom w:val="single" w:sz="8" w:color="D6F3E8"/>
            </w:tcBorders>
            <w:shd w:val="clear" w:color="auto" w:fill="D6F3E8"/>
          </w:tcPr>
          <w:p>
            <w:pPr>
              <w:spacing w:after="0"/>
              <w:rPr>
                <w:sz w:val="20"/>
                <w:szCs w:val="20"/>
                <w:color w:val="auto"/>
              </w:rPr>
            </w:pPr>
          </w:p>
        </w:tc>
        <w:tc>
          <w:tcPr>
            <w:tcW w:w="1360" w:type="dxa"/>
            <w:vAlign w:val="bottom"/>
            <w:tcBorders>
              <w:top w:val="single" w:sz="8" w:color="auto"/>
              <w:bottom w:val="single" w:sz="8" w:color="auto"/>
            </w:tcBorders>
            <w:shd w:val="clear" w:color="auto" w:fill="D6F3E8"/>
          </w:tcPr>
          <w:p>
            <w:pPr>
              <w:jc w:val="right"/>
              <w:ind w:right="35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6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8"/>
              </w:rPr>
              <w:t>THREE MONTHS ENDED</w:t>
            </w:r>
          </w:p>
        </w:tc>
        <w:tc>
          <w:tcPr>
            <w:tcW w:w="500" w:type="dxa"/>
            <w:vAlign w:val="bottom"/>
          </w:tcPr>
          <w:p>
            <w:pPr>
              <w:spacing w:after="0"/>
              <w:rPr>
                <w:sz w:val="24"/>
                <w:szCs w:val="24"/>
                <w:color w:val="auto"/>
              </w:rPr>
            </w:pPr>
          </w:p>
        </w:tc>
        <w:tc>
          <w:tcPr>
            <w:tcW w:w="2660" w:type="dxa"/>
            <w:vAlign w:val="bottom"/>
            <w:gridSpan w:val="3"/>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6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2"/>
              </w:rPr>
              <w:t>SEPTEMBER 30, 2005</w:t>
            </w:r>
          </w:p>
        </w:tc>
        <w:tc>
          <w:tcPr>
            <w:tcW w:w="500" w:type="dxa"/>
            <w:vAlign w:val="bottom"/>
          </w:tcPr>
          <w:p>
            <w:pPr>
              <w:spacing w:after="0"/>
              <w:rPr>
                <w:sz w:val="14"/>
                <w:szCs w:val="14"/>
                <w:color w:val="auto"/>
              </w:rPr>
            </w:pPr>
          </w:p>
        </w:tc>
        <w:tc>
          <w:tcPr>
            <w:tcW w:w="2660" w:type="dxa"/>
            <w:vAlign w:val="bottom"/>
            <w:gridSpan w:val="3"/>
          </w:tcPr>
          <w:p>
            <w:pPr>
              <w:ind w:left="420"/>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440" w:type="dxa"/>
            <w:vAlign w:val="bottom"/>
            <w:shd w:val="clear" w:color="auto" w:fill="D6F3E8"/>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36,643</w:t>
            </w:r>
          </w:p>
        </w:tc>
        <w:tc>
          <w:tcPr>
            <w:tcW w:w="220" w:type="dxa"/>
            <w:vAlign w:val="bottom"/>
            <w:shd w:val="clear" w:color="auto" w:fill="D6F3E8"/>
          </w:tcPr>
          <w:p>
            <w:pPr>
              <w:spacing w:after="0"/>
              <w:rPr>
                <w:sz w:val="22"/>
                <w:szCs w:val="22"/>
                <w:color w:val="auto"/>
              </w:rPr>
            </w:pPr>
          </w:p>
        </w:tc>
        <w:tc>
          <w:tcPr>
            <w:tcW w:w="1380" w:type="dxa"/>
            <w:vAlign w:val="bottom"/>
            <w:shd w:val="clear" w:color="auto" w:fill="D6F3E8"/>
          </w:tcPr>
          <w:p>
            <w:pPr>
              <w:jc w:val="right"/>
              <w:ind w:right="372"/>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D6F3E8"/>
          </w:tcPr>
          <w:p>
            <w:pPr>
              <w:spacing w:after="0"/>
              <w:rPr>
                <w:sz w:val="22"/>
                <w:szCs w:val="22"/>
                <w:color w:val="auto"/>
              </w:rPr>
            </w:pPr>
          </w:p>
        </w:tc>
        <w:tc>
          <w:tcPr>
            <w:tcW w:w="500" w:type="dxa"/>
            <w:vAlign w:val="bottom"/>
            <w:shd w:val="clear" w:color="auto" w:fill="D6F3E8"/>
          </w:tcPr>
          <w:p>
            <w:pPr>
              <w:jc w:val="right"/>
              <w:ind w:right="34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72,498</w:t>
            </w:r>
          </w:p>
        </w:tc>
        <w:tc>
          <w:tcPr>
            <w:tcW w:w="1360" w:type="dxa"/>
            <w:vAlign w:val="bottom"/>
            <w:shd w:val="clear" w:color="auto" w:fill="D6F3E8"/>
          </w:tcPr>
          <w:p>
            <w:pPr>
              <w:jc w:val="right"/>
              <w:ind w:right="35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27,848</w:t>
            </w:r>
          </w:p>
        </w:tc>
        <w:tc>
          <w:tcPr>
            <w:tcW w:w="220" w:type="dxa"/>
            <w:vAlign w:val="bottom"/>
          </w:tcPr>
          <w:p>
            <w:pPr>
              <w:spacing w:after="0"/>
              <w:rPr>
                <w:sz w:val="22"/>
                <w:szCs w:val="22"/>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76.0</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53,817</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44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margin</w:t>
            </w:r>
          </w:p>
        </w:tc>
        <w:tc>
          <w:tcPr>
            <w:tcW w:w="440" w:type="dxa"/>
            <w:vAlign w:val="bottom"/>
            <w:tcBorders>
              <w:top w:val="single" w:sz="8" w:color="auto"/>
            </w:tcBorders>
            <w:shd w:val="clear" w:color="auto" w:fill="D6F3E8"/>
          </w:tcPr>
          <w:p>
            <w:pPr>
              <w:spacing w:after="0"/>
              <w:rPr>
                <w:sz w:val="21"/>
                <w:szCs w:val="21"/>
                <w:color w:val="auto"/>
              </w:rPr>
            </w:pPr>
          </w:p>
        </w:tc>
        <w:tc>
          <w:tcPr>
            <w:tcW w:w="1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8,795</w:t>
            </w:r>
          </w:p>
        </w:tc>
        <w:tc>
          <w:tcPr>
            <w:tcW w:w="220" w:type="dxa"/>
            <w:vAlign w:val="bottom"/>
            <w:tcBorders>
              <w:top w:val="single" w:sz="8" w:color="D6F3E8"/>
            </w:tcBorders>
            <w:shd w:val="clear" w:color="auto" w:fill="D6F3E8"/>
          </w:tcPr>
          <w:p>
            <w:pPr>
              <w:spacing w:after="0"/>
              <w:rPr>
                <w:sz w:val="21"/>
                <w:szCs w:val="21"/>
                <w:color w:val="auto"/>
              </w:rPr>
            </w:pPr>
          </w:p>
        </w:tc>
        <w:tc>
          <w:tcPr>
            <w:tcW w:w="1380" w:type="dxa"/>
            <w:vAlign w:val="bottom"/>
            <w:tcBorders>
              <w:top w:val="single" w:sz="8" w:color="auto"/>
            </w:tcBorders>
            <w:shd w:val="clear" w:color="auto" w:fill="D6F3E8"/>
          </w:tcPr>
          <w:p>
            <w:pPr>
              <w:jc w:val="right"/>
              <w:ind w:right="512"/>
              <w:spacing w:after="0"/>
              <w:rPr>
                <w:sz w:val="20"/>
                <w:szCs w:val="20"/>
                <w:color w:val="auto"/>
              </w:rPr>
            </w:pPr>
            <w:r>
              <w:rPr>
                <w:rFonts w:ascii="Arial" w:cs="Arial" w:eastAsia="Arial" w:hAnsi="Arial"/>
                <w:sz w:val="18"/>
                <w:szCs w:val="18"/>
                <w:color w:val="auto"/>
              </w:rPr>
              <w:t>24.0</w:t>
            </w:r>
          </w:p>
        </w:tc>
        <w:tc>
          <w:tcPr>
            <w:tcW w:w="580" w:type="dxa"/>
            <w:vAlign w:val="bottom"/>
            <w:tcBorders>
              <w:top w:val="single" w:sz="8" w:color="D6F3E8"/>
            </w:tcBorders>
            <w:shd w:val="clear" w:color="auto" w:fill="D6F3E8"/>
          </w:tcPr>
          <w:p>
            <w:pPr>
              <w:spacing w:after="0"/>
              <w:rPr>
                <w:sz w:val="21"/>
                <w:szCs w:val="21"/>
                <w:color w:val="auto"/>
              </w:rPr>
            </w:pPr>
          </w:p>
        </w:tc>
        <w:tc>
          <w:tcPr>
            <w:tcW w:w="500" w:type="dxa"/>
            <w:vAlign w:val="bottom"/>
            <w:tcBorders>
              <w:top w:val="single" w:sz="8" w:color="auto"/>
            </w:tcBorders>
            <w:shd w:val="clear" w:color="auto" w:fill="D6F3E8"/>
          </w:tcPr>
          <w:p>
            <w:pPr>
              <w:spacing w:after="0"/>
              <w:rPr>
                <w:sz w:val="21"/>
                <w:szCs w:val="21"/>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18,681</w:t>
            </w:r>
          </w:p>
        </w:tc>
        <w:tc>
          <w:tcPr>
            <w:tcW w:w="200" w:type="dxa"/>
            <w:vAlign w:val="bottom"/>
            <w:tcBorders>
              <w:top w:val="single" w:sz="8" w:color="D6F3E8"/>
            </w:tcBorders>
            <w:shd w:val="clear" w:color="auto" w:fill="D6F3E8"/>
          </w:tcPr>
          <w:p>
            <w:pPr>
              <w:spacing w:after="0"/>
              <w:rPr>
                <w:sz w:val="21"/>
                <w:szCs w:val="21"/>
                <w:color w:val="auto"/>
              </w:rPr>
            </w:pPr>
          </w:p>
        </w:tc>
        <w:tc>
          <w:tcPr>
            <w:tcW w:w="1360" w:type="dxa"/>
            <w:vAlign w:val="bottom"/>
            <w:tcBorders>
              <w:top w:val="single" w:sz="8" w:color="auto"/>
            </w:tcBorders>
            <w:shd w:val="clear" w:color="auto" w:fill="D6F3E8"/>
          </w:tcPr>
          <w:p>
            <w:pPr>
              <w:jc w:val="right"/>
              <w:ind w:right="49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56"/>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5,190</w:t>
            </w:r>
          </w:p>
        </w:tc>
        <w:tc>
          <w:tcPr>
            <w:tcW w:w="220" w:type="dxa"/>
            <w:vAlign w:val="bottom"/>
          </w:tcPr>
          <w:p>
            <w:pPr>
              <w:spacing w:after="0"/>
              <w:rPr>
                <w:sz w:val="22"/>
                <w:szCs w:val="22"/>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14.2</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11,088</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w:t>
            </w:r>
          </w:p>
        </w:tc>
        <w:tc>
          <w:tcPr>
            <w:tcW w:w="440" w:type="dxa"/>
            <w:vAlign w:val="bottom"/>
            <w:shd w:val="clear" w:color="auto" w:fill="D6F3E8"/>
          </w:tcPr>
          <w:p>
            <w:pPr>
              <w:spacing w:after="0"/>
              <w:rPr>
                <w:sz w:val="22"/>
                <w:szCs w:val="22"/>
                <w:color w:val="auto"/>
              </w:rPr>
            </w:pPr>
          </w:p>
        </w:tc>
        <w:tc>
          <w:tcPr>
            <w:tcW w:w="14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(1,016)</w:t>
            </w:r>
          </w:p>
        </w:tc>
        <w:tc>
          <w:tcPr>
            <w:tcW w:w="1380" w:type="dxa"/>
            <w:vAlign w:val="bottom"/>
            <w:shd w:val="clear" w:color="auto" w:fill="D6F3E8"/>
          </w:tcPr>
          <w:p>
            <w:pPr>
              <w:jc w:val="right"/>
              <w:ind w:right="452"/>
              <w:spacing w:after="0"/>
              <w:rPr>
                <w:sz w:val="20"/>
                <w:szCs w:val="20"/>
                <w:color w:val="auto"/>
              </w:rPr>
            </w:pPr>
            <w:r>
              <w:rPr>
                <w:rFonts w:ascii="Arial" w:cs="Arial" w:eastAsia="Arial" w:hAnsi="Arial"/>
                <w:sz w:val="18"/>
                <w:szCs w:val="18"/>
                <w:color w:val="auto"/>
              </w:rPr>
              <w:t>(2.8)</w:t>
            </w:r>
          </w:p>
        </w:tc>
        <w:tc>
          <w:tcPr>
            <w:tcW w:w="580" w:type="dxa"/>
            <w:vAlign w:val="bottom"/>
            <w:shd w:val="clear" w:color="auto" w:fill="D6F3E8"/>
          </w:tcPr>
          <w:p>
            <w:pPr>
              <w:spacing w:after="0"/>
              <w:rPr>
                <w:sz w:val="22"/>
                <w:szCs w:val="22"/>
                <w:color w:val="auto"/>
              </w:rPr>
            </w:pPr>
          </w:p>
        </w:tc>
        <w:tc>
          <w:tcPr>
            <w:tcW w:w="50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(1,016)</w:t>
            </w:r>
          </w:p>
        </w:tc>
        <w:tc>
          <w:tcPr>
            <w:tcW w:w="136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9"/>
        </w:trPr>
        <w:tc>
          <w:tcPr>
            <w:tcW w:w="4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4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220" w:type="dxa"/>
            <w:vAlign w:val="bottom"/>
          </w:tcPr>
          <w:p>
            <w:pPr>
              <w:spacing w:after="0"/>
              <w:rPr>
                <w:sz w:val="21"/>
                <w:szCs w:val="21"/>
                <w:color w:val="auto"/>
              </w:rPr>
            </w:pPr>
          </w:p>
        </w:tc>
        <w:tc>
          <w:tcPr>
            <w:tcW w:w="1380" w:type="dxa"/>
            <w:vAlign w:val="bottom"/>
            <w:tcBorders>
              <w:top w:val="single" w:sz="8" w:color="auto"/>
            </w:tcBorders>
          </w:tcPr>
          <w:p>
            <w:pPr>
              <w:jc w:val="right"/>
              <w:ind w:right="512"/>
              <w:spacing w:after="0"/>
              <w:rPr>
                <w:sz w:val="20"/>
                <w:szCs w:val="20"/>
                <w:color w:val="auto"/>
              </w:rPr>
            </w:pPr>
            <w:r>
              <w:rPr>
                <w:rFonts w:ascii="Arial" w:cs="Arial" w:eastAsia="Arial" w:hAnsi="Arial"/>
                <w:sz w:val="18"/>
                <w:szCs w:val="18"/>
                <w:color w:val="auto"/>
              </w:rPr>
              <w:t>12.6</w:t>
            </w:r>
          </w:p>
        </w:tc>
        <w:tc>
          <w:tcPr>
            <w:tcW w:w="58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200" w:type="dxa"/>
            <w:vAlign w:val="bottom"/>
          </w:tcPr>
          <w:p>
            <w:pPr>
              <w:spacing w:after="0"/>
              <w:rPr>
                <w:sz w:val="21"/>
                <w:szCs w:val="21"/>
                <w:color w:val="auto"/>
              </w:rPr>
            </w:pPr>
          </w:p>
        </w:tc>
        <w:tc>
          <w:tcPr>
            <w:tcW w:w="13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440" w:type="dxa"/>
            <w:vAlign w:val="bottom"/>
            <w:tcBorders>
              <w:bottom w:val="single" w:sz="8" w:color="auto"/>
            </w:tcBorders>
            <w:shd w:val="clear" w:color="auto" w:fill="D6F3E8"/>
          </w:tcPr>
          <w:p>
            <w:pPr>
              <w:spacing w:after="0"/>
              <w:rPr>
                <w:sz w:val="22"/>
                <w:szCs w:val="22"/>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6F3E8"/>
          </w:tcPr>
          <w:p>
            <w:pPr>
              <w:spacing w:after="0"/>
              <w:rPr>
                <w:sz w:val="22"/>
                <w:szCs w:val="22"/>
                <w:color w:val="auto"/>
              </w:rPr>
            </w:pPr>
          </w:p>
        </w:tc>
        <w:tc>
          <w:tcPr>
            <w:tcW w:w="1380" w:type="dxa"/>
            <w:vAlign w:val="bottom"/>
            <w:tcBorders>
              <w:bottom w:val="single" w:sz="8" w:color="auto"/>
            </w:tcBorders>
            <w:shd w:val="clear" w:color="auto" w:fill="D6F3E8"/>
          </w:tcPr>
          <w:p>
            <w:pPr>
              <w:jc w:val="right"/>
              <w:ind w:right="512"/>
              <w:spacing w:after="0"/>
              <w:rPr>
                <w:sz w:val="20"/>
                <w:szCs w:val="20"/>
                <w:color w:val="auto"/>
              </w:rPr>
            </w:pPr>
            <w:r>
              <w:rPr>
                <w:rFonts w:ascii="Arial" w:cs="Arial" w:eastAsia="Arial" w:hAnsi="Arial"/>
                <w:sz w:val="18"/>
                <w:szCs w:val="18"/>
                <w:color w:val="auto"/>
              </w:rPr>
              <w:t>0.2</w:t>
            </w:r>
          </w:p>
        </w:tc>
        <w:tc>
          <w:tcPr>
            <w:tcW w:w="580" w:type="dxa"/>
            <w:vAlign w:val="bottom"/>
            <w:shd w:val="clear" w:color="auto" w:fill="D6F3E8"/>
          </w:tcPr>
          <w:p>
            <w:pPr>
              <w:spacing w:after="0"/>
              <w:rPr>
                <w:sz w:val="22"/>
                <w:szCs w:val="22"/>
                <w:color w:val="auto"/>
              </w:rPr>
            </w:pPr>
          </w:p>
        </w:tc>
        <w:tc>
          <w:tcPr>
            <w:tcW w:w="500" w:type="dxa"/>
            <w:vAlign w:val="bottom"/>
            <w:tcBorders>
              <w:bottom w:val="single" w:sz="8" w:color="auto"/>
            </w:tcBorders>
            <w:shd w:val="clear" w:color="auto" w:fill="D6F3E8"/>
          </w:tcPr>
          <w:p>
            <w:pPr>
              <w:spacing w:after="0"/>
              <w:rPr>
                <w:sz w:val="22"/>
                <w:szCs w:val="22"/>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D6F3E8"/>
          </w:tcPr>
          <w:p>
            <w:pPr>
              <w:spacing w:after="0"/>
              <w:rPr>
                <w:sz w:val="22"/>
                <w:szCs w:val="22"/>
                <w:color w:val="auto"/>
              </w:rPr>
            </w:pPr>
          </w:p>
        </w:tc>
        <w:tc>
          <w:tcPr>
            <w:tcW w:w="1360" w:type="dxa"/>
            <w:vAlign w:val="bottom"/>
            <w:tcBorders>
              <w:bottom w:val="single" w:sz="8" w:color="auto"/>
            </w:tcBorders>
            <w:shd w:val="clear" w:color="auto" w:fill="D6F3E8"/>
          </w:tcPr>
          <w:p>
            <w:pPr>
              <w:jc w:val="right"/>
              <w:ind w:right="49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9"/>
        </w:trPr>
        <w:tc>
          <w:tcPr>
            <w:tcW w:w="44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4,690</w:t>
            </w:r>
          </w:p>
        </w:tc>
        <w:tc>
          <w:tcPr>
            <w:tcW w:w="220" w:type="dxa"/>
            <w:vAlign w:val="bottom"/>
          </w:tcPr>
          <w:p>
            <w:pPr>
              <w:spacing w:after="0"/>
              <w:rPr>
                <w:sz w:val="21"/>
                <w:szCs w:val="21"/>
                <w:color w:val="auto"/>
              </w:rPr>
            </w:pP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12.8</w:t>
            </w: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8,985</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44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auto"/>
            </w:tcBorders>
            <w:shd w:val="clear" w:color="auto" w:fill="D6F3E8"/>
          </w:tcPr>
          <w:p>
            <w:pPr>
              <w:spacing w:after="0"/>
              <w:rPr>
                <w:sz w:val="22"/>
                <w:szCs w:val="22"/>
                <w:color w:val="auto"/>
              </w:rPr>
            </w:pPr>
          </w:p>
        </w:tc>
        <w:tc>
          <w:tcPr>
            <w:tcW w:w="11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D6F3E8"/>
          </w:tcPr>
          <w:p>
            <w:pPr>
              <w:spacing w:after="0"/>
              <w:rPr>
                <w:sz w:val="22"/>
                <w:szCs w:val="22"/>
                <w:color w:val="auto"/>
              </w:rPr>
            </w:pPr>
          </w:p>
        </w:tc>
        <w:tc>
          <w:tcPr>
            <w:tcW w:w="1380" w:type="dxa"/>
            <w:vAlign w:val="bottom"/>
            <w:tcBorders>
              <w:bottom w:val="single" w:sz="8" w:color="auto"/>
            </w:tcBorders>
            <w:shd w:val="clear" w:color="auto" w:fill="D6F3E8"/>
          </w:tcPr>
          <w:p>
            <w:pPr>
              <w:jc w:val="right"/>
              <w:ind w:right="512"/>
              <w:spacing w:after="0"/>
              <w:rPr>
                <w:sz w:val="20"/>
                <w:szCs w:val="20"/>
                <w:color w:val="auto"/>
              </w:rPr>
            </w:pPr>
            <w:r>
              <w:rPr>
                <w:rFonts w:ascii="Arial" w:cs="Arial" w:eastAsia="Arial" w:hAnsi="Arial"/>
                <w:sz w:val="18"/>
                <w:szCs w:val="18"/>
                <w:color w:val="auto"/>
              </w:rPr>
              <w:t>4.6</w:t>
            </w:r>
          </w:p>
        </w:tc>
        <w:tc>
          <w:tcPr>
            <w:tcW w:w="580" w:type="dxa"/>
            <w:vAlign w:val="bottom"/>
            <w:shd w:val="clear" w:color="auto" w:fill="D6F3E8"/>
          </w:tcPr>
          <w:p>
            <w:pPr>
              <w:spacing w:after="0"/>
              <w:rPr>
                <w:sz w:val="22"/>
                <w:szCs w:val="22"/>
                <w:color w:val="auto"/>
              </w:rPr>
            </w:pPr>
          </w:p>
        </w:tc>
        <w:tc>
          <w:tcPr>
            <w:tcW w:w="500" w:type="dxa"/>
            <w:vAlign w:val="bottom"/>
            <w:tcBorders>
              <w:bottom w:val="single" w:sz="8" w:color="auto"/>
            </w:tcBorders>
            <w:shd w:val="clear" w:color="auto" w:fill="D6F3E8"/>
          </w:tcPr>
          <w:p>
            <w:pPr>
              <w:spacing w:after="0"/>
              <w:rPr>
                <w:sz w:val="22"/>
                <w:szCs w:val="22"/>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3,235</w:t>
            </w:r>
          </w:p>
        </w:tc>
        <w:tc>
          <w:tcPr>
            <w:tcW w:w="200" w:type="dxa"/>
            <w:vAlign w:val="bottom"/>
            <w:shd w:val="clear" w:color="auto" w:fill="D6F3E8"/>
          </w:tcPr>
          <w:p>
            <w:pPr>
              <w:spacing w:after="0"/>
              <w:rPr>
                <w:sz w:val="22"/>
                <w:szCs w:val="22"/>
                <w:color w:val="auto"/>
              </w:rPr>
            </w:pPr>
          </w:p>
        </w:tc>
        <w:tc>
          <w:tcPr>
            <w:tcW w:w="1360" w:type="dxa"/>
            <w:vAlign w:val="bottom"/>
            <w:tcBorders>
              <w:bottom w:val="single" w:sz="8" w:color="auto"/>
            </w:tcBorders>
            <w:shd w:val="clear" w:color="auto" w:fill="D6F3E8"/>
          </w:tcPr>
          <w:p>
            <w:pPr>
              <w:jc w:val="right"/>
              <w:ind w:right="49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9"/>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3,001</w:t>
            </w:r>
          </w:p>
        </w:tc>
        <w:tc>
          <w:tcPr>
            <w:tcW w:w="220" w:type="dxa"/>
            <w:vAlign w:val="bottom"/>
          </w:tcPr>
          <w:p>
            <w:pPr>
              <w:spacing w:after="0"/>
              <w:rPr>
                <w:sz w:val="21"/>
                <w:szCs w:val="21"/>
                <w:color w:val="auto"/>
              </w:rPr>
            </w:pPr>
          </w:p>
        </w:tc>
        <w:tc>
          <w:tcPr>
            <w:tcW w:w="1380" w:type="dxa"/>
            <w:vAlign w:val="bottom"/>
          </w:tcPr>
          <w:p>
            <w:pPr>
              <w:jc w:val="right"/>
              <w:ind w:right="372"/>
              <w:spacing w:after="0"/>
              <w:rPr>
                <w:sz w:val="20"/>
                <w:szCs w:val="20"/>
                <w:color w:val="auto"/>
              </w:rPr>
            </w:pPr>
            <w:r>
              <w:rPr>
                <w:rFonts w:ascii="Arial" w:cs="Arial" w:eastAsia="Arial" w:hAnsi="Arial"/>
                <w:sz w:val="18"/>
                <w:szCs w:val="18"/>
                <w:color w:val="auto"/>
              </w:rPr>
              <w:t>8.2%</w:t>
            </w:r>
          </w:p>
        </w:tc>
        <w:tc>
          <w:tcPr>
            <w:tcW w:w="580" w:type="dxa"/>
            <w:vAlign w:val="bottom"/>
          </w:tcPr>
          <w:p>
            <w:pPr>
              <w:spacing w:after="0"/>
              <w:rPr>
                <w:sz w:val="21"/>
                <w:szCs w:val="21"/>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5,750</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Sales increased $5,556,920, or 15.2%, in the three months ended September 30, 2006, and increased $11,163,056, or 15.4%, in the six months ended September 30, 2006 as compared to the same periods a year ago. The change was primarily attributable to an increase in sales of non-bulk chemicals. Sales of bulk chemicals, including caustic soda, were approximately 36.4% and 35.1% of sales for the three and six months ended September 30, 2006, respectively, compared to 38.0% and 36.5% in the comparable periods a year ago. Industrial segment sales increased by $3,197,290 in the three months ended September 30, 2006 and</w:t>
      </w:r>
    </w:p>
    <w:p>
      <w:pPr>
        <w:sectPr>
          <w:pgSz w:w="11900" w:h="16838" w:orient="portrait"/>
          <w:cols w:equalWidth="0" w:num="1">
            <w:col w:w="11420"/>
          </w:cols>
          <w:pgMar w:left="240" w:top="293" w:right="239" w:bottom="0" w:gutter="0" w:footer="0" w:header="0"/>
        </w:sectPr>
      </w:pPr>
    </w:p>
    <w:bookmarkStart w:id="6" w:name="page7"/>
    <w:bookmarkEnd w:id="6"/>
    <w:p>
      <w:pPr>
        <w:ind w:right="100"/>
        <w:spacing w:after="0" w:line="253" w:lineRule="auto"/>
        <w:rPr>
          <w:sz w:val="20"/>
          <w:szCs w:val="20"/>
          <w:color w:val="auto"/>
        </w:rPr>
      </w:pPr>
      <w:r>
        <w:rPr>
          <w:rFonts w:ascii="Arial" w:cs="Arial" w:eastAsia="Arial" w:hAnsi="Arial"/>
          <w:sz w:val="18"/>
          <w:szCs w:val="18"/>
          <w:color w:val="auto"/>
        </w:rPr>
        <w:t>increased by $6,740,310 in the six-month period ended September 30, 2006 as compared to the comparable periods in fiscal 2006. The Industrial segment’s sales increase was related to increased sales within existing product lines. Caustic soda volumes sold were comparable to the prior year periods. Water Treatment segment sales increased by $2,448,945 in the three months ended September 30, 2006 and increased $4,642,155 in the six-month period ended September 30, 2006, as compared to the same periods in fiscal 2006. These increases were primarily attributable to selling price increases associated with increases in material costs and an increase in volumes sold to existing customers. Pharmaceutical sales decreased by 3.5% to $2,453,784 for the three months ended September 30, 2006 and decreased by 4.3% to $4,846,388 for the six months ended September 30, 2006 as compared to the same periods in fiscal 2006 due to changes in product mix.</w:t>
      </w:r>
    </w:p>
    <w:p>
      <w:pPr>
        <w:spacing w:after="0" w:line="1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Gross margin, as a percentage of sales, for the three and six months ended September 30, 2006 was 26.5% and 26.3%, respectively, compared to 24.0% and 25.8%, respectively, for the comparable periods of fiscal 2006. For the Industrial segment, gross margin, as a percentage of sales, was 21.6% and 17.8% for the three months ended September 30, 2006 and September 30, 2005, respectively, and 21.7% for the six months ended September 30, 2006 compared to 20.1% for the comparable period in fiscal 2006. The improvement was partially attributable to an improved product mix during the three months ended September 30, 2006. Additionally, due to the LIFO method of valuing inventory, the margin was positively impacted by changes in the cost of caustic soda and changes in inventory levels. Many of the Company’s products are commodity based and therefore are subject to fluctuations, which is expected to continue in future periods. By attempting to maintain relatively stable dollar margins, the gross margin percentage will decrease when the product costs are increasing and will increase when product costs are decreasing. Gross margin, as a percentage of sales, for the Water Treatment segment was 32.4% for the three months ended September 30, 2006 compared to 31.9% in the comparable period of fiscal 2006 and 32.2% for the six-month period ended September 30, 2006 compared to 33.2% for the comparable period of fiscal 2006. The improvement during the three months ended September 30, 2006 was primarily attributable to higher volumes sold and changes in product mix. Gross margin, as a percentage of sales, for the Pharmaceutical segment was 31.7% for the three months ended September 30, 2006 compared to 28.5% in the comparable period of fiscal 2006 and was 30.9% for the six months ended September 30, 2006 compared to 29.6% for the same period a year ago. The increases are primarily related to changes in product mix.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Selling, general and administrative expenses, as a percentage of sales, for the three and six months ended September 30, 2006 were 15.4% ($6,482,276) and 15.7% ($13,119,141), respectively, compared to 14.2% ($5,189,914) and 15.3% ($11,088,310) for the comparable periods a year ago. The dollar increases were mainly due to consulting and contractor fees associated with the Company’s implementation of an Enterprise Resource Planning (ERP) system. Employee compensation and benefits comprise the majority of the selling, general and administrative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18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Investment income increased by $272,126 for the six months ended September 30, 2006, compared to the same period one year ago. The increase was primarily due to a loss of $211,859 recognized during the quarter ended September 30, 2005 related to a decline in the market value of an investment which was deemed other than temporary and a higher rate of return on the Company’s cash equivalents and marketable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18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effective income tax rate was 37.6% for the three and six months ended September 30, 2006 compared to 36.0% for the three and six months ended September 30,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9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For the six-month period ended September 30, 2006, cash provided by operations was $2,208,157 compared to $2,966,692 for the same period one year ago. The decrease related primarily to the timing of vendor payments in comparison to the prior year. Cash used in investing activities decreased by $1,106,829 primarily due to a decrease in capital expenditures as compared to the comparable period a year ago. Capital expenditures during the six months ended September 30, 2006 consisted primarily of facility improvement projects and ERP-related additions. Capital expenditures for the remainder of this fiscal year are expected to be relatively comparable with the three previous years and are expected to relate primarily to facilities improvement projects.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Cash, cash equivalents and investments available-for-sale decreased by $2,426,857 from April 2, 2006 to $23,363,535 as of September 30, 2006 due primarily to dividends paid of $2,034,299 during the three-month period ended June 30, 2006. Cash equivalents consist of money market accounts and certificates of deposit with an original maturity of three months or less. Investments available-for-sale consists of investment contracts with high-rated, stable insurance companies; marketable securities consisting of corporate and municipal bonds; U.S. Government agency securities and a mutual fund carried at fair value. The Company’s investment objectives in order of importance are the preservation of principal, maintenance of liquidity and rate of return. The fixed income portfolio consists primarily of investment grade securities to minimize credit risk, and they generally mature within 10 years. The Company invests in a mutual fund with characteristics similar to its fixed income portfolio to enhance its investment portfolio diversification. The Company monitors the maturities of its investments to ensure that funding is available for anticipated cash needs. At September 30, 2006, $4,113,376 of available-for-sale investments were classified as non-current assets as they were determined to be temporarily impaired and have maturity dates of one year or longer. These investments were not determined to be other-than-temporarily impaired as the Company has the intent and ability to hold these investments for a period of time sufficient to allow a recovery of fair value. Expected future cash flows from operations, cash equivalents and investments included within current assets are expected to fund the Company’s short-term working capital needs.</w:t>
      </w:r>
    </w:p>
    <w:p>
      <w:pPr>
        <w:spacing w:after="0" w:line="13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September 30, 2006, the Company had an investment portfolio of fixed income securities of $7,286,929, a mutual fund of $7,549,434, and $8,897,217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 like all mutual funds, may increase or decrease due to market volatility. The Company recorded losses of $30,595 and $211,859 during the six months ended September 30, 2006 and 2005, respectively, due to declines in market value that were deemed other than temporary. The mutual fund held by the Company as of September 30, 2006 is a short-term bond fund that invests primarily in investment grade securities.</w:t>
      </w:r>
    </w:p>
    <w:p>
      <w:pPr>
        <w:spacing w:after="0" w:line="172"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w:t>
      </w:r>
    </w:p>
    <w:p>
      <w:pPr>
        <w:sectPr>
          <w:pgSz w:w="11900" w:h="16838" w:orient="portrait"/>
          <w:cols w:equalWidth="0" w:num="1">
            <w:col w:w="11420"/>
          </w:cols>
          <w:pgMar w:left="240" w:top="131" w:right="239" w:bottom="0" w:gutter="0" w:footer="0" w:header="0"/>
        </w:sectPr>
      </w:pPr>
    </w:p>
    <w:bookmarkStart w:id="7" w:name="page8"/>
    <w:bookmarkEnd w:id="7"/>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financing activities in either the short or long-term. If the need to obtain additional capital does arise, however, management is confident that the Company’s total debt to capital ratio at September 30, 2006 puts it in a position to obtain debt financing on favorable terms.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April 2, 2006. The accounting policies used in preparing the Company’s interim fiscal 2007 financial statements are the same as those described in the Company’s Annual Report.</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considers the following policies to involve the most judgment in the preparation of the Company’s financial statements.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title passes to our customers, which occurs primarily when product has been shipped, if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that the customer has agreed to purchase the products, performance has occurred, the price and terms of sale are fixed, and collection of the receivable is reasonably assured.</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Investments </w:t>
      </w:r>
      <w:r>
        <w:rPr>
          <w:rFonts w:ascii="Arial" w:cs="Arial" w:eastAsia="Arial" w:hAnsi="Arial"/>
          <w:sz w:val="16"/>
          <w:szCs w:val="16"/>
          <w:color w:val="auto"/>
        </w:rPr>
        <w:t>– Statement of Financial Accounting Standard (SFAS) No. 115, “Accounting for Certain Investments in Debt and Equity Securities,”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Commission (SEC) Staff Accounting Bulletin (SAB) 59, “Accounting for Noncurrent Marketable Equity Securities,” and FASB Staff Position (FSP) FAS No. 115-1 and FAS No. 124-1, “The Meaning of Other-Than-Temporary Impairment and Its Application to Certain Investments”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 Accounts receivable are reduced by an allowance for amounts that may become uncollectible in the future. Substantially all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allowance for doubtful accounts on a quarterly basis. There can be no assurance that our estimates will match actual amounts ultimately written off.</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the value of inventory deemed obsolete or excess to market.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LIFO Reserve – </w:t>
      </w:r>
      <w:r>
        <w:rPr>
          <w:rFonts w:ascii="Arial" w:cs="Arial" w:eastAsia="Arial" w:hAnsi="Arial"/>
          <w:sz w:val="16"/>
          <w:szCs w:val="16"/>
          <w:color w:val="auto"/>
        </w:rPr>
        <w:t>Inventories are primarily valued with cost being determined using the last-in, first-out (LIFO) method. We may incur significant fluctuations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our gross margins due primarily to changes in the cost of a single, large-volume component of inventory. The price of this inventory component may vary depending on the balance between supply and demand. Management reviews the LIFO reserve on a quarterly basis.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when events and changes in circumstances warrant such a review, such as prolonged industry downturn or significant reductions in projected future cash flows.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The Company purchases insurance for employee medical benefits. Third party insurance is carried for what is believed to be the major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exposures that would exceed the Company’s self-insured retentions. The Company has established a liability for potential uninsured claims. The Company considers factors such as known outstanding claims, historical experience, and other relevant factors in setting the liability. These reserves are monitored and adjusted when warranted by changing circumstances. Though management considers these balances adequate, a substantial change in the number and/or severity of claims could result in materially different amounts for this item.</w:t>
      </w:r>
    </w:p>
    <w:p>
      <w:pPr>
        <w:spacing w:after="0" w:line="143"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 In the preparation of the Company’s financial statements, management calculates income taxes. This includes estimating the current tax liability</w:t>
      </w:r>
      <w:r>
        <w:rPr>
          <w:rFonts w:ascii="Arial" w:cs="Arial" w:eastAsia="Arial" w:hAnsi="Arial"/>
          <w:sz w:val="15"/>
          <w:szCs w:val="15"/>
          <w:i w:val="1"/>
          <w:iCs w:val="1"/>
          <w:color w:val="auto"/>
        </w:rPr>
        <w:t xml:space="preserve"> </w:t>
      </w:r>
      <w:r>
        <w:rPr>
          <w:rFonts w:ascii="Arial" w:cs="Arial" w:eastAsia="Arial" w:hAnsi="Arial"/>
          <w:sz w:val="15"/>
          <w:szCs w:val="15"/>
          <w:color w:val="auto"/>
        </w:rPr>
        <w:t>as well as assessing temporary differences resulting from different treatment of items for tax and book accounting purposes. These differences result in deferred</w:t>
      </w:r>
    </w:p>
    <w:p>
      <w:pPr>
        <w:sectPr>
          <w:pgSz w:w="11900" w:h="16921" w:orient="portrait"/>
          <w:cols w:equalWidth="0" w:num="1">
            <w:col w:w="11420"/>
          </w:cols>
          <w:pgMar w:left="240" w:top="131" w:right="239" w:bottom="0" w:gutter="0" w:footer="0" w:header="0"/>
        </w:sectPr>
      </w:pPr>
    </w:p>
    <w:bookmarkStart w:id="8" w:name="page9"/>
    <w:bookmarkEnd w:id="8"/>
    <w:p>
      <w:pPr>
        <w:ind w:right="40"/>
        <w:spacing w:after="0" w:line="294" w:lineRule="auto"/>
        <w:rPr>
          <w:sz w:val="20"/>
          <w:szCs w:val="20"/>
          <w:color w:val="auto"/>
        </w:rPr>
      </w:pPr>
      <w:r>
        <w:rPr>
          <w:rFonts w:ascii="Arial" w:cs="Arial" w:eastAsia="Arial" w:hAnsi="Arial"/>
          <w:sz w:val="16"/>
          <w:szCs w:val="16"/>
          <w:color w:val="auto"/>
        </w:rPr>
        <w:t>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The Company routinely monitors the potential impact of such situations and believes that it is properly reserved. Valuations related to amounts owed and tax rates could be impacted by changes to tax codes, changes in statutory tax rates, the Company’s future taxable income levels and the results of tax audits.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ITEM 3. QUANTITATIVE AND QUALITATIVE DISCLOSURES ABOUT MARKET RISK</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September 30, 2006, the Company had an investment portfolio of fixed income securities of $7,286,929, a mutual fund of $7,549,434, investment contracts of $3,505,902 and cash and cash equivalents of $5,391,315.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 like all mutual funds, may increase or decrease due to market volatility. The mutual fund consists primarily of U.S. Government securities. The investment contracts are variable rate contracts with high-rated, stable insurance companies that reset on a quarterly basis. A hypothetical 1% change in rates would impact investment income by approximately $35,000, based upon the amount of variable rate investment contracts held at September 30, 2006. The Company adjusts the carrying value of its investments down if an impairment occurs that is other than temporary.</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ITEM 4. CONTROLS AND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other disclosures included in this report. Our management evaluated, with the participation of our Chief Executive Officer and our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effectiveness of the design and operation of our disclosure controls and procedures as of the end of the quarter ended September 30, 2006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13a-15(b) of the Securities Exchange Act of 1934 (the “Exchange Act”). Based upon their evaluation, our Chief Executive Officer and our Chief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concluded that our disclosure controls and procedures were effective as of the end of the quarter ended September 30, 2006 to ensure that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disclosed by us in the reports we file or submit under the Exchange Act is recorded, processed, summarized, and reported, within the time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in the Securities and Exchange Commission’s rules and forms, and to ensure that information required to be disclosed by us in the reports we file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submit under the Exchange Act is accumulated and communicated to our management, including our principal executive and principal financial officers,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appropriate to allow timely decisions regarding required disclosures.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quarter, there was no change in the Company’s internal control over financial reporting that has materially affected, or is reasonably likely to materially affect, the Company’s internal control over financial reporting. In October 2006, the Company implemented a new Enterprise Resource Planning (ERP) system. Operation of the ERP system may result in unexpected cost or difficulties, including failure or inefficient operation of the new system. A failure in the new system could impair our ability to access certain business and financial information. The Company has not completed testing of the new system in operation, including the required assessment of internal controls over financial reporting. ERP systems are highly complex and as a result of the implementation there are significant changes in our internal controls, processes and procedures. As a result, the operation of the ERP system could cause a material adverse effect on our internal control environment, our business, financial condition and results of operation.</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1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There have been no material changes to the Company’s risk factors from those disclosed in the Company’s Annual Report on Form 10-K for the fiscal year ended April 2, 2006, except for the following: In October 2006, the Company implemented a new Enterprise Resource Planning (ERP) system. Operation of the ERP system may result in unexpected cost or difficulties, including failure or inefficient operation of the new system. A failure in the new system could impair our ability to access certain business and financial information. The Company has not completed testing of the new system in operation, including the required assessment of internal controls over financial reporting. ERP systems are highly complex and as a result of the implementation there are significant changes in our internal controls, processes and procedures. As a result, the operation of the ERP system could cause a material adverse effect on our internal control environment, our business, financial condition and results of operation.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ITEM 4. SUBMISSION OF MATTERS TO A VOTE OF SECURITY HOLDERS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annual meeting of the shareholders of the Company was held on August 3, 2006. 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Broker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60" w:type="dxa"/>
            <w:vAlign w:val="bottom"/>
            <w:gridSpan w:val="3"/>
          </w:tcPr>
          <w:p>
            <w:pPr>
              <w:jc w:val="center"/>
              <w:ind w:right="120"/>
              <w:spacing w:after="0" w:line="184" w:lineRule="exact"/>
              <w:rPr>
                <w:sz w:val="20"/>
                <w:szCs w:val="20"/>
                <w:color w:val="auto"/>
              </w:rPr>
            </w:pPr>
            <w:r>
              <w:rPr>
                <w:rFonts w:ascii="Arial" w:cs="Arial" w:eastAsia="Arial" w:hAnsi="Arial"/>
                <w:sz w:val="18"/>
                <w:szCs w:val="18"/>
                <w:color w:val="auto"/>
                <w:w w:val="88"/>
              </w:rPr>
              <w:t>For</w:t>
            </w:r>
          </w:p>
        </w:tc>
        <w:tc>
          <w:tcPr>
            <w:tcW w:w="2100" w:type="dxa"/>
            <w:vAlign w:val="bottom"/>
            <w:gridSpan w:val="3"/>
          </w:tcPr>
          <w:p>
            <w:pPr>
              <w:jc w:val="right"/>
              <w:ind w:right="660"/>
              <w:spacing w:after="0" w:line="184" w:lineRule="exact"/>
              <w:rPr>
                <w:sz w:val="20"/>
                <w:szCs w:val="20"/>
                <w:color w:val="auto"/>
              </w:rPr>
            </w:pPr>
            <w:r>
              <w:rPr>
                <w:rFonts w:ascii="Arial" w:cs="Arial" w:eastAsia="Arial" w:hAnsi="Arial"/>
                <w:sz w:val="18"/>
                <w:szCs w:val="18"/>
                <w:color w:val="auto"/>
              </w:rPr>
              <w:t>Withheld</w:t>
            </w:r>
          </w:p>
        </w:tc>
        <w:tc>
          <w:tcPr>
            <w:tcW w:w="2200" w:type="dxa"/>
            <w:vAlign w:val="bottom"/>
            <w:gridSpan w:val="3"/>
          </w:tcPr>
          <w:p>
            <w:pPr>
              <w:jc w:val="center"/>
              <w:ind w:right="340"/>
              <w:spacing w:after="0" w:line="184" w:lineRule="exact"/>
              <w:rPr>
                <w:sz w:val="20"/>
                <w:szCs w:val="20"/>
                <w:color w:val="auto"/>
              </w:rPr>
            </w:pPr>
            <w:r>
              <w:rPr>
                <w:rFonts w:ascii="Arial" w:cs="Arial" w:eastAsia="Arial" w:hAnsi="Arial"/>
                <w:sz w:val="18"/>
                <w:szCs w:val="18"/>
                <w:color w:val="auto"/>
                <w:w w:val="89"/>
              </w:rPr>
              <w:t>Abstain</w:t>
            </w:r>
          </w:p>
        </w:tc>
        <w:tc>
          <w:tcPr>
            <w:tcW w:w="1080" w:type="dxa"/>
            <w:vAlign w:val="bottom"/>
            <w:gridSpan w:val="2"/>
          </w:tcPr>
          <w:p>
            <w:pPr>
              <w:jc w:val="center"/>
              <w:ind w:right="360"/>
              <w:spacing w:after="0" w:line="184" w:lineRule="exact"/>
              <w:rPr>
                <w:sz w:val="20"/>
                <w:szCs w:val="20"/>
                <w:color w:val="auto"/>
              </w:rPr>
            </w:pPr>
            <w:r>
              <w:rPr>
                <w:rFonts w:ascii="Arial" w:cs="Arial" w:eastAsia="Arial" w:hAnsi="Arial"/>
                <w:sz w:val="18"/>
                <w:szCs w:val="18"/>
                <w:color w:val="auto"/>
                <w:w w:val="87"/>
              </w:rPr>
              <w:t>Non-votes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2160" w:type="dxa"/>
            <w:vAlign w:val="bottom"/>
            <w:gridSpan w:val="3"/>
            <w:shd w:val="clear" w:color="auto" w:fill="D6F3E8"/>
          </w:tcPr>
          <w:p>
            <w:pPr>
              <w:jc w:val="center"/>
              <w:ind w:right="140"/>
              <w:spacing w:after="0"/>
              <w:rPr>
                <w:sz w:val="20"/>
                <w:szCs w:val="20"/>
                <w:color w:val="auto"/>
              </w:rPr>
            </w:pPr>
            <w:r>
              <w:rPr>
                <w:rFonts w:ascii="Arial" w:cs="Arial" w:eastAsia="Arial" w:hAnsi="Arial"/>
                <w:sz w:val="18"/>
                <w:szCs w:val="18"/>
                <w:color w:val="auto"/>
                <w:w w:val="87"/>
              </w:rPr>
              <w:t>8,167,564</w:t>
            </w:r>
          </w:p>
        </w:tc>
        <w:tc>
          <w:tcPr>
            <w:tcW w:w="2100" w:type="dxa"/>
            <w:vAlign w:val="bottom"/>
            <w:gridSpan w:val="3"/>
            <w:shd w:val="clear" w:color="auto" w:fill="D6F3E8"/>
          </w:tcPr>
          <w:p>
            <w:pPr>
              <w:jc w:val="right"/>
              <w:ind w:right="660"/>
              <w:spacing w:after="0"/>
              <w:rPr>
                <w:sz w:val="20"/>
                <w:szCs w:val="20"/>
                <w:color w:val="auto"/>
              </w:rPr>
            </w:pPr>
            <w:r>
              <w:rPr>
                <w:rFonts w:ascii="Arial" w:cs="Arial" w:eastAsia="Arial" w:hAnsi="Arial"/>
                <w:sz w:val="18"/>
                <w:szCs w:val="18"/>
                <w:color w:val="auto"/>
              </w:rPr>
              <w:t>243,519</w:t>
            </w:r>
          </w:p>
        </w:tc>
        <w:tc>
          <w:tcPr>
            <w:tcW w:w="1200" w:type="dxa"/>
            <w:vAlign w:val="bottom"/>
            <w:gridSpan w:val="2"/>
            <w:shd w:val="clear" w:color="auto" w:fill="D6F3E8"/>
          </w:tcPr>
          <w:p>
            <w:pPr>
              <w:jc w:val="center"/>
              <w:ind w:left="592"/>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D6F3E8"/>
          </w:tcPr>
          <w:p>
            <w:pPr>
              <w:spacing w:after="0"/>
              <w:rPr>
                <w:sz w:val="18"/>
                <w:szCs w:val="18"/>
                <w:color w:val="auto"/>
              </w:rPr>
            </w:pPr>
          </w:p>
        </w:tc>
        <w:tc>
          <w:tcPr>
            <w:tcW w:w="7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Howard M. Hawkins</w:t>
            </w:r>
          </w:p>
        </w:tc>
        <w:tc>
          <w:tcPr>
            <w:tcW w:w="21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8,167,501</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243,582</w:t>
            </w:r>
          </w:p>
        </w:tc>
        <w:tc>
          <w:tcPr>
            <w:tcW w:w="1200" w:type="dxa"/>
            <w:vAlign w:val="bottom"/>
            <w:gridSpan w:val="2"/>
          </w:tcPr>
          <w:p>
            <w:pPr>
              <w:jc w:val="center"/>
              <w:ind w:left="592"/>
              <w:spacing w:after="0"/>
              <w:rPr>
                <w:sz w:val="20"/>
                <w:szCs w:val="20"/>
                <w:color w:val="auto"/>
              </w:rPr>
            </w:pPr>
            <w:r>
              <w:rPr>
                <w:rFonts w:ascii="Arial" w:cs="Arial" w:eastAsia="Arial" w:hAnsi="Arial"/>
                <w:sz w:val="18"/>
                <w:szCs w:val="18"/>
                <w:color w:val="auto"/>
                <w:w w:val="79"/>
              </w:rPr>
              <w:t>0</w:t>
            </w:r>
          </w:p>
        </w:tc>
        <w:tc>
          <w:tcPr>
            <w:tcW w:w="10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D6F3E8"/>
          </w:tcPr>
          <w:p>
            <w:pPr>
              <w:spacing w:after="0"/>
              <w:rPr>
                <w:sz w:val="20"/>
                <w:szCs w:val="20"/>
                <w:color w:val="auto"/>
              </w:rPr>
            </w:pPr>
            <w:r>
              <w:rPr>
                <w:rFonts w:ascii="Arial" w:cs="Arial" w:eastAsia="Arial" w:hAnsi="Arial"/>
                <w:sz w:val="18"/>
                <w:szCs w:val="18"/>
                <w:color w:val="auto"/>
              </w:rPr>
              <w:t>John S. McKeon</w:t>
            </w:r>
          </w:p>
        </w:tc>
        <w:tc>
          <w:tcPr>
            <w:tcW w:w="2160" w:type="dxa"/>
            <w:vAlign w:val="bottom"/>
            <w:gridSpan w:val="3"/>
            <w:shd w:val="clear" w:color="auto" w:fill="D6F3E8"/>
          </w:tcPr>
          <w:p>
            <w:pPr>
              <w:jc w:val="center"/>
              <w:ind w:right="140"/>
              <w:spacing w:after="0"/>
              <w:rPr>
                <w:sz w:val="20"/>
                <w:szCs w:val="20"/>
                <w:color w:val="auto"/>
              </w:rPr>
            </w:pPr>
            <w:r>
              <w:rPr>
                <w:rFonts w:ascii="Arial" w:cs="Arial" w:eastAsia="Arial" w:hAnsi="Arial"/>
                <w:sz w:val="18"/>
                <w:szCs w:val="18"/>
                <w:color w:val="auto"/>
                <w:w w:val="87"/>
              </w:rPr>
              <w:t>8,127,787</w:t>
            </w:r>
          </w:p>
        </w:tc>
        <w:tc>
          <w:tcPr>
            <w:tcW w:w="2100" w:type="dxa"/>
            <w:vAlign w:val="bottom"/>
            <w:gridSpan w:val="3"/>
            <w:shd w:val="clear" w:color="auto" w:fill="D6F3E8"/>
          </w:tcPr>
          <w:p>
            <w:pPr>
              <w:jc w:val="right"/>
              <w:ind w:right="660"/>
              <w:spacing w:after="0"/>
              <w:rPr>
                <w:sz w:val="20"/>
                <w:szCs w:val="20"/>
                <w:color w:val="auto"/>
              </w:rPr>
            </w:pPr>
            <w:r>
              <w:rPr>
                <w:rFonts w:ascii="Arial" w:cs="Arial" w:eastAsia="Arial" w:hAnsi="Arial"/>
                <w:sz w:val="18"/>
                <w:szCs w:val="18"/>
                <w:color w:val="auto"/>
              </w:rPr>
              <w:t>283,296</w:t>
            </w:r>
          </w:p>
        </w:tc>
        <w:tc>
          <w:tcPr>
            <w:tcW w:w="1200" w:type="dxa"/>
            <w:vAlign w:val="bottom"/>
            <w:gridSpan w:val="2"/>
            <w:shd w:val="clear" w:color="auto" w:fill="D6F3E8"/>
          </w:tcPr>
          <w:p>
            <w:pPr>
              <w:jc w:val="center"/>
              <w:ind w:left="592"/>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D6F3E8"/>
          </w:tcPr>
          <w:p>
            <w:pPr>
              <w:spacing w:after="0"/>
              <w:rPr>
                <w:sz w:val="18"/>
                <w:szCs w:val="18"/>
                <w:color w:val="auto"/>
              </w:rPr>
            </w:pPr>
          </w:p>
        </w:tc>
        <w:tc>
          <w:tcPr>
            <w:tcW w:w="7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Duane M. Jergenson</w:t>
            </w:r>
          </w:p>
        </w:tc>
        <w:tc>
          <w:tcPr>
            <w:tcW w:w="21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8,348,397</w:t>
            </w:r>
          </w:p>
        </w:tc>
        <w:tc>
          <w:tcPr>
            <w:tcW w:w="2100" w:type="dxa"/>
            <w:vAlign w:val="bottom"/>
            <w:gridSpan w:val="3"/>
          </w:tcPr>
          <w:p>
            <w:pPr>
              <w:jc w:val="right"/>
              <w:ind w:right="660"/>
              <w:spacing w:after="0"/>
              <w:rPr>
                <w:sz w:val="20"/>
                <w:szCs w:val="20"/>
                <w:color w:val="auto"/>
              </w:rPr>
            </w:pPr>
            <w:r>
              <w:rPr>
                <w:rFonts w:ascii="Arial" w:cs="Arial" w:eastAsia="Arial" w:hAnsi="Arial"/>
                <w:sz w:val="18"/>
                <w:szCs w:val="18"/>
                <w:color w:val="auto"/>
              </w:rPr>
              <w:t>62,686</w:t>
            </w:r>
          </w:p>
        </w:tc>
        <w:tc>
          <w:tcPr>
            <w:tcW w:w="1200" w:type="dxa"/>
            <w:vAlign w:val="bottom"/>
            <w:gridSpan w:val="2"/>
          </w:tcPr>
          <w:p>
            <w:pPr>
              <w:jc w:val="center"/>
              <w:ind w:left="592"/>
              <w:spacing w:after="0"/>
              <w:rPr>
                <w:sz w:val="20"/>
                <w:szCs w:val="20"/>
                <w:color w:val="auto"/>
              </w:rPr>
            </w:pPr>
            <w:r>
              <w:rPr>
                <w:rFonts w:ascii="Arial" w:cs="Arial" w:eastAsia="Arial" w:hAnsi="Arial"/>
                <w:sz w:val="18"/>
                <w:szCs w:val="18"/>
                <w:color w:val="auto"/>
                <w:w w:val="79"/>
              </w:rPr>
              <w:t>0</w:t>
            </w:r>
          </w:p>
        </w:tc>
        <w:tc>
          <w:tcPr>
            <w:tcW w:w="10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D6F3E8"/>
          </w:tcPr>
          <w:p>
            <w:pPr>
              <w:spacing w:after="0"/>
              <w:rPr>
                <w:sz w:val="20"/>
                <w:szCs w:val="20"/>
                <w:color w:val="auto"/>
              </w:rPr>
            </w:pPr>
            <w:r>
              <w:rPr>
                <w:rFonts w:ascii="Arial" w:cs="Arial" w:eastAsia="Arial" w:hAnsi="Arial"/>
                <w:sz w:val="18"/>
                <w:szCs w:val="18"/>
                <w:color w:val="auto"/>
              </w:rPr>
              <w:t>G. Robert Gey</w:t>
            </w:r>
          </w:p>
        </w:tc>
        <w:tc>
          <w:tcPr>
            <w:tcW w:w="2160" w:type="dxa"/>
            <w:vAlign w:val="bottom"/>
            <w:gridSpan w:val="3"/>
            <w:shd w:val="clear" w:color="auto" w:fill="D6F3E8"/>
          </w:tcPr>
          <w:p>
            <w:pPr>
              <w:jc w:val="center"/>
              <w:ind w:right="140"/>
              <w:spacing w:after="0"/>
              <w:rPr>
                <w:sz w:val="20"/>
                <w:szCs w:val="20"/>
                <w:color w:val="auto"/>
              </w:rPr>
            </w:pPr>
            <w:r>
              <w:rPr>
                <w:rFonts w:ascii="Arial" w:cs="Arial" w:eastAsia="Arial" w:hAnsi="Arial"/>
                <w:sz w:val="18"/>
                <w:szCs w:val="18"/>
                <w:color w:val="auto"/>
                <w:w w:val="87"/>
              </w:rPr>
              <w:t>8,348,266</w:t>
            </w:r>
          </w:p>
        </w:tc>
        <w:tc>
          <w:tcPr>
            <w:tcW w:w="2100" w:type="dxa"/>
            <w:vAlign w:val="bottom"/>
            <w:gridSpan w:val="3"/>
            <w:shd w:val="clear" w:color="auto" w:fill="D6F3E8"/>
          </w:tcPr>
          <w:p>
            <w:pPr>
              <w:jc w:val="right"/>
              <w:ind w:right="660"/>
              <w:spacing w:after="0"/>
              <w:rPr>
                <w:sz w:val="20"/>
                <w:szCs w:val="20"/>
                <w:color w:val="auto"/>
              </w:rPr>
            </w:pPr>
            <w:r>
              <w:rPr>
                <w:rFonts w:ascii="Arial" w:cs="Arial" w:eastAsia="Arial" w:hAnsi="Arial"/>
                <w:sz w:val="18"/>
                <w:szCs w:val="18"/>
                <w:color w:val="auto"/>
              </w:rPr>
              <w:t>62,817</w:t>
            </w:r>
          </w:p>
        </w:tc>
        <w:tc>
          <w:tcPr>
            <w:tcW w:w="1200" w:type="dxa"/>
            <w:vAlign w:val="bottom"/>
            <w:gridSpan w:val="2"/>
            <w:shd w:val="clear" w:color="auto" w:fill="D6F3E8"/>
          </w:tcPr>
          <w:p>
            <w:pPr>
              <w:jc w:val="center"/>
              <w:ind w:left="592"/>
              <w:spacing w:after="0"/>
              <w:rPr>
                <w:sz w:val="20"/>
                <w:szCs w:val="20"/>
                <w:color w:val="auto"/>
              </w:rPr>
            </w:pPr>
            <w:r>
              <w:rPr>
                <w:rFonts w:ascii="Arial" w:cs="Arial" w:eastAsia="Arial" w:hAnsi="Arial"/>
                <w:sz w:val="18"/>
                <w:szCs w:val="18"/>
                <w:color w:val="auto"/>
                <w:w w:val="79"/>
              </w:rPr>
              <w:t>0</w:t>
            </w:r>
          </w:p>
        </w:tc>
        <w:tc>
          <w:tcPr>
            <w:tcW w:w="1000" w:type="dxa"/>
            <w:vAlign w:val="bottom"/>
            <w:shd w:val="clear" w:color="auto" w:fill="D6F3E8"/>
          </w:tcPr>
          <w:p>
            <w:pPr>
              <w:spacing w:after="0"/>
              <w:rPr>
                <w:sz w:val="18"/>
                <w:szCs w:val="18"/>
                <w:color w:val="auto"/>
              </w:rPr>
            </w:pPr>
          </w:p>
        </w:tc>
        <w:tc>
          <w:tcPr>
            <w:tcW w:w="7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3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sectPr>
      </w:pPr>
    </w:p>
    <w:bookmarkStart w:id="9" w:name="page10"/>
    <w:bookmarkEnd w:id="9"/>
    <w:p>
      <w:pPr>
        <w:spacing w:after="0" w:line="356" w:lineRule="auto"/>
        <w:framePr w:w="1340" w:h="616" w:wrap="auto" w:vAnchor="page" w:hAnchor="page" w:x="4980" w:y="8627"/>
        <w:rPr>
          <w:rFonts w:ascii="Arial" w:cs="Arial" w:eastAsia="Arial" w:hAnsi="Arial"/>
          <w:sz w:val="18"/>
          <w:szCs w:val="18"/>
          <w:color w:val="auto"/>
        </w:rPr>
      </w:pPr>
      <w:r>
        <w:rPr>
          <w:rFonts w:ascii="Arial" w:cs="Arial" w:eastAsia="Arial" w:hAnsi="Arial"/>
          <w:sz w:val="18"/>
          <w:szCs w:val="18"/>
          <w:color w:val="auto"/>
        </w:rPr>
        <w:t>HAWKINS, INC. By:</w:t>
      </w:r>
    </w:p>
    <w:p>
      <w:pPr>
        <w:spacing w:after="0" w:line="16"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Daryl I. Skaar</w:t>
            </w:r>
          </w:p>
        </w:tc>
        <w:tc>
          <w:tcPr>
            <w:tcW w:w="2440" w:type="dxa"/>
            <w:vAlign w:val="bottom"/>
          </w:tcPr>
          <w:p>
            <w:pPr>
              <w:jc w:val="right"/>
              <w:ind w:right="752"/>
              <w:spacing w:after="0"/>
              <w:rPr>
                <w:sz w:val="20"/>
                <w:szCs w:val="20"/>
                <w:color w:val="auto"/>
              </w:rPr>
            </w:pPr>
            <w:r>
              <w:rPr>
                <w:rFonts w:ascii="Arial" w:cs="Arial" w:eastAsia="Arial" w:hAnsi="Arial"/>
                <w:sz w:val="18"/>
                <w:szCs w:val="18"/>
                <w:color w:val="auto"/>
              </w:rPr>
              <w:t>8,305,889</w:t>
            </w:r>
          </w:p>
        </w:tc>
        <w:tc>
          <w:tcPr>
            <w:tcW w:w="2180" w:type="dxa"/>
            <w:vAlign w:val="bottom"/>
          </w:tcPr>
          <w:p>
            <w:pPr>
              <w:jc w:val="right"/>
              <w:ind w:right="692"/>
              <w:spacing w:after="0"/>
              <w:rPr>
                <w:sz w:val="20"/>
                <w:szCs w:val="20"/>
                <w:color w:val="auto"/>
              </w:rPr>
            </w:pPr>
            <w:r>
              <w:rPr>
                <w:rFonts w:ascii="Arial" w:cs="Arial" w:eastAsia="Arial" w:hAnsi="Arial"/>
                <w:sz w:val="18"/>
                <w:szCs w:val="18"/>
                <w:color w:val="auto"/>
              </w:rPr>
              <w:t>105,194</w:t>
            </w:r>
          </w:p>
        </w:tc>
        <w:tc>
          <w:tcPr>
            <w:tcW w:w="1620" w:type="dxa"/>
            <w:vAlign w:val="bottom"/>
          </w:tcPr>
          <w:p>
            <w:pPr>
              <w:jc w:val="right"/>
              <w:ind w:right="672"/>
              <w:spacing w:after="0"/>
              <w:rPr>
                <w:sz w:val="20"/>
                <w:szCs w:val="20"/>
                <w:color w:val="auto"/>
              </w:rPr>
            </w:pPr>
            <w:r>
              <w:rPr>
                <w:rFonts w:ascii="Arial" w:cs="Arial" w:eastAsia="Arial" w:hAnsi="Arial"/>
                <w:sz w:val="18"/>
                <w:szCs w:val="18"/>
                <w:color w:val="auto"/>
              </w:rPr>
              <w:t>0</w:t>
            </w:r>
          </w:p>
        </w:tc>
        <w:tc>
          <w:tcPr>
            <w:tcW w:w="1540" w:type="dxa"/>
            <w:vAlign w:val="bottom"/>
          </w:tcPr>
          <w:p>
            <w:pPr>
              <w:jc w:val="right"/>
              <w:ind w:right="592"/>
              <w:spacing w:after="0"/>
              <w:rPr>
                <w:sz w:val="20"/>
                <w:szCs w:val="20"/>
                <w:color w:val="auto"/>
              </w:rPr>
            </w:pPr>
            <w:r>
              <w:rPr>
                <w:rFonts w:ascii="Arial" w:cs="Arial" w:eastAsia="Arial" w:hAnsi="Arial"/>
                <w:sz w:val="18"/>
                <w:szCs w:val="18"/>
                <w:color w:val="auto"/>
              </w:rPr>
              <w:t>0</w:t>
            </w:r>
          </w:p>
        </w:tc>
      </w:tr>
      <w:tr>
        <w:trPr>
          <w:trHeight w:val="218"/>
        </w:trPr>
        <w:tc>
          <w:tcPr>
            <w:tcW w:w="1920" w:type="dxa"/>
            <w:vAlign w:val="bottom"/>
            <w:shd w:val="clear" w:color="auto" w:fill="D6F3E8"/>
          </w:tcPr>
          <w:p>
            <w:pPr>
              <w:spacing w:after="0"/>
              <w:rPr>
                <w:sz w:val="20"/>
                <w:szCs w:val="20"/>
                <w:color w:val="auto"/>
              </w:rPr>
            </w:pPr>
            <w:r>
              <w:rPr>
                <w:rFonts w:ascii="Arial" w:cs="Arial" w:eastAsia="Arial" w:hAnsi="Arial"/>
                <w:sz w:val="18"/>
                <w:szCs w:val="18"/>
                <w:color w:val="auto"/>
              </w:rPr>
              <w:t>Eapen Chacko</w:t>
            </w:r>
          </w:p>
        </w:tc>
        <w:tc>
          <w:tcPr>
            <w:tcW w:w="2440" w:type="dxa"/>
            <w:vAlign w:val="bottom"/>
            <w:shd w:val="clear" w:color="auto" w:fill="D6F3E8"/>
          </w:tcPr>
          <w:p>
            <w:pPr>
              <w:jc w:val="right"/>
              <w:ind w:right="752"/>
              <w:spacing w:after="0"/>
              <w:rPr>
                <w:sz w:val="20"/>
                <w:szCs w:val="20"/>
                <w:color w:val="auto"/>
              </w:rPr>
            </w:pPr>
            <w:r>
              <w:rPr>
                <w:rFonts w:ascii="Arial" w:cs="Arial" w:eastAsia="Arial" w:hAnsi="Arial"/>
                <w:sz w:val="18"/>
                <w:szCs w:val="18"/>
                <w:color w:val="auto"/>
              </w:rPr>
              <w:t>8,346,297</w:t>
            </w:r>
          </w:p>
        </w:tc>
        <w:tc>
          <w:tcPr>
            <w:tcW w:w="2180" w:type="dxa"/>
            <w:vAlign w:val="bottom"/>
            <w:shd w:val="clear" w:color="auto" w:fill="D6F3E8"/>
          </w:tcPr>
          <w:p>
            <w:pPr>
              <w:jc w:val="right"/>
              <w:ind w:right="692"/>
              <w:spacing w:after="0"/>
              <w:rPr>
                <w:sz w:val="20"/>
                <w:szCs w:val="20"/>
                <w:color w:val="auto"/>
              </w:rPr>
            </w:pPr>
            <w:r>
              <w:rPr>
                <w:rFonts w:ascii="Arial" w:cs="Arial" w:eastAsia="Arial" w:hAnsi="Arial"/>
                <w:sz w:val="18"/>
                <w:szCs w:val="18"/>
                <w:color w:val="auto"/>
              </w:rPr>
              <w:t>64,786</w:t>
            </w:r>
          </w:p>
        </w:tc>
        <w:tc>
          <w:tcPr>
            <w:tcW w:w="1620" w:type="dxa"/>
            <w:vAlign w:val="bottom"/>
            <w:shd w:val="clear" w:color="auto" w:fill="D6F3E8"/>
          </w:tcPr>
          <w:p>
            <w:pPr>
              <w:jc w:val="right"/>
              <w:ind w:right="672"/>
              <w:spacing w:after="0"/>
              <w:rPr>
                <w:sz w:val="20"/>
                <w:szCs w:val="20"/>
                <w:color w:val="auto"/>
              </w:rPr>
            </w:pPr>
            <w:r>
              <w:rPr>
                <w:rFonts w:ascii="Arial" w:cs="Arial" w:eastAsia="Arial" w:hAnsi="Arial"/>
                <w:sz w:val="18"/>
                <w:szCs w:val="18"/>
                <w:color w:val="auto"/>
              </w:rPr>
              <w:t>0</w:t>
            </w:r>
          </w:p>
        </w:tc>
        <w:tc>
          <w:tcPr>
            <w:tcW w:w="1540" w:type="dxa"/>
            <w:vAlign w:val="bottom"/>
            <w:shd w:val="clear" w:color="auto" w:fill="D6F3E8"/>
          </w:tcPr>
          <w:p>
            <w:pPr>
              <w:jc w:val="right"/>
              <w:ind w:right="592"/>
              <w:spacing w:after="0"/>
              <w:rPr>
                <w:sz w:val="20"/>
                <w:szCs w:val="20"/>
                <w:color w:val="auto"/>
              </w:rPr>
            </w:pPr>
            <w:r>
              <w:rPr>
                <w:rFonts w:ascii="Arial" w:cs="Arial" w:eastAsia="Arial" w:hAnsi="Arial"/>
                <w:sz w:val="18"/>
                <w:szCs w:val="18"/>
                <w:color w:val="auto"/>
              </w:rPr>
              <w:t>0</w:t>
            </w:r>
          </w:p>
        </w:tc>
      </w:tr>
    </w:tbl>
    <w:p>
      <w:pPr>
        <w:spacing w:after="0" w:line="15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2"/>
          <w:szCs w:val="22"/>
          <w:color w:val="auto"/>
        </w:rPr>
        <w:t>ITEM 6. EXHIBITS</w:t>
      </w:r>
    </w:p>
    <w:p>
      <w:pPr>
        <w:spacing w:after="0" w:line="219" w:lineRule="exact"/>
        <w:rPr>
          <w:rFonts w:ascii="Arial" w:cs="Arial" w:eastAsia="Arial" w:hAnsi="Arial"/>
          <w:sz w:val="18"/>
          <w:szCs w:val="18"/>
          <w:color w:val="auto"/>
        </w:rPr>
      </w:pPr>
    </w:p>
    <w:tbl>
      <w:tblPr>
        <w:tblLayout w:type="fixed"/>
        <w:tblInd w:w="66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Exhibit Index</w:t>
            </w: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94"/>
        </w:trPr>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80" w:type="dxa"/>
            <w:vAlign w:val="bottom"/>
            <w:gridSpan w:val="3"/>
          </w:tcPr>
          <w:p>
            <w:pPr>
              <w:ind w:left="2060"/>
              <w:spacing w:after="0"/>
              <w:rPr>
                <w:sz w:val="20"/>
                <w:szCs w:val="20"/>
                <w:color w:val="auto"/>
              </w:rPr>
            </w:pPr>
            <w:r>
              <w:rPr>
                <w:rFonts w:ascii="Arial" w:cs="Arial" w:eastAsia="Arial" w:hAnsi="Arial"/>
                <w:sz w:val="18"/>
                <w:szCs w:val="18"/>
                <w:color w:val="auto"/>
              </w:rPr>
              <w:t>Description</w:t>
            </w: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7"/>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7120" w:type="dxa"/>
            <w:vAlign w:val="bottom"/>
            <w:gridSpan w:val="4"/>
          </w:tcPr>
          <w:p>
            <w:pPr>
              <w:ind w:left="80"/>
              <w:spacing w:after="0"/>
              <w:rPr>
                <w:sz w:val="20"/>
                <w:szCs w:val="20"/>
                <w:color w:val="auto"/>
              </w:rPr>
            </w:pPr>
            <w:r>
              <w:rPr>
                <w:rFonts w:ascii="Arial" w:cs="Arial" w:eastAsia="Arial" w:hAnsi="Arial"/>
                <w:sz w:val="18"/>
                <w:szCs w:val="18"/>
                <w:color w:val="auto"/>
                <w:w w:val="90"/>
              </w:rPr>
              <w:t>Amended and Second Restated Articles of Incorporation as amended through February 27, 2001.</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7120" w:type="dxa"/>
            <w:vAlign w:val="bottom"/>
            <w:gridSpan w:val="4"/>
          </w:tcPr>
          <w:p>
            <w:pPr>
              <w:ind w:left="80"/>
              <w:spacing w:after="0"/>
              <w:rPr>
                <w:sz w:val="20"/>
                <w:szCs w:val="20"/>
                <w:color w:val="auto"/>
              </w:rPr>
            </w:pPr>
            <w:r>
              <w:rPr>
                <w:rFonts w:ascii="Arial" w:cs="Arial" w:eastAsia="Arial" w:hAnsi="Arial"/>
                <w:sz w:val="18"/>
                <w:szCs w:val="18"/>
                <w:color w:val="auto"/>
                <w:w w:val="98"/>
              </w:rPr>
              <w:t>Second Amended and Superseding By-Laws as amended through February 15, 1995. (2)</w:t>
            </w: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7120" w:type="dxa"/>
            <w:vAlign w:val="bottom"/>
            <w:gridSpan w:val="4"/>
          </w:tcPr>
          <w:p>
            <w:pPr>
              <w:ind w:left="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7120" w:type="dxa"/>
            <w:vAlign w:val="bottom"/>
            <w:gridSpan w:val="4"/>
          </w:tcPr>
          <w:p>
            <w:pPr>
              <w:ind w:left="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1040" w:type="dxa"/>
            <w:vAlign w:val="bottom"/>
          </w:tcPr>
          <w:p>
            <w:pPr>
              <w:ind w:left="80"/>
              <w:spacing w:after="0"/>
              <w:rPr>
                <w:sz w:val="20"/>
                <w:szCs w:val="20"/>
                <w:color w:val="auto"/>
              </w:rPr>
            </w:pPr>
            <w:r>
              <w:rPr>
                <w:rFonts w:ascii="Arial" w:cs="Arial" w:eastAsia="Arial" w:hAnsi="Arial"/>
                <w:sz w:val="18"/>
                <w:szCs w:val="18"/>
                <w:color w:val="auto"/>
                <w:w w:val="89"/>
              </w:rPr>
              <w:t>Section 1350</w:t>
            </w:r>
          </w:p>
        </w:tc>
        <w:tc>
          <w:tcPr>
            <w:tcW w:w="60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1040" w:type="dxa"/>
            <w:vAlign w:val="bottom"/>
          </w:tcPr>
          <w:p>
            <w:pPr>
              <w:ind w:left="80"/>
              <w:spacing w:after="0"/>
              <w:rPr>
                <w:sz w:val="20"/>
                <w:szCs w:val="20"/>
                <w:color w:val="auto"/>
              </w:rPr>
            </w:pPr>
            <w:r>
              <w:rPr>
                <w:rFonts w:ascii="Arial" w:cs="Arial" w:eastAsia="Arial" w:hAnsi="Arial"/>
                <w:sz w:val="18"/>
                <w:szCs w:val="18"/>
                <w:color w:val="auto"/>
                <w:w w:val="89"/>
              </w:rPr>
              <w:t>Section 1350</w:t>
            </w:r>
          </w:p>
        </w:tc>
        <w:tc>
          <w:tcPr>
            <w:tcW w:w="608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080" w:type="dxa"/>
            <w:vAlign w:val="bottom"/>
            <w:gridSpan w:val="3"/>
          </w:tcPr>
          <w:p>
            <w:pPr>
              <w:jc w:val="center"/>
              <w:ind w:left="112"/>
              <w:spacing w:after="0"/>
              <w:rPr>
                <w:sz w:val="20"/>
                <w:szCs w:val="20"/>
                <w:color w:val="auto"/>
              </w:rPr>
            </w:pPr>
            <w:r>
              <w:rPr>
                <w:rFonts w:ascii="Arial" w:cs="Arial" w:eastAsia="Arial" w:hAnsi="Arial"/>
                <w:sz w:val="18"/>
                <w:szCs w:val="18"/>
                <w:color w:val="auto"/>
                <w:w w:val="93"/>
              </w:rPr>
              <w:t>Filed Electronically</w:t>
            </w:r>
          </w:p>
        </w:tc>
      </w:tr>
    </w:tbl>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84" w:lineRule="exact"/>
        <w:rPr>
          <w:rFonts w:ascii="Arial" w:cs="Arial" w:eastAsia="Arial" w:hAnsi="Arial"/>
          <w:sz w:val="18"/>
          <w:szCs w:val="18"/>
          <w:color w:val="auto"/>
        </w:rPr>
      </w:pPr>
    </w:p>
    <w:p>
      <w:pPr>
        <w:ind w:left="880" w:hanging="33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98" w:lineRule="exact"/>
        <w:rPr>
          <w:rFonts w:ascii="Arial" w:cs="Arial" w:eastAsia="Arial" w:hAnsi="Arial"/>
          <w:sz w:val="18"/>
          <w:szCs w:val="18"/>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1" w:lineRule="exact"/>
        <w:rPr>
          <w:rFonts w:ascii="Arial" w:cs="Arial" w:eastAsia="Arial" w:hAnsi="Arial"/>
          <w:sz w:val="18"/>
          <w:szCs w:val="18"/>
          <w:color w:val="auto"/>
        </w:rPr>
      </w:pPr>
    </w:p>
    <w:p>
      <w:pPr>
        <w:jc w:val="center"/>
        <w:ind w:left="4280"/>
        <w:spacing w:after="0"/>
        <w:rPr>
          <w:sz w:val="20"/>
          <w:szCs w:val="20"/>
          <w:color w:val="auto"/>
        </w:rPr>
      </w:pPr>
      <w:r>
        <w:rPr>
          <w:rFonts w:ascii="Arial" w:cs="Arial" w:eastAsia="Arial" w:hAnsi="Arial"/>
          <w:sz w:val="18"/>
          <w:szCs w:val="18"/>
          <w:color w:val="auto"/>
        </w:rPr>
        <w:t>/s/ Marvin E. Dee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3263900</wp:posOffset>
            </wp:positionH>
            <wp:positionV relativeFrom="paragraph">
              <wp:posOffset>10795</wp:posOffset>
            </wp:positionV>
            <wp:extent cx="3456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151" w:lineRule="exact"/>
        <w:rPr>
          <w:rFonts w:ascii="Arial" w:cs="Arial" w:eastAsia="Arial" w:hAnsi="Arial"/>
          <w:sz w:val="18"/>
          <w:szCs w:val="18"/>
          <w:color w:val="auto"/>
        </w:rPr>
      </w:pPr>
    </w:p>
    <w:p>
      <w:pPr>
        <w:jc w:val="center"/>
        <w:ind w:left="4280"/>
        <w:spacing w:after="0"/>
        <w:rPr>
          <w:sz w:val="20"/>
          <w:szCs w:val="20"/>
          <w:color w:val="auto"/>
        </w:rPr>
      </w:pPr>
      <w:r>
        <w:rPr>
          <w:rFonts w:ascii="Arial" w:cs="Arial" w:eastAsia="Arial" w:hAnsi="Arial"/>
          <w:sz w:val="18"/>
          <w:szCs w:val="18"/>
          <w:color w:val="auto"/>
        </w:rPr>
        <w:t>Marvin E. Dee</w:t>
      </w:r>
    </w:p>
    <w:p>
      <w:pPr>
        <w:spacing w:after="0" w:line="158" w:lineRule="exact"/>
        <w:rPr>
          <w:rFonts w:ascii="Arial" w:cs="Arial" w:eastAsia="Arial" w:hAnsi="Arial"/>
          <w:sz w:val="18"/>
          <w:szCs w:val="18"/>
          <w:color w:val="auto"/>
        </w:rPr>
      </w:pPr>
    </w:p>
    <w:p>
      <w:pPr>
        <w:jc w:val="center"/>
        <w:ind w:left="4280"/>
        <w:spacing w:after="0"/>
        <w:rPr>
          <w:sz w:val="20"/>
          <w:szCs w:val="20"/>
          <w:color w:val="auto"/>
        </w:rPr>
      </w:pPr>
      <w:r>
        <w:rPr>
          <w:rFonts w:ascii="Arial" w:cs="Arial" w:eastAsia="Arial" w:hAnsi="Arial"/>
          <w:sz w:val="18"/>
          <w:szCs w:val="18"/>
          <w:color w:val="auto"/>
        </w:rPr>
        <w:t>Vice President, Chief Financial Officer, Secretary and Treasurer</w:t>
      </w:r>
    </w:p>
    <w:p>
      <w:pPr>
        <w:spacing w:after="0" w:line="15" w:lineRule="exact"/>
        <w:rPr>
          <w:rFonts w:ascii="Arial" w:cs="Arial" w:eastAsia="Arial" w:hAnsi="Arial"/>
          <w:sz w:val="18"/>
          <w:szCs w:val="18"/>
          <w:color w:val="auto"/>
        </w:rPr>
      </w:pPr>
    </w:p>
    <w:p>
      <w:pPr>
        <w:jc w:val="center"/>
        <w:ind w:left="428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Dated: November 9, 2006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20" w:type="dxa"/>
            <w:vAlign w:val="bottom"/>
            <w:gridSpan w:val="3"/>
          </w:tcPr>
          <w:p>
            <w:pPr>
              <w:ind w:left="4320"/>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2"/>
        </w:trPr>
        <w:tc>
          <w:tcPr>
            <w:tcW w:w="64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94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29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1580" w:type="dxa"/>
            <w:vAlign w:val="bottom"/>
            <w:tcBorders>
              <w:bottom w:val="single" w:sz="8" w:color="808080"/>
            </w:tcBorders>
          </w:tcPr>
          <w:p>
            <w:pPr>
              <w:spacing w:after="0"/>
              <w:rPr>
                <w:sz w:val="21"/>
                <w:szCs w:val="21"/>
                <w:color w:val="auto"/>
              </w:rPr>
            </w:pPr>
          </w:p>
        </w:tc>
      </w:tr>
      <w:tr>
        <w:trPr>
          <w:trHeight w:val="388"/>
        </w:trPr>
        <w:tc>
          <w:tcPr>
            <w:tcW w:w="1300" w:type="dxa"/>
            <w:vAlign w:val="bottom"/>
            <w:gridSpan w:val="4"/>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0"/>
        </w:trPr>
        <w:tc>
          <w:tcPr>
            <w:tcW w:w="6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80" w:type="dxa"/>
            <w:vAlign w:val="bottom"/>
          </w:tcPr>
          <w:p>
            <w:pPr>
              <w:ind w:left="40"/>
              <w:spacing w:after="0"/>
              <w:rPr>
                <w:sz w:val="20"/>
                <w:szCs w:val="20"/>
                <w:color w:val="auto"/>
              </w:rPr>
            </w:pPr>
            <w:r>
              <w:rPr>
                <w:rFonts w:ascii="Arial" w:cs="Arial" w:eastAsia="Arial" w:hAnsi="Arial"/>
                <w:sz w:val="22"/>
                <w:szCs w:val="22"/>
                <w:b w:val="1"/>
                <w:bCs w:val="1"/>
                <w:color w:val="auto"/>
              </w:rPr>
              <w:t>Exhibit Index</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30"/>
        </w:trPr>
        <w:tc>
          <w:tcPr>
            <w:tcW w:w="64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294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620" w:type="dxa"/>
            <w:vAlign w:val="bottom"/>
          </w:tcPr>
          <w:p>
            <w:pPr>
              <w:spacing w:after="0"/>
              <w:rPr>
                <w:sz w:val="24"/>
                <w:szCs w:val="24"/>
                <w:color w:val="auto"/>
              </w:rPr>
            </w:pPr>
          </w:p>
        </w:tc>
        <w:tc>
          <w:tcPr>
            <w:tcW w:w="2780" w:type="dxa"/>
            <w:vAlign w:val="bottom"/>
            <w:gridSpan w:val="2"/>
          </w:tcPr>
          <w:p>
            <w:pPr>
              <w:jc w:val="center"/>
              <w:ind w:right="1580"/>
              <w:spacing w:after="0"/>
              <w:rPr>
                <w:sz w:val="20"/>
                <w:szCs w:val="20"/>
                <w:color w:val="auto"/>
              </w:rPr>
            </w:pPr>
            <w:r>
              <w:rPr>
                <w:rFonts w:ascii="Arial" w:cs="Arial" w:eastAsia="Arial" w:hAnsi="Arial"/>
                <w:sz w:val="18"/>
                <w:szCs w:val="18"/>
                <w:color w:val="auto"/>
                <w:w w:val="93"/>
              </w:rPr>
              <w:t>Method of Filing</w:t>
            </w: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04"/>
        </w:trPr>
        <w:tc>
          <w:tcPr>
            <w:tcW w:w="64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6720" w:type="dxa"/>
            <w:vAlign w:val="bottom"/>
            <w:gridSpan w:val="3"/>
          </w:tcPr>
          <w:p>
            <w:pPr>
              <w:ind w:left="60"/>
              <w:spacing w:after="0"/>
              <w:rPr>
                <w:sz w:val="20"/>
                <w:szCs w:val="20"/>
                <w:color w:val="auto"/>
              </w:rPr>
            </w:pPr>
            <w:r>
              <w:rPr>
                <w:rFonts w:ascii="Arial" w:cs="Arial" w:eastAsia="Arial" w:hAnsi="Arial"/>
                <w:sz w:val="18"/>
                <w:szCs w:val="18"/>
                <w:color w:val="auto"/>
                <w:w w:val="91"/>
              </w:rPr>
              <w:t>Amended and Second Restated Articles of Incorporation as amended through February 27,</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2"/>
        </w:trPr>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2001. (1)</w:t>
            </w:r>
          </w:p>
        </w:tc>
        <w:tc>
          <w:tcPr>
            <w:tcW w:w="8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400" w:type="dxa"/>
            <w:vAlign w:val="bottom"/>
            <w:gridSpan w:val="3"/>
          </w:tcPr>
          <w:p>
            <w:pPr>
              <w:jc w:val="center"/>
              <w:ind w:right="960"/>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6720" w:type="dxa"/>
            <w:vAlign w:val="bottom"/>
            <w:gridSpan w:val="3"/>
          </w:tcPr>
          <w:p>
            <w:pPr>
              <w:ind w:left="60"/>
              <w:spacing w:after="0"/>
              <w:rPr>
                <w:sz w:val="20"/>
                <w:szCs w:val="20"/>
                <w:color w:val="auto"/>
              </w:rPr>
            </w:pPr>
            <w:r>
              <w:rPr>
                <w:rFonts w:ascii="Arial" w:cs="Arial" w:eastAsia="Arial" w:hAnsi="Arial"/>
                <w:sz w:val="18"/>
                <w:szCs w:val="18"/>
                <w:color w:val="auto"/>
                <w:w w:val="93"/>
              </w:rPr>
              <w:t>Second Amended and Superseding By-Laws as amended through February 15, 1995. (2)</w:t>
            </w:r>
          </w:p>
        </w:tc>
        <w:tc>
          <w:tcPr>
            <w:tcW w:w="3400" w:type="dxa"/>
            <w:vAlign w:val="bottom"/>
            <w:gridSpan w:val="3"/>
          </w:tcPr>
          <w:p>
            <w:pPr>
              <w:jc w:val="center"/>
              <w:ind w:right="960"/>
              <w:spacing w:after="0"/>
              <w:rPr>
                <w:sz w:val="20"/>
                <w:szCs w:val="20"/>
                <w:color w:val="auto"/>
              </w:rPr>
            </w:pPr>
            <w:r>
              <w:rPr>
                <w:rFonts w:ascii="Arial" w:cs="Arial" w:eastAsia="Arial" w:hAnsi="Arial"/>
                <w:sz w:val="18"/>
                <w:szCs w:val="18"/>
                <w:color w:val="auto"/>
                <w:w w:val="88"/>
              </w:rPr>
              <w:t>Incorporated by Reference</w:t>
            </w:r>
          </w:p>
        </w:tc>
      </w:tr>
      <w:tr>
        <w:trPr>
          <w:trHeight w:val="392"/>
        </w:trPr>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6720" w:type="dxa"/>
            <w:vAlign w:val="bottom"/>
            <w:gridSpan w:val="3"/>
          </w:tcPr>
          <w:p>
            <w:pPr>
              <w:ind w:left="60"/>
              <w:spacing w:after="0"/>
              <w:rPr>
                <w:sz w:val="20"/>
                <w:szCs w:val="20"/>
                <w:color w:val="auto"/>
              </w:rPr>
            </w:pPr>
            <w:r>
              <w:rPr>
                <w:rFonts w:ascii="Arial" w:cs="Arial" w:eastAsia="Arial" w:hAnsi="Arial"/>
                <w:sz w:val="18"/>
                <w:szCs w:val="18"/>
                <w:color w:val="auto"/>
                <w:w w:val="95"/>
              </w:rPr>
              <w:t>Certification by Chief Executive Officer pursuant to Rule 13a-14(a) of the Exchange Act.</w:t>
            </w:r>
          </w:p>
        </w:tc>
        <w:tc>
          <w:tcPr>
            <w:tcW w:w="3400" w:type="dxa"/>
            <w:vAlign w:val="bottom"/>
            <w:gridSpan w:val="3"/>
          </w:tcPr>
          <w:p>
            <w:pPr>
              <w:jc w:val="center"/>
              <w:ind w:right="96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6720" w:type="dxa"/>
            <w:vAlign w:val="bottom"/>
            <w:gridSpan w:val="3"/>
          </w:tcPr>
          <w:p>
            <w:pPr>
              <w:ind w:left="60"/>
              <w:spacing w:after="0"/>
              <w:rPr>
                <w:sz w:val="20"/>
                <w:szCs w:val="20"/>
                <w:color w:val="auto"/>
              </w:rPr>
            </w:pPr>
            <w:r>
              <w:rPr>
                <w:rFonts w:ascii="Arial" w:cs="Arial" w:eastAsia="Arial" w:hAnsi="Arial"/>
                <w:sz w:val="18"/>
                <w:szCs w:val="18"/>
                <w:color w:val="auto"/>
                <w:w w:val="95"/>
              </w:rPr>
              <w:t>Certification by Chief Financial Officer pursuant to Rule 13a-14(a) of the Exchange Act.</w:t>
            </w:r>
          </w:p>
        </w:tc>
        <w:tc>
          <w:tcPr>
            <w:tcW w:w="3400" w:type="dxa"/>
            <w:vAlign w:val="bottom"/>
            <w:gridSpan w:val="3"/>
          </w:tcPr>
          <w:p>
            <w:pPr>
              <w:jc w:val="center"/>
              <w:ind w:right="96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6720" w:type="dxa"/>
            <w:vAlign w:val="bottom"/>
            <w:gridSpan w:val="3"/>
          </w:tcPr>
          <w:p>
            <w:pPr>
              <w:ind w:left="60"/>
              <w:spacing w:after="0"/>
              <w:rPr>
                <w:sz w:val="20"/>
                <w:szCs w:val="20"/>
                <w:color w:val="auto"/>
              </w:rPr>
            </w:pPr>
            <w:r>
              <w:rPr>
                <w:rFonts w:ascii="Arial" w:cs="Arial" w:eastAsia="Arial" w:hAnsi="Arial"/>
                <w:sz w:val="18"/>
                <w:szCs w:val="18"/>
                <w:color w:val="auto"/>
              </w:rPr>
              <w:t>Section 1350 Certification by Chief Executive Officer.</w:t>
            </w:r>
          </w:p>
        </w:tc>
        <w:tc>
          <w:tcPr>
            <w:tcW w:w="3400" w:type="dxa"/>
            <w:vAlign w:val="bottom"/>
            <w:gridSpan w:val="3"/>
          </w:tcPr>
          <w:p>
            <w:pPr>
              <w:jc w:val="center"/>
              <w:ind w:right="96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4"/>
                <w:szCs w:val="24"/>
                <w:color w:val="auto"/>
              </w:rPr>
            </w:pPr>
          </w:p>
        </w:tc>
        <w:tc>
          <w:tcPr>
            <w:tcW w:w="6720" w:type="dxa"/>
            <w:vAlign w:val="bottom"/>
            <w:gridSpan w:val="3"/>
          </w:tcPr>
          <w:p>
            <w:pPr>
              <w:ind w:left="60"/>
              <w:spacing w:after="0"/>
              <w:rPr>
                <w:sz w:val="20"/>
                <w:szCs w:val="20"/>
                <w:color w:val="auto"/>
              </w:rPr>
            </w:pPr>
            <w:r>
              <w:rPr>
                <w:rFonts w:ascii="Arial" w:cs="Arial" w:eastAsia="Arial" w:hAnsi="Arial"/>
                <w:sz w:val="18"/>
                <w:szCs w:val="18"/>
                <w:color w:val="auto"/>
              </w:rPr>
              <w:t>Section 1350 Certification by Chief Financial Officer.</w:t>
            </w:r>
          </w:p>
        </w:tc>
        <w:tc>
          <w:tcPr>
            <w:tcW w:w="3400" w:type="dxa"/>
            <w:vAlign w:val="bottom"/>
            <w:gridSpan w:val="3"/>
          </w:tcPr>
          <w:p>
            <w:pPr>
              <w:jc w:val="center"/>
              <w:ind w:right="960"/>
              <w:spacing w:after="0"/>
              <w:rPr>
                <w:sz w:val="20"/>
                <w:szCs w:val="20"/>
                <w:color w:val="auto"/>
              </w:rPr>
            </w:pPr>
            <w:r>
              <w:rPr>
                <w:rFonts w:ascii="Arial" w:cs="Arial" w:eastAsia="Arial" w:hAnsi="Arial"/>
                <w:sz w:val="18"/>
                <w:szCs w:val="18"/>
                <w:color w:val="auto"/>
                <w:w w:val="93"/>
              </w:rPr>
              <w:t>Filed Electronically</w:t>
            </w: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7240905</wp:posOffset>
            </wp:positionH>
            <wp:positionV relativeFrom="paragraph">
              <wp:posOffset>-2590165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-2590165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5" w:orient="portrait"/>
          <w:cols w:equalWidth="0" w:num="1">
            <w:col w:w="11420"/>
          </w:cols>
          <w:pgMar w:left="240" w:top="145" w:right="239" w:bottom="0" w:gutter="0" w:footer="0" w:header="0"/>
        </w:sectPr>
      </w:pPr>
    </w:p>
    <w:bookmarkStart w:id="10" w:name="page11"/>
    <w:bookmarkEnd w:id="10"/>
    <w:p>
      <w:pPr>
        <w:ind w:left="332" w:hanging="332"/>
        <w:spacing w:after="0"/>
        <w:tabs>
          <w:tab w:leader="none" w:pos="332"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Incorporated by reference to Exhibit 3.1 to the Company’s Annual Report on Form 10-K for the year ended September 30, 2001.</w:t>
      </w:r>
    </w:p>
    <w:p>
      <w:pPr>
        <w:spacing w:after="0" w:line="219" w:lineRule="exact"/>
        <w:rPr>
          <w:rFonts w:ascii="Arial" w:cs="Arial" w:eastAsia="Arial" w:hAnsi="Arial"/>
          <w:sz w:val="15"/>
          <w:szCs w:val="15"/>
          <w:color w:val="auto"/>
        </w:rPr>
      </w:pPr>
    </w:p>
    <w:p>
      <w:pPr>
        <w:ind w:left="332" w:hanging="332"/>
        <w:spacing w:after="0"/>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7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146050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671"/>
          </w:cols>
          <w:pgMar w:left="788" w:top="469" w:right="1440" w:bottom="1440" w:gutter="0" w:footer="0" w:header="0"/>
        </w:sectPr>
      </w:pPr>
    </w:p>
    <w:bookmarkStart w:id="11" w:name="page12"/>
    <w:bookmarkEnd w:id="11"/>
    <w:p>
      <w:pPr>
        <w:ind w:left="10060"/>
        <w:spacing w:after="0"/>
        <w:rPr>
          <w:sz w:val="20"/>
          <w:szCs w:val="20"/>
          <w:color w:val="auto"/>
        </w:rPr>
      </w:pPr>
      <w:r>
        <w:rPr>
          <w:rFonts w:ascii="Arial" w:cs="Arial" w:eastAsia="Arial" w:hAnsi="Arial"/>
          <w:sz w:val="22"/>
          <w:szCs w:val="22"/>
          <w:b w:val="1"/>
          <w:bCs w:val="1"/>
          <w:color w:val="auto"/>
        </w:rPr>
        <w:t>EXHIBIT 31.1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00" w:lineRule="exact"/>
        <w:rPr>
          <w:sz w:val="20"/>
          <w:szCs w:val="20"/>
          <w:color w:val="auto"/>
        </w:rPr>
      </w:pPr>
    </w:p>
    <w:p>
      <w:pPr>
        <w:spacing w:after="0" w:line="201" w:lineRule="exact"/>
        <w:rPr>
          <w:sz w:val="20"/>
          <w:szCs w:val="20"/>
          <w:color w:val="auto"/>
        </w:rPr>
      </w:pPr>
    </w:p>
    <w:p>
      <w:pPr>
        <w:ind w:left="800" w:hanging="30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9"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4"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369"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9"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369" w:lineRule="exact"/>
        <w:rPr>
          <w:rFonts w:ascii="Arial" w:cs="Arial" w:eastAsia="Arial" w:hAnsi="Arial"/>
          <w:sz w:val="18"/>
          <w:szCs w:val="18"/>
          <w:color w:val="auto"/>
        </w:rPr>
      </w:pPr>
    </w:p>
    <w:p>
      <w:pPr>
        <w:ind w:left="1140" w:hanging="322"/>
        <w:spacing w:after="0" w:line="332" w:lineRule="auto"/>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4"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69"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4" w:lineRule="exact"/>
        <w:rPr>
          <w:rFonts w:ascii="Arial" w:cs="Arial" w:eastAsia="Arial" w:hAnsi="Arial"/>
          <w:sz w:val="16"/>
          <w:szCs w:val="16"/>
          <w:color w:val="auto"/>
        </w:rPr>
      </w:pPr>
    </w:p>
    <w:p>
      <w:pPr>
        <w:ind w:left="1140" w:right="20" w:hanging="322"/>
        <w:spacing w:after="0" w:line="332" w:lineRule="auto"/>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4"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18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10795</wp:posOffset>
            </wp:positionV>
            <wp:extent cx="2143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2" w:name="page13"/>
    <w:bookmarkEnd w:id="12"/>
    <w:p>
      <w:pPr>
        <w:ind w:left="10060"/>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00" w:lineRule="exact"/>
        <w:rPr>
          <w:sz w:val="20"/>
          <w:szCs w:val="20"/>
          <w:color w:val="auto"/>
        </w:rPr>
      </w:pPr>
    </w:p>
    <w:p>
      <w:pPr>
        <w:spacing w:after="0" w:line="21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9"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4"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369"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9"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369" w:lineRule="exact"/>
        <w:rPr>
          <w:rFonts w:ascii="Arial" w:cs="Arial" w:eastAsia="Arial" w:hAnsi="Arial"/>
          <w:sz w:val="18"/>
          <w:szCs w:val="18"/>
          <w:color w:val="auto"/>
        </w:rPr>
      </w:pPr>
    </w:p>
    <w:p>
      <w:pPr>
        <w:ind w:left="1140" w:hanging="322"/>
        <w:spacing w:after="0" w:line="33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4" w:lineRule="exact"/>
        <w:rPr>
          <w:rFonts w:ascii="Arial" w:cs="Arial" w:eastAsia="Arial" w:hAnsi="Arial"/>
          <w:sz w:val="16"/>
          <w:szCs w:val="16"/>
          <w:color w:val="auto"/>
        </w:rPr>
      </w:pPr>
    </w:p>
    <w:p>
      <w:pPr>
        <w:jc w:val="both"/>
        <w:ind w:left="1140" w:hanging="322"/>
        <w:spacing w:after="0" w:line="259"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69" w:lineRule="exact"/>
        <w:rPr>
          <w:rFonts w:ascii="Arial" w:cs="Arial" w:eastAsia="Arial" w:hAnsi="Arial"/>
          <w:sz w:val="18"/>
          <w:szCs w:val="18"/>
          <w:color w:val="auto"/>
        </w:rPr>
      </w:pPr>
    </w:p>
    <w:p>
      <w:pPr>
        <w:ind w:left="820" w:hanging="326"/>
        <w:spacing w:after="0" w:line="33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4" w:lineRule="exact"/>
        <w:rPr>
          <w:rFonts w:ascii="Arial" w:cs="Arial" w:eastAsia="Arial" w:hAnsi="Arial"/>
          <w:sz w:val="16"/>
          <w:szCs w:val="16"/>
          <w:color w:val="auto"/>
        </w:rPr>
      </w:pPr>
    </w:p>
    <w:p>
      <w:pPr>
        <w:ind w:left="1140" w:right="20" w:hanging="322"/>
        <w:spacing w:after="0" w:line="33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4" w:lineRule="exact"/>
        <w:rPr>
          <w:rFonts w:ascii="Arial" w:cs="Arial" w:eastAsia="Arial" w:hAnsi="Arial"/>
          <w:sz w:val="16"/>
          <w:szCs w:val="16"/>
          <w:color w:val="auto"/>
        </w:rPr>
      </w:pPr>
    </w:p>
    <w:p>
      <w:pPr>
        <w:ind w:left="1140" w:hanging="322"/>
        <w:spacing w:after="0" w:line="268"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19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2540</wp:posOffset>
            </wp:positionV>
            <wp:extent cx="21437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2006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80" w:hanging="25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3"/>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437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999490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32.2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3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2006 as filed with the Securities and Exchange Commission on the date hereof (the “Report”), I, Marvin E. Dee, Chief Financial Officer of the Company, certify, pursuant to 18 U.S.C. § 1350, as adopted pursuant to § 906 of the Sarbanes-Oxley Act of 2002, that:</w:t>
      </w:r>
    </w:p>
    <w:p>
      <w:pPr>
        <w:spacing w:after="0" w:line="194" w:lineRule="exact"/>
        <w:rPr>
          <w:sz w:val="20"/>
          <w:szCs w:val="20"/>
          <w:color w:val="auto"/>
        </w:rPr>
      </w:pPr>
    </w:p>
    <w:p>
      <w:pPr>
        <w:ind w:left="780" w:hanging="25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53"/>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437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999490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4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1."/>
      <w:numFmt w:val="decimal"/>
      <w:start w:val="7"/>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2019-12-12T09:35:27Z</dcterms:created>
  <dcterms:modified xsi:type="dcterms:W3CDTF">2019-12-12T09:35:27Z</dcterms:modified>
</cp:coreProperties>
</file>