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(AMENDMENT NO. 8)*</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Hawkins Chemical,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$.05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420200 10 7</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1 of 8 pages</w:t>
      </w:r>
    </w:p>
    <w:p>
      <w:pPr>
        <w:sectPr>
          <w:pgSz w:w="11900" w:h="16838" w:orient="portrait"/>
          <w:cols w:equalWidth="0" w:num="1">
            <w:col w:w="10219"/>
          </w:cols>
          <w:pgMar w:left="240" w:top="649" w:right="1440" w:bottom="1440" w:gutter="0" w:footer="0" w:header="0"/>
        </w:sectPr>
      </w:pPr>
    </w:p>
    <w:bookmarkStart w:id="1" w:name="page2"/>
    <w:bookmarkEnd w:id="1"/>
    <w:p>
      <w:pPr>
        <w:spacing w:after="0"/>
        <w:tabs>
          <w:tab w:leader="none" w:pos="6620" w:val="left"/>
        </w:tabs>
        <w:rPr>
          <w:sz w:val="20"/>
          <w:szCs w:val="20"/>
          <w:color w:val="auto"/>
        </w:rPr>
      </w:pPr>
      <w:r>
        <w:rPr>
          <w:rFonts w:ascii="Courier New" w:cs="Courier New" w:eastAsia="Courier New" w:hAnsi="Courier New"/>
          <w:sz w:val="18"/>
          <w:szCs w:val="18"/>
          <w:color w:val="auto"/>
        </w:rPr>
        <w:t>CUSIP No. 420200 10 7</w:t>
      </w:r>
      <w:r>
        <w:rPr>
          <w:sz w:val="20"/>
          <w:szCs w:val="20"/>
          <w:color w:val="auto"/>
        </w:rPr>
        <w:tab/>
      </w:r>
      <w:r>
        <w:rPr>
          <w:rFonts w:ascii="Courier New" w:cs="Courier New" w:eastAsia="Courier New" w:hAnsi="Courier New"/>
          <w:sz w:val="16"/>
          <w:szCs w:val="16"/>
          <w:color w:val="auto"/>
        </w:rPr>
        <w:t>Page 2 of 8 Pages</w:t>
      </w:r>
    </w:p>
    <w:p>
      <w:pPr>
        <w:ind w:left="1060"/>
        <w:spacing w:after="0" w:line="238" w:lineRule="auto"/>
        <w:tabs>
          <w:tab w:leader="none" w:pos="4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13G</w:t>
      </w:r>
    </w:p>
    <w:p>
      <w:pPr>
        <w:spacing w:after="0" w:line="5"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hanging="525"/>
        <w:spacing w:after="0" w:line="238" w:lineRule="auto"/>
        <w:tabs>
          <w:tab w:leader="none" w:pos="10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Hawkins Chemical, Inc. Employee Stock Ownership Plan and Trust</w:t>
      </w:r>
    </w:p>
    <w:p>
      <w:pPr>
        <w:ind w:left="1580" w:hanging="519"/>
        <w:spacing w:after="0" w:line="238" w:lineRule="auto"/>
        <w:tabs>
          <w:tab w:leader="none" w:pos="1580" w:val="left"/>
        </w:tabs>
        <w:numPr>
          <w:ilvl w:val="3"/>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41-0771293</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left="120" w:right="231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(a)  / / (b)  / /</w:t>
      </w:r>
    </w:p>
    <w:p>
      <w:pPr>
        <w:spacing w:after="0" w:line="6"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Minnesota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48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00" w:type="dxa"/>
            <w:vAlign w:val="bottom"/>
          </w:tcPr>
          <w:p>
            <w:pPr>
              <w:spacing w:after="0"/>
              <w:rPr>
                <w:sz w:val="17"/>
                <w:szCs w:val="17"/>
                <w:color w:val="auto"/>
              </w:rPr>
            </w:pPr>
          </w:p>
        </w:tc>
        <w:tc>
          <w:tcPr>
            <w:tcW w:w="4860" w:type="dxa"/>
            <w:vAlign w:val="bottom"/>
          </w:tcPr>
          <w:p>
            <w:pPr>
              <w:spacing w:after="0"/>
              <w:rPr>
                <w:sz w:val="17"/>
                <w:szCs w:val="17"/>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00" w:type="dxa"/>
            <w:vAlign w:val="bottom"/>
          </w:tcPr>
          <w:p>
            <w:pPr>
              <w:spacing w:after="0"/>
              <w:rPr>
                <w:sz w:val="17"/>
                <w:szCs w:val="17"/>
                <w:color w:val="auto"/>
              </w:rPr>
            </w:pPr>
          </w:p>
        </w:tc>
        <w:tc>
          <w:tcPr>
            <w:tcW w:w="4860" w:type="dxa"/>
            <w:vAlign w:val="bottom"/>
          </w:tcPr>
          <w:p>
            <w:pPr>
              <w:jc w:val="right"/>
              <w:ind w:right="39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6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2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Courier New" w:cs="Courier New" w:eastAsia="Courier New" w:hAnsi="Courier New"/>
                <w:sz w:val="18"/>
                <w:szCs w:val="18"/>
                <w:color w:val="auto"/>
              </w:rPr>
              <w:t>2,499,582 (b)</w:t>
            </w:r>
          </w:p>
        </w:tc>
      </w:tr>
      <w:tr>
        <w:trPr>
          <w:trHeight w:val="203"/>
        </w:trPr>
        <w:tc>
          <w:tcPr>
            <w:tcW w:w="2260" w:type="dxa"/>
            <w:vAlign w:val="bottom"/>
          </w:tcPr>
          <w:p>
            <w:pPr>
              <w:spacing w:after="0"/>
              <w:rPr>
                <w:sz w:val="17"/>
                <w:szCs w:val="17"/>
                <w:color w:val="auto"/>
              </w:rPr>
            </w:pPr>
          </w:p>
        </w:tc>
        <w:tc>
          <w:tcPr>
            <w:tcW w:w="6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6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60" w:type="dxa"/>
            <w:vAlign w:val="bottom"/>
          </w:tcPr>
          <w:p>
            <w:pPr>
              <w:jc w:val="right"/>
              <w:ind w:right="39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260" w:type="dxa"/>
            <w:vAlign w:val="bottom"/>
          </w:tcPr>
          <w:p>
            <w:pPr>
              <w:spacing w:after="0"/>
              <w:rPr>
                <w:sz w:val="17"/>
                <w:szCs w:val="17"/>
                <w:color w:val="auto"/>
              </w:rPr>
            </w:pPr>
          </w:p>
        </w:tc>
        <w:tc>
          <w:tcPr>
            <w:tcW w:w="6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3580" w:right="4099" w:hanging="412"/>
        <w:spacing w:after="0" w:line="357" w:lineRule="auto"/>
        <w:tabs>
          <w:tab w:leader="none" w:pos="358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2,499,582 (b)</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2,499,582 (b)</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22%</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NOTES</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right="2099" w:hanging="525"/>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Trustees of the Hawkins Chemical, Inc. Employee Stock Ownership Plan and</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2" w:name="page3"/>
    <w:bookmarkEnd w:id="2"/>
    <w:p>
      <w:pPr>
        <w:ind w:right="2099"/>
        <w:spacing w:after="0" w:line="271" w:lineRule="auto"/>
        <w:rPr>
          <w:sz w:val="20"/>
          <w:szCs w:val="20"/>
          <w:color w:val="auto"/>
        </w:rPr>
      </w:pPr>
      <w:r>
        <w:rPr>
          <w:rFonts w:ascii="Courier New" w:cs="Courier New" w:eastAsia="Courier New" w:hAnsi="Courier New"/>
          <w:sz w:val="16"/>
          <w:szCs w:val="16"/>
          <w:color w:val="auto"/>
        </w:rPr>
        <w:t>Trust are Messrs. Howard J. Hawkins, Dean L. Hahn, Donald L. Shipp, Howard M. Hawkins, and John R. Hawkins. These individuals are all directors and officers of the Issuer. Apart from the plan holdings in this plan and the individual interests of each trustee under such plan as of December 31, 1998, these individuals had personal holdings of the Issuer's common stock as set forth below. Unless otherwise noted, all shares shown are held by individuals possessing sole voting and dispositive power with respect to such shares.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24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Number of</w:t>
            </w:r>
          </w:p>
        </w:tc>
        <w:tc>
          <w:tcPr>
            <w:tcW w:w="1800" w:type="dxa"/>
            <w:vAlign w:val="bottom"/>
          </w:tcPr>
          <w:p>
            <w:pPr>
              <w:jc w:val="center"/>
              <w:ind w:left="652"/>
              <w:spacing w:after="0"/>
              <w:rPr>
                <w:sz w:val="20"/>
                <w:szCs w:val="20"/>
                <w:color w:val="auto"/>
              </w:rPr>
            </w:pPr>
            <w:r>
              <w:rPr>
                <w:rFonts w:ascii="Courier New" w:cs="Courier New" w:eastAsia="Courier New" w:hAnsi="Courier New"/>
                <w:sz w:val="18"/>
                <w:szCs w:val="18"/>
                <w:color w:val="auto"/>
                <w:w w:val="98"/>
              </w:rPr>
              <w:t>Percentage</w:t>
            </w:r>
          </w:p>
        </w:tc>
      </w:tr>
      <w:tr>
        <w:trPr>
          <w:trHeight w:val="203"/>
        </w:trPr>
        <w:tc>
          <w:tcPr>
            <w:tcW w:w="24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Name</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Shares</w:t>
            </w:r>
          </w:p>
        </w:tc>
        <w:tc>
          <w:tcPr>
            <w:tcW w:w="1800" w:type="dxa"/>
            <w:vAlign w:val="bottom"/>
          </w:tcPr>
          <w:p>
            <w:pPr>
              <w:jc w:val="center"/>
              <w:ind w:left="652"/>
              <w:spacing w:after="0" w:line="203" w:lineRule="exact"/>
              <w:rPr>
                <w:sz w:val="20"/>
                <w:szCs w:val="20"/>
                <w:color w:val="auto"/>
              </w:rPr>
            </w:pPr>
            <w:r>
              <w:rPr>
                <w:rFonts w:ascii="Courier New" w:cs="Courier New" w:eastAsia="Courier New" w:hAnsi="Courier New"/>
                <w:sz w:val="18"/>
                <w:szCs w:val="18"/>
                <w:color w:val="auto"/>
                <w:w w:val="99"/>
              </w:rPr>
              <w:t>of Class</w:t>
            </w:r>
          </w:p>
        </w:tc>
      </w:tr>
      <w:tr>
        <w:trPr>
          <w:trHeight w:val="203"/>
        </w:trPr>
        <w:tc>
          <w:tcPr>
            <w:tcW w:w="24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center"/>
              <w:ind w:left="65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Howard J. Hawkins</w:t>
            </w:r>
          </w:p>
        </w:tc>
        <w:tc>
          <w:tcPr>
            <w:tcW w:w="24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489,847(1)</w:t>
            </w:r>
          </w:p>
        </w:tc>
        <w:tc>
          <w:tcPr>
            <w:tcW w:w="1800" w:type="dxa"/>
            <w:vAlign w:val="bottom"/>
          </w:tcPr>
          <w:p>
            <w:pPr>
              <w:jc w:val="center"/>
              <w:ind w:left="652"/>
              <w:spacing w:after="0"/>
              <w:rPr>
                <w:sz w:val="20"/>
                <w:szCs w:val="20"/>
                <w:color w:val="auto"/>
              </w:rPr>
            </w:pPr>
            <w:r>
              <w:rPr>
                <w:rFonts w:ascii="Courier New" w:cs="Courier New" w:eastAsia="Courier New" w:hAnsi="Courier New"/>
                <w:sz w:val="18"/>
                <w:szCs w:val="18"/>
                <w:color w:val="auto"/>
                <w:w w:val="97"/>
              </w:rPr>
              <w:t>4.3%</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Dean L. Hahn</w:t>
            </w:r>
          </w:p>
        </w:tc>
        <w:tc>
          <w:tcPr>
            <w:tcW w:w="24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105,128(2)</w:t>
            </w:r>
          </w:p>
        </w:tc>
        <w:tc>
          <w:tcPr>
            <w:tcW w:w="1800" w:type="dxa"/>
            <w:vAlign w:val="bottom"/>
          </w:tcPr>
          <w:p>
            <w:pPr>
              <w:jc w:val="center"/>
              <w:ind w:left="652"/>
              <w:spacing w:after="0" w:line="203" w:lineRule="exact"/>
              <w:rPr>
                <w:sz w:val="20"/>
                <w:szCs w:val="20"/>
                <w:color w:val="auto"/>
              </w:rPr>
            </w:pPr>
            <w:r>
              <w:rPr>
                <w:rFonts w:ascii="Courier New" w:cs="Courier New" w:eastAsia="Courier New" w:hAnsi="Courier New"/>
                <w:sz w:val="18"/>
                <w:szCs w:val="18"/>
                <w:color w:val="auto"/>
                <w:w w:val="97"/>
              </w:rPr>
              <w:t>0.9%</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L. Shipp</w:t>
            </w:r>
          </w:p>
        </w:tc>
        <w:tc>
          <w:tcPr>
            <w:tcW w:w="24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132,068(3)</w:t>
            </w:r>
          </w:p>
        </w:tc>
        <w:tc>
          <w:tcPr>
            <w:tcW w:w="1800" w:type="dxa"/>
            <w:vAlign w:val="bottom"/>
          </w:tcPr>
          <w:p>
            <w:pPr>
              <w:jc w:val="center"/>
              <w:ind w:left="652"/>
              <w:spacing w:after="0" w:line="203" w:lineRule="exact"/>
              <w:rPr>
                <w:sz w:val="20"/>
                <w:szCs w:val="20"/>
                <w:color w:val="auto"/>
              </w:rPr>
            </w:pPr>
            <w:r>
              <w:rPr>
                <w:rFonts w:ascii="Courier New" w:cs="Courier New" w:eastAsia="Courier New" w:hAnsi="Courier New"/>
                <w:sz w:val="18"/>
                <w:szCs w:val="18"/>
                <w:color w:val="auto"/>
                <w:w w:val="97"/>
              </w:rPr>
              <w:t>1.2%</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Howard M. Hawkins</w:t>
            </w:r>
          </w:p>
        </w:tc>
        <w:tc>
          <w:tcPr>
            <w:tcW w:w="24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168,960(4)</w:t>
            </w:r>
          </w:p>
        </w:tc>
        <w:tc>
          <w:tcPr>
            <w:tcW w:w="1800" w:type="dxa"/>
            <w:vAlign w:val="bottom"/>
          </w:tcPr>
          <w:p>
            <w:pPr>
              <w:jc w:val="center"/>
              <w:ind w:left="652"/>
              <w:spacing w:after="0" w:line="203" w:lineRule="exact"/>
              <w:rPr>
                <w:sz w:val="20"/>
                <w:szCs w:val="20"/>
                <w:color w:val="auto"/>
              </w:rPr>
            </w:pPr>
            <w:r>
              <w:rPr>
                <w:rFonts w:ascii="Courier New" w:cs="Courier New" w:eastAsia="Courier New" w:hAnsi="Courier New"/>
                <w:sz w:val="18"/>
                <w:szCs w:val="18"/>
                <w:color w:val="auto"/>
                <w:w w:val="97"/>
              </w:rPr>
              <w:t>1.5%</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Hawkins</w:t>
            </w:r>
          </w:p>
        </w:tc>
        <w:tc>
          <w:tcPr>
            <w:tcW w:w="24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72,201(5)</w:t>
            </w:r>
          </w:p>
        </w:tc>
        <w:tc>
          <w:tcPr>
            <w:tcW w:w="1800" w:type="dxa"/>
            <w:vAlign w:val="bottom"/>
          </w:tcPr>
          <w:p>
            <w:pPr>
              <w:jc w:val="center"/>
              <w:ind w:left="652"/>
              <w:spacing w:after="0" w:line="203" w:lineRule="exact"/>
              <w:rPr>
                <w:sz w:val="20"/>
                <w:szCs w:val="20"/>
                <w:color w:val="auto"/>
              </w:rPr>
            </w:pPr>
            <w:r>
              <w:rPr>
                <w:rFonts w:ascii="Courier New" w:cs="Courier New" w:eastAsia="Courier New" w:hAnsi="Courier New"/>
                <w:sz w:val="18"/>
                <w:szCs w:val="18"/>
                <w:color w:val="auto"/>
                <w:w w:val="97"/>
              </w:rPr>
              <w:t>0.6%</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2199" w:firstLine="8"/>
        <w:spacing w:after="0" w:line="237"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Hawkins has sole voting and dispositive power over all of these 489,847 shares, except for 191,665 shares owned by his wife as to which Mr. Hawkins may be deemed to share voting and dispositive power, but as to which he disclaims beneficial ownership, as well as 36,093 shares that Mr. Hawkins holds jointly with his wife as to which he shares voting and dispositive power.</w:t>
      </w:r>
    </w:p>
    <w:p>
      <w:pPr>
        <w:spacing w:after="0" w:line="209" w:lineRule="exact"/>
        <w:rPr>
          <w:rFonts w:ascii="Courier New" w:cs="Courier New" w:eastAsia="Courier New" w:hAnsi="Courier New"/>
          <w:sz w:val="18"/>
          <w:szCs w:val="18"/>
          <w:color w:val="auto"/>
        </w:rPr>
      </w:pPr>
    </w:p>
    <w:p>
      <w:pPr>
        <w:ind w:right="2099" w:firstLine="8"/>
        <w:spacing w:after="0" w:line="236"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Hahn has sole voting and dispositive power over all of these 105,128 shares, except for 8,292 shares that Mr. Hahn holds jointly with his wife as to which he shares voting and dispositive power.</w:t>
      </w:r>
    </w:p>
    <w:p>
      <w:pPr>
        <w:spacing w:after="0" w:line="208" w:lineRule="exact"/>
        <w:rPr>
          <w:rFonts w:ascii="Courier New" w:cs="Courier New" w:eastAsia="Courier New" w:hAnsi="Courier New"/>
          <w:sz w:val="18"/>
          <w:szCs w:val="18"/>
          <w:color w:val="auto"/>
        </w:rPr>
      </w:pPr>
    </w:p>
    <w:p>
      <w:pPr>
        <w:ind w:right="2319" w:firstLine="8"/>
        <w:spacing w:after="0" w:line="237"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Shipp has sole voting and dispositive power over all of these 132,068 shares, except 70,509 shares that Mr. Shipp holds jointly with his wife as to which he shares voting and dispositive power and 60,000 shares held by his wife also which he may be deemed to share voting and investment power, but as to which he disclaims beneficial ownership.</w:t>
      </w:r>
    </w:p>
    <w:p>
      <w:pPr>
        <w:spacing w:after="0" w:line="208" w:lineRule="exact"/>
        <w:rPr>
          <w:rFonts w:ascii="Courier New" w:cs="Courier New" w:eastAsia="Courier New" w:hAnsi="Courier New"/>
          <w:sz w:val="18"/>
          <w:szCs w:val="18"/>
          <w:color w:val="auto"/>
        </w:rPr>
      </w:pPr>
    </w:p>
    <w:p>
      <w:pPr>
        <w:ind w:right="2199" w:firstLine="8"/>
        <w:spacing w:after="0" w:line="273" w:lineRule="auto"/>
        <w:tabs>
          <w:tab w:leader="none" w:pos="52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Hawkins has sole voting and dispositive power over all of these 168,960 shares, except for 64,695 shares held by his wife as to which Mr. Hawkins may be deemed to share voting and dispositive power, but as to which he disclaims beneficial ownership; and 99,469 shares that Mr. Hawkins holds jointly with his wife as to which he shares voting and dispositive power.</w:t>
      </w:r>
    </w:p>
    <w:p>
      <w:pPr>
        <w:spacing w:after="0" w:line="184" w:lineRule="exact"/>
        <w:rPr>
          <w:rFonts w:ascii="Courier New" w:cs="Courier New" w:eastAsia="Courier New" w:hAnsi="Courier New"/>
          <w:sz w:val="16"/>
          <w:szCs w:val="16"/>
          <w:color w:val="auto"/>
        </w:rPr>
      </w:pPr>
    </w:p>
    <w:p>
      <w:pPr>
        <w:ind w:right="2319" w:firstLine="8"/>
        <w:spacing w:after="0" w:line="273" w:lineRule="auto"/>
        <w:tabs>
          <w:tab w:leader="none" w:pos="52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Hawkins has sole voting and dispositive power over all of these 72,201 shares, except 40,897 shares held by him as custodian for one minor child as to which he has full voting and dispositive power, but as to which he disclaims beneficial ownership; and 11,861 shares that Mr. Hawkins holds jointly with his wife as to which he shares voting and dispositive power.</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3" w:name="page4"/>
    <w:bookmarkEnd w:id="3"/>
    <w:p>
      <w:pPr>
        <w:ind w:left="-956" w:right="2099" w:firstLine="956"/>
        <w:spacing w:after="0" w:line="238" w:lineRule="auto"/>
        <w:tabs>
          <w:tab w:leader="none" w:pos="51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Hawkins Chemical, Inc. Employee Stock Ownership Plan and Trust (the "ESOP") currently holds 2,499,582 shares of the Issuer's common stock, representing 22% of the total outstanding shares. The ESOP allows participants to direct the voting of shares allocated to their accounts, but since the Trustees may vote shares with respect to which no directions are received, the Trustees may be deemed to share voting power as to all of these shares. In addition, the Trustees, as individual participants in the ESOP, have the power to direct the voting of the following number of shares allocated to their personal accounts as of December 31, 1998: Howard J. Hawkins, 134,512 shares; Dean L. Hahn, 201,106 shares; Donald L. Shipp, 174,838 shares; Howard M. Hawkins, 122,833 shares; and John R. Hawkins, 116,280 shares. The Trustees also have dispositive power with respect to all 2,499,582 shares, provided that this power is limited by a requirement that the assets of the ESOP Trust must consist primarily of shares of the Issuer's stock. Each Trustee disclaims beneficial ownership of the shares attributed to him solely as a Trustee of the ESOP.</w:t>
      </w:r>
    </w:p>
    <w:p>
      <w:pPr>
        <w:spacing w:after="0" w:line="200" w:lineRule="exact"/>
        <w:rPr>
          <w:sz w:val="20"/>
          <w:szCs w:val="20"/>
          <w:color w:val="auto"/>
        </w:rPr>
      </w:pPr>
    </w:p>
    <w:p>
      <w:pPr>
        <w:spacing w:after="0" w:line="205"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263"/>
          </w:cols>
          <w:pgMar w:left="1196" w:top="723" w:right="1440" w:bottom="1440" w:gutter="0" w:footer="0" w:header="0"/>
        </w:sectPr>
      </w:pPr>
    </w:p>
    <w:bookmarkStart w:id="4" w:name="page5"/>
    <w:bookmarkEnd w:id="4"/>
    <w:p>
      <w:pPr>
        <w:ind w:left="3480"/>
        <w:spacing w:after="0"/>
        <w:rPr>
          <w:sz w:val="20"/>
          <w:szCs w:val="20"/>
          <w:color w:val="auto"/>
        </w:rPr>
      </w:pPr>
      <w:r>
        <w:rPr>
          <w:rFonts w:ascii="Courier New" w:cs="Courier New" w:eastAsia="Courier New" w:hAnsi="Courier New"/>
          <w:sz w:val="18"/>
          <w:szCs w:val="18"/>
          <w:color w:val="auto"/>
        </w:rPr>
        <w:t>SCHEDULE 13G</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900" w:right="5999" w:hanging="944"/>
        <w:spacing w:after="0" w:line="536" w:lineRule="auto"/>
        <w:tabs>
          <w:tab w:leader="none" w:pos="19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Hawkins Chemical, Inc.</w:t>
      </w:r>
    </w:p>
    <w:p>
      <w:pPr>
        <w:ind w:left="1900" w:hanging="944"/>
        <w:spacing w:after="0"/>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900" w:right="53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3100 East Hennepin Avenue Minneapolis, Minnesota 55413</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900" w:hanging="944"/>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Hawkins Chemical, Inc. Employee Stock Ownership Plan and Trust</w:t>
      </w:r>
    </w:p>
    <w:p>
      <w:pPr>
        <w:spacing w:after="0" w:line="223" w:lineRule="exact"/>
        <w:rPr>
          <w:rFonts w:ascii="Courier New" w:cs="Courier New" w:eastAsia="Courier New" w:hAnsi="Courier New"/>
          <w:sz w:val="18"/>
          <w:szCs w:val="18"/>
          <w:color w:val="auto"/>
        </w:rPr>
      </w:pPr>
    </w:p>
    <w:p>
      <w:pPr>
        <w:ind w:left="1900" w:right="3159" w:hanging="944"/>
        <w:spacing w:after="0" w:line="235"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2"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 Hawkins Chemical, Inc.</w:t>
      </w:r>
    </w:p>
    <w:p>
      <w:pPr>
        <w:spacing w:after="0" w:line="4" w:lineRule="exact"/>
        <w:rPr>
          <w:rFonts w:ascii="Courier New" w:cs="Courier New" w:eastAsia="Courier New" w:hAnsi="Courier New"/>
          <w:sz w:val="18"/>
          <w:szCs w:val="18"/>
          <w:color w:val="auto"/>
        </w:rPr>
      </w:pPr>
    </w:p>
    <w:p>
      <w:pPr>
        <w:ind w:left="1900" w:right="53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3100 East Hennepin Avenue Minneapolis, Minnesota 55413</w:t>
      </w:r>
    </w:p>
    <w:p>
      <w:pPr>
        <w:spacing w:after="0" w:line="169" w:lineRule="exact"/>
        <w:rPr>
          <w:rFonts w:ascii="Courier New" w:cs="Courier New" w:eastAsia="Courier New" w:hAnsi="Courier New"/>
          <w:sz w:val="18"/>
          <w:szCs w:val="18"/>
          <w:color w:val="auto"/>
        </w:rPr>
      </w:pPr>
    </w:p>
    <w:p>
      <w:pPr>
        <w:ind w:left="1900" w:right="7159" w:hanging="944"/>
        <w:spacing w:after="0" w:line="536" w:lineRule="auto"/>
        <w:tabs>
          <w:tab w:leader="none" w:pos="19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Minnesota</w:t>
      </w:r>
    </w:p>
    <w:p>
      <w:pPr>
        <w:ind w:left="1900" w:hanging="944"/>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$.05 per share</w:t>
      </w:r>
    </w:p>
    <w:p>
      <w:pPr>
        <w:spacing w:after="0" w:line="206" w:lineRule="exact"/>
        <w:rPr>
          <w:rFonts w:ascii="Courier New" w:cs="Courier New" w:eastAsia="Courier New" w:hAnsi="Courier New"/>
          <w:sz w:val="18"/>
          <w:szCs w:val="18"/>
          <w:color w:val="auto"/>
        </w:rPr>
      </w:pPr>
    </w:p>
    <w:p>
      <w:pPr>
        <w:ind w:left="1900" w:right="7059" w:hanging="944"/>
        <w:spacing w:after="0" w:line="558" w:lineRule="auto"/>
        <w:tabs>
          <w:tab w:leader="none" w:pos="19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420200 10 7</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900"/>
        <w:spacing w:after="0" w:line="238" w:lineRule="auto"/>
        <w:rPr>
          <w:sz w:val="20"/>
          <w:szCs w:val="20"/>
          <w:color w:val="auto"/>
        </w:rPr>
      </w:pPr>
      <w:r>
        <w:rPr>
          <w:rFonts w:ascii="Courier New" w:cs="Courier New" w:eastAsia="Courier New" w:hAnsi="Courier New"/>
          <w:sz w:val="18"/>
          <w:szCs w:val="18"/>
          <w:color w:val="auto"/>
        </w:rPr>
        <w:t>13d-2(b), CHECK WHETHER THE PERSON FILING IS A:</w:t>
      </w:r>
    </w:p>
    <w:p>
      <w:pPr>
        <w:spacing w:after="0" w:line="207" w:lineRule="exact"/>
        <w:rPr>
          <w:sz w:val="20"/>
          <w:szCs w:val="20"/>
          <w:color w:val="auto"/>
        </w:rPr>
      </w:pPr>
    </w:p>
    <w:p>
      <w:pPr>
        <w:ind w:left="1900" w:hanging="944"/>
        <w:spacing w:after="0"/>
        <w:tabs>
          <w:tab w:leader="none" w:pos="19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____  Broker or Dealer registered under Section 15 of the Act</w:t>
      </w:r>
    </w:p>
    <w:p>
      <w:pPr>
        <w:spacing w:after="0" w:line="218"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  Bank as defined in section 3(a)(6) of the Act</w:t>
      </w:r>
    </w:p>
    <w:p>
      <w:pPr>
        <w:spacing w:after="0" w:line="206" w:lineRule="exact"/>
        <w:rPr>
          <w:rFonts w:ascii="Courier New" w:cs="Courier New" w:eastAsia="Courier New" w:hAnsi="Courier New"/>
          <w:sz w:val="18"/>
          <w:szCs w:val="18"/>
          <w:color w:val="auto"/>
        </w:rPr>
      </w:pPr>
    </w:p>
    <w:p>
      <w:pPr>
        <w:ind w:left="2540" w:right="1879" w:hanging="1584"/>
        <w:spacing w:after="0" w:line="235" w:lineRule="auto"/>
        <w:tabs>
          <w:tab w:leader="none" w:pos="190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 Insurance Company as defined in section 3(a)(19) of the Act</w:t>
      </w:r>
    </w:p>
    <w:p>
      <w:pPr>
        <w:spacing w:after="0" w:line="208" w:lineRule="exact"/>
        <w:rPr>
          <w:rFonts w:ascii="Courier New" w:cs="Courier New" w:eastAsia="Courier New" w:hAnsi="Courier New"/>
          <w:sz w:val="18"/>
          <w:szCs w:val="18"/>
          <w:color w:val="auto"/>
        </w:rPr>
      </w:pPr>
    </w:p>
    <w:p>
      <w:pPr>
        <w:ind w:left="2540" w:right="2199" w:hanging="1584"/>
        <w:spacing w:after="0" w:line="235" w:lineRule="auto"/>
        <w:tabs>
          <w:tab w:leader="none" w:pos="190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540" w:right="1999" w:hanging="1584"/>
        <w:spacing w:after="0" w:line="235" w:lineRule="auto"/>
        <w:tabs>
          <w:tab w:leader="none" w:pos="190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2120" w:hanging="1164"/>
        <w:spacing w:after="0"/>
        <w:tabs>
          <w:tab w:leader="none" w:pos="21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Employee Benefit Plan, Pension Fund which is subject to</w:t>
      </w:r>
    </w:p>
    <w:p>
      <w:pPr>
        <w:spacing w:after="0" w:line="21" w:lineRule="exact"/>
        <w:rPr>
          <w:rFonts w:ascii="Courier New" w:cs="Courier New" w:eastAsia="Courier New" w:hAnsi="Courier New"/>
          <w:sz w:val="16"/>
          <w:szCs w:val="16"/>
          <w:color w:val="auto"/>
        </w:rPr>
      </w:pPr>
    </w:p>
    <w:p>
      <w:pPr>
        <w:ind w:left="2540" w:right="2619" w:hanging="632"/>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 the provisions of the Employee Retirement Income Security Act of 1974 or Endowment Fund; see Rule 13d-1(b)(1)(ii)(F)</w:t>
      </w:r>
    </w:p>
    <w:p>
      <w:pPr>
        <w:spacing w:after="0" w:line="203"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  Parent Holding Company, in accordance with</w:t>
      </w:r>
    </w:p>
    <w:p>
      <w:pPr>
        <w:ind w:left="2540"/>
        <w:spacing w:after="0" w:line="238" w:lineRule="auto"/>
        <w:rPr>
          <w:sz w:val="20"/>
          <w:szCs w:val="20"/>
          <w:color w:val="auto"/>
        </w:rPr>
      </w:pPr>
      <w:r>
        <w:rPr>
          <w:rFonts w:ascii="Courier New" w:cs="Courier New" w:eastAsia="Courier New" w:hAnsi="Courier New"/>
          <w:sz w:val="18"/>
          <w:szCs w:val="18"/>
          <w:color w:val="auto"/>
        </w:rPr>
        <w:t>Rule 13d-1(b)(1)(ii)(G) (Note: See Item 7)</w:t>
      </w:r>
    </w:p>
    <w:p>
      <w:pPr>
        <w:spacing w:after="0" w:line="202" w:lineRule="exact"/>
        <w:rPr>
          <w:sz w:val="20"/>
          <w:szCs w:val="20"/>
          <w:color w:val="auto"/>
        </w:rPr>
      </w:pPr>
    </w:p>
    <w:p>
      <w:pPr>
        <w:ind w:left="1900" w:hanging="944"/>
        <w:spacing w:after="0"/>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  Group, in accordance with Rule 13d-1(b)(1)(ii)(H)</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If the percent of the class owned, as of December 31 of the year covered by the statement, or as of the last day of any month described in</w:t>
      </w:r>
    </w:p>
    <w:p>
      <w:pPr>
        <w:spacing w:after="0" w:line="6"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Rule 13d-1(b)(2), if applicable, exceeds five percent, provide the following information as of that date and identify those shares which there is a right to acquire.</w:t>
      </w:r>
    </w:p>
    <w:p>
      <w:pPr>
        <w:spacing w:after="0" w:line="209" w:lineRule="exact"/>
        <w:rPr>
          <w:sz w:val="20"/>
          <w:szCs w:val="20"/>
          <w:color w:val="auto"/>
        </w:rPr>
      </w:pPr>
    </w:p>
    <w:p>
      <w:pPr>
        <w:ind w:left="1900" w:right="5679" w:hanging="944"/>
        <w:spacing w:after="0" w:line="536" w:lineRule="auto"/>
        <w:tabs>
          <w:tab w:leader="none" w:pos="19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2,499,582 (See Note b)</w:t>
      </w:r>
    </w:p>
    <w:p>
      <w:pPr>
        <w:ind w:left="1900" w:right="6639" w:hanging="944"/>
        <w:spacing w:after="0" w:line="470" w:lineRule="auto"/>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22%</w:t>
      </w:r>
    </w:p>
    <w:p>
      <w:pPr>
        <w:spacing w:after="0" w:line="6"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440" w:right="3579" w:hanging="536"/>
        <w:spacing w:after="0" w:line="470" w:lineRule="auto"/>
        <w:tabs>
          <w:tab w:leader="none" w:pos="24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6" w:name="page7"/>
    <w:bookmarkEnd w:id="6"/>
    <w:p>
      <w:pPr>
        <w:ind w:left="2640" w:right="3159" w:hanging="736"/>
        <w:spacing w:after="0" w:line="470" w:lineRule="auto"/>
        <w:tabs>
          <w:tab w:leader="none" w:pos="2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2,499,582 (See Note b)</w:t>
      </w:r>
    </w:p>
    <w:p>
      <w:pPr>
        <w:spacing w:after="0" w:line="11" w:lineRule="exact"/>
        <w:rPr>
          <w:rFonts w:ascii="Courier New" w:cs="Courier New" w:eastAsia="Courier New" w:hAnsi="Courier New"/>
          <w:sz w:val="18"/>
          <w:szCs w:val="18"/>
          <w:color w:val="auto"/>
        </w:rPr>
      </w:pPr>
    </w:p>
    <w:p>
      <w:pPr>
        <w:ind w:left="2640" w:right="1999" w:hanging="736"/>
        <w:spacing w:after="0" w:line="470" w:lineRule="auto"/>
        <w:tabs>
          <w:tab w:leader="none" w:pos="2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11" w:lineRule="exact"/>
        <w:rPr>
          <w:rFonts w:ascii="Courier New" w:cs="Courier New" w:eastAsia="Courier New" w:hAnsi="Courier New"/>
          <w:sz w:val="18"/>
          <w:szCs w:val="18"/>
          <w:color w:val="auto"/>
        </w:rPr>
      </w:pPr>
    </w:p>
    <w:p>
      <w:pPr>
        <w:ind w:left="2640" w:right="1779" w:hanging="736"/>
        <w:spacing w:after="0" w:line="470" w:lineRule="auto"/>
        <w:tabs>
          <w:tab w:leader="none" w:pos="2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2,499,582 (See Note b)</w:t>
      </w:r>
    </w:p>
    <w:p>
      <w:pPr>
        <w:spacing w:after="0" w:line="20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1900" w:right="187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90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7" w:name="page8"/>
    <w:bookmarkEnd w:id="7"/>
    <w:p>
      <w:pPr>
        <w:jc w:val="center"/>
        <w:ind w:right="19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After reasonable inquiry and to the best of our knowledge and belief, the undersigned Trustees of the Hawkins Chemical, Inc. Employee Stock Ownership Trust certify on behalf of the Trust that the information set forth in this statement is true, complete and correct.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HAWKINS CHEMICAL, INC.</w:t>
      </w:r>
    </w:p>
    <w:p>
      <w:pPr>
        <w:ind w:left="4120"/>
        <w:spacing w:after="0" w:line="238" w:lineRule="auto"/>
        <w:rPr>
          <w:sz w:val="20"/>
          <w:szCs w:val="20"/>
          <w:color w:val="auto"/>
        </w:rPr>
      </w:pPr>
      <w:r>
        <w:rPr>
          <w:rFonts w:ascii="Courier New" w:cs="Courier New" w:eastAsia="Courier New" w:hAnsi="Courier New"/>
          <w:sz w:val="18"/>
          <w:szCs w:val="18"/>
          <w:color w:val="auto"/>
        </w:rPr>
        <w:t>EMPLOYEE STOCK OWNERSHIP</w:t>
      </w:r>
    </w:p>
    <w:p>
      <w:pPr>
        <w:ind w:left="4120"/>
        <w:spacing w:after="0"/>
        <w:rPr>
          <w:sz w:val="20"/>
          <w:szCs w:val="20"/>
          <w:color w:val="auto"/>
        </w:rPr>
      </w:pPr>
      <w:r>
        <w:rPr>
          <w:rFonts w:ascii="Courier New" w:cs="Courier New" w:eastAsia="Courier New" w:hAnsi="Courier New"/>
          <w:sz w:val="18"/>
          <w:szCs w:val="18"/>
          <w:color w:val="auto"/>
        </w:rPr>
        <w:t>TRUST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January 27, 1999</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Howard J. Hawkins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Howard J. Hawkins, Trustee</w:t>
      </w:r>
    </w:p>
    <w:p>
      <w:pPr>
        <w:spacing w:after="0" w:line="200" w:lineRule="exact"/>
        <w:rPr>
          <w:sz w:val="20"/>
          <w:szCs w:val="20"/>
          <w:color w:val="auto"/>
        </w:rPr>
      </w:pPr>
    </w:p>
    <w:p>
      <w:pPr>
        <w:sectPr>
          <w:pgSz w:w="11900" w:h="16838" w:orient="portrait"/>
          <w:cols w:equalWidth="0" w:num="3">
            <w:col w:w="3400" w:space="720"/>
            <w:col w:w="320" w:space="100"/>
            <w:col w:w="5679"/>
          </w:cols>
          <w:pgMar w:left="240" w:top="717"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Dean L. Hahn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Dean L. Hahn, Trustee</w:t>
      </w:r>
    </w:p>
    <w:p>
      <w:pPr>
        <w:spacing w:after="0" w:line="200" w:lineRule="exact"/>
        <w:rPr>
          <w:sz w:val="20"/>
          <w:szCs w:val="20"/>
          <w:color w:val="auto"/>
        </w:rPr>
      </w:pPr>
    </w:p>
    <w:p>
      <w:pPr>
        <w:sectPr>
          <w:pgSz w:w="11900" w:h="16838" w:orient="portrait"/>
          <w:cols w:equalWidth="0" w:num="2">
            <w:col w:w="4440" w:space="100"/>
            <w:col w:w="5679"/>
          </w:cols>
          <w:pgMar w:left="240" w:top="717"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Donald L. Shipp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Donald L. Shipp, Trustee</w:t>
      </w:r>
    </w:p>
    <w:p>
      <w:pPr>
        <w:spacing w:after="0" w:line="200" w:lineRule="exact"/>
        <w:rPr>
          <w:sz w:val="20"/>
          <w:szCs w:val="20"/>
          <w:color w:val="auto"/>
        </w:rPr>
      </w:pPr>
    </w:p>
    <w:p>
      <w:pPr>
        <w:sectPr>
          <w:pgSz w:w="11900" w:h="16838" w:orient="portrait"/>
          <w:cols w:equalWidth="0" w:num="2">
            <w:col w:w="4440" w:space="100"/>
            <w:col w:w="5679"/>
          </w:cols>
          <w:pgMar w:left="240" w:top="717"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Howard M. Hawkins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Howard M. Hawkins, Trustee</w:t>
      </w:r>
    </w:p>
    <w:p>
      <w:pPr>
        <w:spacing w:after="0" w:line="200" w:lineRule="exact"/>
        <w:rPr>
          <w:sz w:val="20"/>
          <w:szCs w:val="20"/>
          <w:color w:val="auto"/>
        </w:rPr>
      </w:pPr>
    </w:p>
    <w:p>
      <w:pPr>
        <w:sectPr>
          <w:pgSz w:w="11900" w:h="16838" w:orient="portrait"/>
          <w:cols w:equalWidth="0" w:num="2">
            <w:col w:w="4440" w:space="100"/>
            <w:col w:w="5679"/>
          </w:cols>
          <w:pgMar w:left="240" w:top="717"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John R. Hawkins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John R. Hawkins, Trustee</w:t>
      </w:r>
    </w:p>
    <w:p>
      <w:pPr>
        <w:spacing w:after="0" w:line="200" w:lineRule="exact"/>
        <w:rPr>
          <w:sz w:val="20"/>
          <w:szCs w:val="20"/>
          <w:color w:val="auto"/>
        </w:rPr>
      </w:pPr>
    </w:p>
    <w:p>
      <w:pPr>
        <w:sectPr>
          <w:pgSz w:w="11900" w:h="16838" w:orient="portrait"/>
          <w:cols w:equalWidth="0" w:num="2">
            <w:col w:w="4440" w:space="100"/>
            <w:col w:w="5679"/>
          </w:cols>
          <w:pgMar w:left="240" w:top="717"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2)"/>
      <w:numFmt w:val="decimal"/>
      <w:start w:val="1"/>
    </w:lvl>
    <w:lvl w:ilvl="2">
      <w:lvlJc w:val="left"/>
      <w:lvlText w:val="S.%3."/>
      <w:numFmt w:val="upperLetter"/>
      <w:start w:val="19"/>
    </w:lvl>
    <w:lvl w:ilvl="3">
      <w:lvlJc w:val="left"/>
      <w:lvlText w:val="(%4)"/>
      <w:numFmt w:val="lowerLetter"/>
      <w:start w:val="1"/>
    </w:lvl>
  </w:abstractNum>
  <w:abstractNum w:abstractNumId="3">
    <w:nsid w:val="1F16E9E8"/>
    <w:multiLevelType w:val="hybridMultilevel"/>
    <w:lvl w:ilvl="0">
      <w:lvlJc w:val="left"/>
      <w:lvlText w:val="-"/>
      <w:numFmt w:val="bullet"/>
      <w:start w:val="1"/>
    </w:lvl>
    <w:lvl w:ilvl="1">
      <w:lvlJc w:val="left"/>
      <w:lvlText w:val="(%2)"/>
      <w:numFmt w:val="decimal"/>
      <w:start w:val="3"/>
    </w:lvl>
  </w:abstractNum>
  <w:abstractNum w:abstractNumId="4">
    <w:nsid w:val="1190CDE7"/>
    <w:multiLevelType w:val="hybridMultilevel"/>
    <w:lvl w:ilvl="0">
      <w:lvlJc w:val="left"/>
      <w:lvlText w:val="-"/>
      <w:numFmt w:val="bullet"/>
      <w:start w:val="1"/>
    </w:lvl>
    <w:lvl w:ilvl="1">
      <w:lvlJc w:val="left"/>
      <w:lvlText w:val="(%2)"/>
      <w:numFmt w:val="decimal"/>
      <w:start w:val="4"/>
    </w:lvl>
  </w:abstractNum>
  <w:abstractNum w:abstractNumId="5">
    <w:nsid w:val="66EF438D"/>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6">
    <w:nsid w:val="140E0F76"/>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Letter"/>
      <w:start w:val="2"/>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8"/>
    </w:lvl>
  </w:abstractNum>
  <w:abstractNum w:abstractNumId="16">
    <w:nsid w:val="519B500D"/>
    <w:multiLevelType w:val="hybridMultilevel"/>
    <w:lvl w:ilvl="0">
      <w:lvlJc w:val="left"/>
      <w:lvlText w:val="(%1)"/>
      <w:numFmt w:val="lowerLetter"/>
      <w:start w:val="1"/>
    </w:lvl>
    <w:lvl w:ilvl="1">
      <w:lvlJc w:val="left"/>
      <w:lvlText w:val="(%2)"/>
      <w:numFmt w:val="lowerRoman"/>
      <w:start w:val="1"/>
    </w:lvl>
  </w:abstractNum>
  <w:abstractNum w:abstractNumId="17">
    <w:nsid w:val="431BD7B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2019-12-12T06:21:46Z</dcterms:created>
  <dcterms:modified xsi:type="dcterms:W3CDTF">2019-12-12T06:21:46Z</dcterms:modified>
</cp:coreProperties>
</file>