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156210</wp:posOffset>
            </wp:positionH>
            <wp:positionV relativeFrom="page">
              <wp:posOffset>156210</wp:posOffset>
            </wp:positionV>
            <wp:extent cx="7248525"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8525" cy="33655"/>
                    </a:xfrm>
                    <a:prstGeom prst="rect">
                      <a:avLst/>
                    </a:prstGeom>
                    <a:noFill/>
                  </pic:spPr>
                </pic:pic>
              </a:graphicData>
            </a:graphic>
          </wp:anchor>
        </w:drawing>
        <w:drawing>
          <wp:anchor simplePos="0" relativeHeight="251657728" behindDoc="1" locked="0" layoutInCell="0" allowOverlap="1">
            <wp:simplePos x="0" y="0"/>
            <wp:positionH relativeFrom="page">
              <wp:posOffset>156210</wp:posOffset>
            </wp:positionH>
            <wp:positionV relativeFrom="page">
              <wp:posOffset>224155</wp:posOffset>
            </wp:positionV>
            <wp:extent cx="7248525" cy="33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8525" cy="3365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34" w:lineRule="exact"/>
        <w:rPr>
          <w:sz w:val="24"/>
          <w:szCs w:val="24"/>
          <w:color w:val="auto"/>
        </w:rPr>
      </w:pPr>
    </w:p>
    <w:p>
      <w:pPr>
        <w:ind w:left="640" w:right="460" w:hanging="634"/>
        <w:spacing w:after="0" w:line="277" w:lineRule="auto"/>
        <w:tabs>
          <w:tab w:leader="none" w:pos="640" w:val="left"/>
        </w:tabs>
        <w:numPr>
          <w:ilvl w:val="0"/>
          <w:numId w:val="1"/>
        </w:numPr>
        <w:rPr>
          <w:rFonts w:ascii="MS PGothic" w:cs="MS PGothic" w:eastAsia="MS PGothic" w:hAnsi="MS PGothic"/>
          <w:sz w:val="21"/>
          <w:szCs w:val="21"/>
          <w:color w:val="auto"/>
          <w:highlight w:val="black"/>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1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2002</w:t>
      </w:r>
    </w:p>
    <w:p>
      <w:pPr>
        <w:spacing w:after="0" w:line="2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4" w:lineRule="exact"/>
        <w:rPr>
          <w:sz w:val="24"/>
          <w:szCs w:val="24"/>
          <w:color w:val="auto"/>
        </w:rPr>
      </w:pPr>
    </w:p>
    <w:p>
      <w:pPr>
        <w:ind w:left="640" w:right="460" w:hanging="634"/>
        <w:spacing w:after="0" w:line="277" w:lineRule="auto"/>
        <w:tabs>
          <w:tab w:leader="none" w:pos="64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ectPr>
          <w:pgSz w:w="11900" w:h="16838" w:orient="portrait"/>
          <w:cols w:equalWidth="0" w:num="1">
            <w:col w:w="11440"/>
          </w:cols>
          <w:pgMar w:left="240" w:top="744" w:right="219" w:bottom="0" w:gutter="0" w:footer="0" w:header="0"/>
        </w:sectPr>
      </w:pPr>
    </w:p>
    <w:p>
      <w:pPr>
        <w:spacing w:after="0" w:line="172"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00" w:lineRule="exact"/>
        <w:rPr>
          <w:sz w:val="24"/>
          <w:szCs w:val="24"/>
          <w:color w:val="auto"/>
        </w:rPr>
      </w:pPr>
    </w:p>
    <w:p>
      <w:pPr>
        <w:sectPr>
          <w:pgSz w:w="11900" w:h="16838" w:orient="portrait"/>
          <w:cols w:equalWidth="0" w:num="2">
            <w:col w:w="6060" w:space="720"/>
            <w:col w:w="4660"/>
          </w:cols>
          <w:pgMar w:left="240" w:top="744" w:right="219" w:bottom="0" w:gutter="0" w:footer="0" w:header="0"/>
          <w:type w:val="continuous"/>
        </w:sectPr>
      </w:pP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Commission file number 0-7647</w:t>
      </w:r>
    </w:p>
    <w:p>
      <w:pPr>
        <w:sectPr>
          <w:pgSz w:w="11900" w:h="16838" w:orient="portrait"/>
          <w:cols w:equalWidth="0" w:num="1">
            <w:col w:w="11440"/>
          </w:cols>
          <w:pgMar w:left="240" w:top="744" w:right="219" w:bottom="0" w:gutter="0" w:footer="0" w:header="0"/>
          <w:type w:val="continuous"/>
        </w:sectPr>
      </w:pPr>
    </w:p>
    <w:p>
      <w:pPr>
        <w:spacing w:after="0" w:line="200" w:lineRule="exact"/>
        <w:rPr>
          <w:sz w:val="24"/>
          <w:szCs w:val="24"/>
          <w:color w:val="auto"/>
        </w:rPr>
      </w:pPr>
    </w:p>
    <w:p>
      <w:pPr>
        <w:spacing w:after="0" w:line="3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HAWKINS,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440"/>
          </w:cols>
          <w:pgMar w:left="240" w:top="744" w:right="219" w:bottom="0" w:gutter="0" w:footer="0" w:header="0"/>
          <w:type w:val="continuous"/>
        </w:sectPr>
      </w:pPr>
    </w:p>
    <w:p>
      <w:pPr>
        <w:spacing w:after="0" w:line="208"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MINNESOTA</w:t>
      </w:r>
    </w:p>
    <w:p>
      <w:pPr>
        <w:spacing w:after="0" w:line="27"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6"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7"/>
          <w:szCs w:val="17"/>
          <w:color w:val="auto"/>
        </w:rPr>
        <w:t>incorporation of organization)</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41-0771293</w:t>
      </w:r>
    </w:p>
    <w:p>
      <w:pPr>
        <w:spacing w:after="0" w:line="27"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412" w:lineRule="exact"/>
        <w:rPr>
          <w:sz w:val="24"/>
          <w:szCs w:val="24"/>
          <w:color w:val="auto"/>
        </w:rPr>
      </w:pPr>
    </w:p>
    <w:p>
      <w:pPr>
        <w:sectPr>
          <w:pgSz w:w="11900" w:h="16838" w:orient="portrait"/>
          <w:cols w:equalWidth="0" w:num="2">
            <w:col w:w="6640" w:space="720"/>
            <w:col w:w="4080"/>
          </w:cols>
          <w:pgMar w:left="240" w:top="744" w:right="219" w:bottom="0" w:gutter="0" w:footer="0" w:header="0"/>
          <w:type w:val="continuous"/>
        </w:sectPr>
      </w:pPr>
    </w:p>
    <w:p>
      <w:pPr>
        <w:spacing w:after="0" w:line="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3100 EAST HENNEPIN AVENUE, MINNEAPOLIS, MINNESOTA 55413</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(612) 331-6910</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60" w:lineRule="exact"/>
        <w:rPr>
          <w:sz w:val="24"/>
          <w:szCs w:val="24"/>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8" w:lineRule="exact"/>
        <w:rPr>
          <w:sz w:val="24"/>
          <w:szCs w:val="24"/>
          <w:color w:val="auto"/>
        </w:rPr>
      </w:pPr>
    </w:p>
    <w:p>
      <w:pPr>
        <w:jc w:val="center"/>
        <w:ind w:right="20"/>
        <w:spacing w:after="0" w:line="207" w:lineRule="exact"/>
        <w:tabs>
          <w:tab w:leader="none" w:pos="240" w:val="left"/>
          <w:tab w:leader="none" w:pos="380" w:val="left"/>
          <w:tab w:leader="none" w:pos="300" w:val="left"/>
        </w:tabs>
        <w:rPr>
          <w:sz w:val="20"/>
          <w:szCs w:val="20"/>
          <w:color w:val="auto"/>
        </w:rPr>
      </w:pPr>
      <w:r>
        <w:rPr>
          <w:rFonts w:ascii="Times New Roman" w:cs="Times New Roman" w:eastAsia="Times New Roman" w:hAnsi="Times New Roman"/>
          <w:sz w:val="18"/>
          <w:szCs w:val="18"/>
          <w:color w:val="auto"/>
        </w:rPr>
        <w:t>YES</w:t>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6"/>
          <w:szCs w:val="16"/>
          <w:color w:val="auto"/>
        </w:rPr>
        <w:t>o</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5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5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AT AUGUST 9, 2002</w:t>
            </w:r>
          </w:p>
        </w:tc>
        <w:tc>
          <w:tcPr>
            <w:tcW w:w="20" w:type="dxa"/>
            <w:vAlign w:val="bottom"/>
          </w:tcPr>
          <w:p>
            <w:pPr>
              <w:spacing w:after="0"/>
              <w:rPr>
                <w:sz w:val="14"/>
                <w:szCs w:val="14"/>
                <w:color w:val="auto"/>
              </w:rPr>
            </w:pPr>
          </w:p>
        </w:tc>
      </w:tr>
      <w:tr>
        <w:trPr>
          <w:trHeight w:val="225"/>
        </w:trPr>
        <w:tc>
          <w:tcPr>
            <w:tcW w:w="5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 Stock, par value $.05 per share</w:t>
            </w:r>
          </w:p>
        </w:tc>
        <w:tc>
          <w:tcPr>
            <w:tcW w:w="300" w:type="dxa"/>
            <w:vAlign w:val="bottom"/>
          </w:tcPr>
          <w:p>
            <w:pPr>
              <w:spacing w:after="0"/>
              <w:rPr>
                <w:sz w:val="19"/>
                <w:szCs w:val="19"/>
                <w:color w:val="auto"/>
              </w:rPr>
            </w:pPr>
          </w:p>
        </w:tc>
        <w:tc>
          <w:tcPr>
            <w:tcW w:w="5560" w:type="dxa"/>
            <w:vAlign w:val="bottom"/>
            <w:tcBorders>
              <w:top w:val="single" w:sz="8" w:color="auto"/>
            </w:tcBorders>
          </w:tcPr>
          <w:p>
            <w:pPr>
              <w:jc w:val="right"/>
              <w:ind w:right="2300"/>
              <w:spacing w:after="0"/>
              <w:rPr>
                <w:sz w:val="20"/>
                <w:szCs w:val="20"/>
                <w:color w:val="auto"/>
              </w:rPr>
            </w:pPr>
            <w:r>
              <w:rPr>
                <w:rFonts w:ascii="Times New Roman" w:cs="Times New Roman" w:eastAsia="Times New Roman" w:hAnsi="Times New Roman"/>
                <w:sz w:val="18"/>
                <w:szCs w:val="18"/>
                <w:color w:val="auto"/>
              </w:rPr>
              <w:t>10,216,688</w:t>
            </w:r>
          </w:p>
        </w:tc>
        <w:tc>
          <w:tcPr>
            <w:tcW w:w="20" w:type="dxa"/>
            <w:vAlign w:val="bottom"/>
          </w:tcPr>
          <w:p>
            <w:pPr>
              <w:spacing w:after="0"/>
              <w:rPr>
                <w:sz w:val="19"/>
                <w:szCs w:val="19"/>
                <w:color w:val="auto"/>
              </w:rPr>
            </w:pPr>
          </w:p>
        </w:tc>
      </w:tr>
      <w:tr>
        <w:trPr>
          <w:trHeight w:val="586"/>
        </w:trPr>
        <w:tc>
          <w:tcPr>
            <w:tcW w:w="5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86"/>
        </w:trPr>
        <w:tc>
          <w:tcPr>
            <w:tcW w:w="55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183"/>
        </w:trPr>
        <w:tc>
          <w:tcPr>
            <w:tcW w:w="556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556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tbl>
      <w:tblPr>
        <w:tblLayout w:type="fixed"/>
        <w:tblInd w:w="20" w:type="dxa"/>
        <w:tblCellMar>
          <w:top w:w="0" w:type="dxa"/>
          <w:left w:w="0" w:type="dxa"/>
          <w:bottom w:w="0" w:type="dxa"/>
          <w:right w:w="0" w:type="dxa"/>
        </w:tblCellMar>
      </w:tblPr>
      <w:tr>
        <w:trPr>
          <w:trHeight w:val="213"/>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0" w:type="dxa"/>
            <w:vAlign w:val="bottom"/>
            <w:gridSpan w:val="4"/>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7"/>
              </w:rPr>
              <w:t>HAWKINS, INC.</w:t>
            </w:r>
          </w:p>
        </w:tc>
      </w:tr>
      <w:tr>
        <w:trPr>
          <w:trHeight w:val="234"/>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0" w:type="dxa"/>
            <w:vAlign w:val="bottom"/>
            <w:gridSpan w:val="4"/>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INDEX TO FORM 10-Q</w:t>
            </w:r>
          </w:p>
        </w:tc>
      </w:tr>
      <w:tr>
        <w:trPr>
          <w:trHeight w:val="345"/>
        </w:trPr>
        <w:tc>
          <w:tcPr>
            <w:tcW w:w="1360" w:type="dxa"/>
            <w:vAlign w:val="bottom"/>
            <w:gridSpan w:val="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PART I</w:t>
              </w:r>
            </w:hyperlink>
          </w:p>
        </w:tc>
        <w:tc>
          <w:tcPr>
            <w:tcW w:w="6360" w:type="dxa"/>
            <w:vAlign w:val="bottom"/>
            <w:gridSpan w:val="7"/>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FINANCIAL INFORMATION</w:t>
              </w:r>
            </w:hyperlink>
          </w:p>
        </w:tc>
      </w:tr>
      <w:tr>
        <w:trPr>
          <w:trHeight w:val="432"/>
        </w:trPr>
        <w:tc>
          <w:tcPr>
            <w:tcW w:w="460" w:type="dxa"/>
            <w:vAlign w:val="bottom"/>
            <w:tcBorders>
              <w:top w:val="single" w:sz="8" w:color="0000EE"/>
            </w:tcBorders>
          </w:tcPr>
          <w:p>
            <w:pPr>
              <w:spacing w:after="0"/>
              <w:rPr>
                <w:rFonts w:ascii="Times New Roman" w:cs="Times New Roman" w:eastAsia="Times New Roman" w:hAnsi="Times New Roman"/>
                <w:sz w:val="18"/>
                <w:szCs w:val="18"/>
                <w:color w:val="0000EE"/>
                <w:w w:val="94"/>
              </w:rPr>
            </w:pPr>
            <w:hyperlink w:anchor="page2">
              <w:r>
                <w:rPr>
                  <w:rFonts w:ascii="Times New Roman" w:cs="Times New Roman" w:eastAsia="Times New Roman" w:hAnsi="Times New Roman"/>
                  <w:sz w:val="18"/>
                  <w:szCs w:val="18"/>
                  <w:color w:val="0000EE"/>
                  <w:w w:val="94"/>
                </w:rPr>
                <w:t>Item 1</w:t>
              </w:r>
            </w:hyperlink>
          </w:p>
        </w:tc>
        <w:tc>
          <w:tcPr>
            <w:tcW w:w="6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2220" w:type="dxa"/>
            <w:vAlign w:val="bottom"/>
            <w:tcBorders>
              <w:top w:val="single" w:sz="8" w:color="0000EE"/>
            </w:tcBorders>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Financial Statements:</w:t>
              </w:r>
            </w:hyperlink>
          </w:p>
        </w:tc>
        <w:tc>
          <w:tcPr>
            <w:tcW w:w="4140" w:type="dxa"/>
            <w:vAlign w:val="bottom"/>
            <w:gridSpan w:val="5"/>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3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2">
              <w:r>
                <w:rPr>
                  <w:rFonts w:ascii="Times New Roman" w:cs="Times New Roman" w:eastAsia="Times New Roman" w:hAnsi="Times New Roman"/>
                  <w:sz w:val="18"/>
                  <w:szCs w:val="18"/>
                  <w:color w:val="0000EE"/>
                  <w:w w:val="98"/>
                </w:rPr>
                <w:t>Condensed Balance Sheets — June 30, 2002 and March 31, 2002</w:t>
              </w:r>
            </w:hyperlink>
          </w:p>
        </w:tc>
        <w:tc>
          <w:tcPr>
            <w:tcW w:w="1720" w:type="dxa"/>
            <w:vAlign w:val="bottom"/>
            <w:gridSpan w:val="3"/>
          </w:tcPr>
          <w:p>
            <w:pPr>
              <w:spacing w:after="0"/>
              <w:rPr>
                <w:sz w:val="24"/>
                <w:szCs w:val="24"/>
                <w:color w:val="auto"/>
              </w:rPr>
            </w:pPr>
          </w:p>
        </w:tc>
      </w:tr>
      <w:tr>
        <w:trPr>
          <w:trHeight w:val="43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2">
              <w:r>
                <w:rPr>
                  <w:rFonts w:ascii="Times New Roman" w:cs="Times New Roman" w:eastAsia="Times New Roman" w:hAnsi="Times New Roman"/>
                  <w:sz w:val="18"/>
                  <w:szCs w:val="18"/>
                  <w:color w:val="0000EE"/>
                  <w:w w:val="98"/>
                </w:rPr>
                <w:t>Condensed Statements of Income — Three Months Ended June 30, 2002 and 2001</w:t>
              </w:r>
            </w:hyperlink>
          </w:p>
        </w:tc>
        <w:tc>
          <w:tcPr>
            <w:tcW w:w="480" w:type="dxa"/>
            <w:vAlign w:val="bottom"/>
            <w:gridSpan w:val="2"/>
          </w:tcPr>
          <w:p>
            <w:pPr>
              <w:spacing w:after="0"/>
              <w:rPr>
                <w:sz w:val="24"/>
                <w:szCs w:val="24"/>
                <w:color w:val="auto"/>
              </w:rPr>
            </w:pPr>
          </w:p>
        </w:tc>
      </w:tr>
      <w:tr>
        <w:trPr>
          <w:trHeight w:val="43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1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Condensed Statements of Cash Flows — Three Months Ended June 30, 2002 and 2001</w:t>
              </w:r>
            </w:hyperlink>
          </w:p>
        </w:tc>
        <w:tc>
          <w:tcPr>
            <w:tcW w:w="180" w:type="dxa"/>
            <w:vAlign w:val="bottom"/>
          </w:tcPr>
          <w:p>
            <w:pPr>
              <w:spacing w:after="0"/>
              <w:rPr>
                <w:sz w:val="24"/>
                <w:szCs w:val="24"/>
                <w:color w:val="auto"/>
              </w:rPr>
            </w:pPr>
          </w:p>
        </w:tc>
      </w:tr>
      <w:tr>
        <w:trPr>
          <w:trHeight w:val="43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Notes to Condensed Financial Statements</w:t>
              </w:r>
            </w:hyperlink>
          </w:p>
        </w:tc>
        <w:tc>
          <w:tcPr>
            <w:tcW w:w="3400" w:type="dxa"/>
            <w:vAlign w:val="bottom"/>
            <w:gridSpan w:val="4"/>
          </w:tcPr>
          <w:p>
            <w:pPr>
              <w:spacing w:after="0"/>
              <w:rPr>
                <w:sz w:val="24"/>
                <w:szCs w:val="24"/>
                <w:color w:val="auto"/>
              </w:rPr>
            </w:pPr>
          </w:p>
        </w:tc>
      </w:tr>
      <w:tr>
        <w:trPr>
          <w:trHeight w:val="432"/>
        </w:trPr>
        <w:tc>
          <w:tcPr>
            <w:tcW w:w="460" w:type="dxa"/>
            <w:vAlign w:val="bottom"/>
            <w:tcBorders>
              <w:bottom w:val="single" w:sz="8" w:color="0000EE"/>
            </w:tcBorders>
          </w:tcPr>
          <w:p>
            <w:pPr>
              <w:spacing w:after="0"/>
              <w:rPr>
                <w:rFonts w:ascii="Times New Roman" w:cs="Times New Roman" w:eastAsia="Times New Roman" w:hAnsi="Times New Roman"/>
                <w:sz w:val="18"/>
                <w:szCs w:val="18"/>
                <w:color w:val="0000EE"/>
                <w:w w:val="94"/>
              </w:rPr>
            </w:pPr>
            <w:hyperlink w:anchor="page5">
              <w:r>
                <w:rPr>
                  <w:rFonts w:ascii="Times New Roman" w:cs="Times New Roman" w:eastAsia="Times New Roman" w:hAnsi="Times New Roman"/>
                  <w:sz w:val="18"/>
                  <w:szCs w:val="18"/>
                  <w:color w:val="0000EE"/>
                  <w:w w:val="94"/>
                </w:rPr>
                <w:t>Item 2</w:t>
              </w:r>
            </w:hyperlink>
          </w:p>
        </w:tc>
        <w:tc>
          <w:tcPr>
            <w:tcW w:w="900" w:type="dxa"/>
            <w:vAlign w:val="bottom"/>
            <w:gridSpan w:val="2"/>
          </w:tcPr>
          <w:p>
            <w:pPr>
              <w:spacing w:after="0"/>
              <w:rPr>
                <w:sz w:val="24"/>
                <w:szCs w:val="24"/>
                <w:color w:val="auto"/>
              </w:rPr>
            </w:pPr>
          </w:p>
        </w:tc>
        <w:tc>
          <w:tcPr>
            <w:tcW w:w="63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7"/>
              </w:rPr>
            </w:pPr>
            <w:hyperlink w:anchor="page5">
              <w:r>
                <w:rPr>
                  <w:rFonts w:ascii="Times New Roman" w:cs="Times New Roman" w:eastAsia="Times New Roman" w:hAnsi="Times New Roman"/>
                  <w:sz w:val="18"/>
                  <w:szCs w:val="18"/>
                  <w:color w:val="0000EE"/>
                  <w:w w:val="97"/>
                </w:rPr>
                <w:t>Management’s Discussion and Analysis of Financial Condition and Results of Operations</w:t>
              </w:r>
            </w:hyperlink>
          </w:p>
        </w:tc>
      </w:tr>
    </w:tbl>
    <w:p>
      <w:pPr>
        <w:sectPr>
          <w:pgSz w:w="11900" w:h="16838" w:orient="portrait"/>
          <w:cols w:equalWidth="0" w:num="1">
            <w:col w:w="11440"/>
          </w:cols>
          <w:pgMar w:left="240" w:top="744" w:right="219" w:bottom="0" w:gutter="0" w:footer="0" w:header="0"/>
          <w:type w:val="continuous"/>
        </w:sectPr>
      </w:pPr>
    </w:p>
    <w:bookmarkStart w:id="1" w:name="page2"/>
    <w:bookmarkEnd w:id="1"/>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89"/>
              </w:rPr>
            </w:pPr>
            <w:hyperlink w:anchor="page6">
              <w:r>
                <w:rPr>
                  <w:rFonts w:ascii="Times New Roman" w:cs="Times New Roman" w:eastAsia="Times New Roman" w:hAnsi="Times New Roman"/>
                  <w:sz w:val="18"/>
                  <w:szCs w:val="18"/>
                  <w:color w:val="0000EE"/>
                  <w:w w:val="89"/>
                </w:rPr>
                <w:t>PART II</w:t>
              </w:r>
            </w:hyperlink>
          </w:p>
        </w:tc>
        <w:tc>
          <w:tcPr>
            <w:tcW w:w="780" w:type="dxa"/>
            <w:vAlign w:val="bottom"/>
          </w:tcPr>
          <w:p>
            <w:pPr>
              <w:spacing w:after="0"/>
              <w:rPr>
                <w:sz w:val="17"/>
                <w:szCs w:val="17"/>
                <w:color w:val="auto"/>
              </w:rPr>
            </w:pPr>
          </w:p>
        </w:tc>
        <w:tc>
          <w:tcPr>
            <w:tcW w:w="18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6"/>
              </w:rPr>
            </w:pPr>
            <w:hyperlink w:anchor="page6">
              <w:r>
                <w:rPr>
                  <w:rFonts w:ascii="Times New Roman" w:cs="Times New Roman" w:eastAsia="Times New Roman" w:hAnsi="Times New Roman"/>
                  <w:sz w:val="18"/>
                  <w:szCs w:val="18"/>
                  <w:color w:val="0000EE"/>
                  <w:w w:val="96"/>
                </w:rPr>
                <w:t>OTHER INFORMATION</w:t>
              </w:r>
            </w:hyperlink>
          </w:p>
        </w:tc>
        <w:tc>
          <w:tcPr>
            <w:tcW w:w="600" w:type="dxa"/>
            <w:vAlign w:val="bottom"/>
          </w:tcPr>
          <w:p>
            <w:pPr>
              <w:spacing w:after="0"/>
              <w:rPr>
                <w:sz w:val="17"/>
                <w:szCs w:val="17"/>
                <w:color w:val="auto"/>
              </w:rPr>
            </w:pPr>
          </w:p>
        </w:tc>
      </w:tr>
      <w:tr>
        <w:trPr>
          <w:trHeight w:val="432"/>
        </w:trPr>
        <w:tc>
          <w:tcPr>
            <w:tcW w:w="460" w:type="dxa"/>
            <w:vAlign w:val="bottom"/>
            <w:tcBorders>
              <w:bottom w:val="single" w:sz="8" w:color="0000EE"/>
            </w:tcBorders>
          </w:tcPr>
          <w:p>
            <w:pPr>
              <w:spacing w:after="0"/>
              <w:rPr>
                <w:rFonts w:ascii="Times New Roman" w:cs="Times New Roman" w:eastAsia="Times New Roman" w:hAnsi="Times New Roman"/>
                <w:sz w:val="18"/>
                <w:szCs w:val="18"/>
                <w:color w:val="0000EE"/>
                <w:w w:val="94"/>
              </w:rPr>
            </w:pPr>
            <w:hyperlink w:anchor="page6">
              <w:r>
                <w:rPr>
                  <w:rFonts w:ascii="Times New Roman" w:cs="Times New Roman" w:eastAsia="Times New Roman" w:hAnsi="Times New Roman"/>
                  <w:sz w:val="18"/>
                  <w:szCs w:val="18"/>
                  <w:color w:val="0000EE"/>
                  <w:w w:val="94"/>
                </w:rPr>
                <w:t>Item 1</w:t>
              </w:r>
            </w:hyperlink>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Legal Proceedings</w:t>
              </w:r>
            </w:hyperlink>
          </w:p>
        </w:tc>
        <w:tc>
          <w:tcPr>
            <w:tcW w:w="1140" w:type="dxa"/>
            <w:vAlign w:val="bottom"/>
            <w:gridSpan w:val="2"/>
          </w:tcPr>
          <w:p>
            <w:pPr>
              <w:spacing w:after="0"/>
              <w:rPr>
                <w:sz w:val="24"/>
                <w:szCs w:val="24"/>
                <w:color w:val="auto"/>
              </w:rPr>
            </w:pPr>
          </w:p>
        </w:tc>
      </w:tr>
      <w:tr>
        <w:trPr>
          <w:trHeight w:val="432"/>
        </w:trPr>
        <w:tc>
          <w:tcPr>
            <w:tcW w:w="460" w:type="dxa"/>
            <w:vAlign w:val="bottom"/>
            <w:tcBorders>
              <w:bottom w:val="single" w:sz="8" w:color="0000EE"/>
            </w:tcBorders>
          </w:tcPr>
          <w:p>
            <w:pPr>
              <w:spacing w:after="0"/>
              <w:rPr>
                <w:rFonts w:ascii="Times New Roman" w:cs="Times New Roman" w:eastAsia="Times New Roman" w:hAnsi="Times New Roman"/>
                <w:sz w:val="18"/>
                <w:szCs w:val="18"/>
                <w:color w:val="0000EE"/>
                <w:w w:val="94"/>
              </w:rPr>
            </w:pPr>
            <w:hyperlink w:anchor="page6">
              <w:r>
                <w:rPr>
                  <w:rFonts w:ascii="Times New Roman" w:cs="Times New Roman" w:eastAsia="Times New Roman" w:hAnsi="Times New Roman"/>
                  <w:sz w:val="18"/>
                  <w:szCs w:val="18"/>
                  <w:color w:val="0000EE"/>
                  <w:w w:val="94"/>
                </w:rPr>
                <w:t>Item 5</w:t>
              </w:r>
            </w:hyperlink>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Other Information</w:t>
              </w:r>
            </w:hyperlink>
          </w:p>
        </w:tc>
        <w:tc>
          <w:tcPr>
            <w:tcW w:w="1160" w:type="dxa"/>
            <w:vAlign w:val="bottom"/>
            <w:gridSpan w:val="3"/>
          </w:tcPr>
          <w:p>
            <w:pPr>
              <w:spacing w:after="0"/>
              <w:rPr>
                <w:sz w:val="24"/>
                <w:szCs w:val="24"/>
                <w:color w:val="auto"/>
              </w:rPr>
            </w:pPr>
          </w:p>
        </w:tc>
      </w:tr>
      <w:tr>
        <w:trPr>
          <w:trHeight w:val="432"/>
        </w:trPr>
        <w:tc>
          <w:tcPr>
            <w:tcW w:w="460" w:type="dxa"/>
            <w:vAlign w:val="bottom"/>
            <w:tcBorders>
              <w:bottom w:val="single" w:sz="8" w:color="0000EE"/>
            </w:tcBorders>
          </w:tcPr>
          <w:p>
            <w:pPr>
              <w:spacing w:after="0"/>
              <w:rPr>
                <w:rFonts w:ascii="Times New Roman" w:cs="Times New Roman" w:eastAsia="Times New Roman" w:hAnsi="Times New Roman"/>
                <w:sz w:val="18"/>
                <w:szCs w:val="18"/>
                <w:color w:val="0000EE"/>
                <w:w w:val="94"/>
              </w:rPr>
            </w:pPr>
            <w:hyperlink w:anchor="page7">
              <w:r>
                <w:rPr>
                  <w:rFonts w:ascii="Times New Roman" w:cs="Times New Roman" w:eastAsia="Times New Roman" w:hAnsi="Times New Roman"/>
                  <w:sz w:val="18"/>
                  <w:szCs w:val="18"/>
                  <w:color w:val="0000EE"/>
                  <w:w w:val="94"/>
                </w:rPr>
                <w:t>Item 6</w:t>
              </w:r>
            </w:hyperlink>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Exhibits and Reports on Form 8-K</w:t>
              </w:r>
            </w:hyperlink>
          </w:p>
        </w:tc>
      </w:tr>
    </w:tbl>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726948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16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6"/>
        </w:trPr>
        <w:tc>
          <w:tcPr>
            <w:tcW w:w="6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80" w:type="dxa"/>
            <w:vAlign w:val="bottom"/>
          </w:tcPr>
          <w:p>
            <w:pPr>
              <w:jc w:val="center"/>
              <w:ind w:right="215"/>
              <w:spacing w:after="0" w:line="147" w:lineRule="exact"/>
              <w:rPr>
                <w:sz w:val="20"/>
                <w:szCs w:val="20"/>
                <w:color w:val="auto"/>
              </w:rPr>
            </w:pPr>
            <w:r>
              <w:rPr>
                <w:rFonts w:ascii="Times New Roman" w:cs="Times New Roman" w:eastAsia="Times New Roman" w:hAnsi="Times New Roman"/>
                <w:sz w:val="14"/>
                <w:szCs w:val="14"/>
                <w:b w:val="1"/>
                <w:bCs w:val="1"/>
                <w:color w:val="auto"/>
              </w:rPr>
              <w:t>2002</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12"/>
                <w:szCs w:val="12"/>
                <w:color w:val="auto"/>
              </w:rPr>
            </w:pPr>
          </w:p>
        </w:tc>
        <w:tc>
          <w:tcPr>
            <w:tcW w:w="2160" w:type="dxa"/>
            <w:vAlign w:val="bottom"/>
            <w:gridSpan w:val="2"/>
          </w:tcPr>
          <w:p>
            <w:pPr>
              <w:jc w:val="center"/>
              <w:ind w:right="580"/>
              <w:spacing w:after="0" w:line="147" w:lineRule="exact"/>
              <w:rPr>
                <w:sz w:val="20"/>
                <w:szCs w:val="20"/>
                <w:color w:val="auto"/>
              </w:rPr>
            </w:pPr>
            <w:r>
              <w:rPr>
                <w:rFonts w:ascii="Times New Roman" w:cs="Times New Roman" w:eastAsia="Times New Roman" w:hAnsi="Times New Roman"/>
                <w:sz w:val="14"/>
                <w:szCs w:val="14"/>
                <w:b w:val="1"/>
                <w:bCs w:val="1"/>
                <w:color w:val="auto"/>
              </w:rPr>
              <w:t>(DERIVED FROM</w:t>
            </w:r>
          </w:p>
        </w:tc>
        <w:tc>
          <w:tcPr>
            <w:tcW w:w="0" w:type="dxa"/>
            <w:vAlign w:val="bottom"/>
          </w:tcPr>
          <w:p>
            <w:pPr>
              <w:spacing w:after="0"/>
              <w:rPr>
                <w:sz w:val="1"/>
                <w:szCs w:val="1"/>
                <w:color w:val="auto"/>
              </w:rPr>
            </w:pPr>
          </w:p>
        </w:tc>
      </w:tr>
      <w:tr>
        <w:trPr>
          <w:trHeight w:val="146"/>
        </w:trPr>
        <w:tc>
          <w:tcPr>
            <w:tcW w:w="6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2160" w:type="dxa"/>
            <w:vAlign w:val="bottom"/>
            <w:gridSpan w:val="2"/>
          </w:tcPr>
          <w:p>
            <w:pPr>
              <w:jc w:val="center"/>
              <w:ind w:right="580"/>
              <w:spacing w:after="0" w:line="147" w:lineRule="exact"/>
              <w:rPr>
                <w:sz w:val="20"/>
                <w:szCs w:val="20"/>
                <w:color w:val="auto"/>
              </w:rPr>
            </w:pPr>
            <w:r>
              <w:rPr>
                <w:rFonts w:ascii="Times New Roman" w:cs="Times New Roman" w:eastAsia="Times New Roman" w:hAnsi="Times New Roman"/>
                <w:sz w:val="14"/>
                <w:szCs w:val="14"/>
                <w:b w:val="1"/>
                <w:bCs w:val="1"/>
                <w:color w:val="auto"/>
              </w:rPr>
              <w:t>AUDITED</w:t>
            </w:r>
          </w:p>
        </w:tc>
        <w:tc>
          <w:tcPr>
            <w:tcW w:w="0" w:type="dxa"/>
            <w:vAlign w:val="bottom"/>
          </w:tcPr>
          <w:p>
            <w:pPr>
              <w:spacing w:after="0"/>
              <w:rPr>
                <w:sz w:val="1"/>
                <w:szCs w:val="1"/>
                <w:color w:val="auto"/>
              </w:rPr>
            </w:pPr>
          </w:p>
        </w:tc>
      </w:tr>
      <w:tr>
        <w:trPr>
          <w:trHeight w:val="146"/>
        </w:trPr>
        <w:tc>
          <w:tcPr>
            <w:tcW w:w="6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Pr>
          <w:p>
            <w:pPr>
              <w:jc w:val="center"/>
              <w:ind w:right="273"/>
              <w:spacing w:after="0" w:line="147" w:lineRule="exact"/>
              <w:rPr>
                <w:sz w:val="20"/>
                <w:szCs w:val="20"/>
                <w:color w:val="auto"/>
              </w:rPr>
            </w:pPr>
            <w:r>
              <w:rPr>
                <w:rFonts w:ascii="Times New Roman" w:cs="Times New Roman" w:eastAsia="Times New Roman" w:hAnsi="Times New Roman"/>
                <w:sz w:val="14"/>
                <w:szCs w:val="14"/>
                <w:b w:val="1"/>
                <w:bCs w:val="1"/>
                <w:color w:val="auto"/>
              </w:rPr>
              <w:t>2002</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60" w:type="dxa"/>
            <w:vAlign w:val="bottom"/>
            <w:gridSpan w:val="2"/>
          </w:tcPr>
          <w:p>
            <w:pPr>
              <w:jc w:val="center"/>
              <w:ind w:right="580"/>
              <w:spacing w:after="0" w:line="147"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0" w:type="dxa"/>
            <w:vAlign w:val="bottom"/>
          </w:tcPr>
          <w:p>
            <w:pPr>
              <w:spacing w:after="0"/>
              <w:rPr>
                <w:sz w:val="1"/>
                <w:szCs w:val="1"/>
                <w:color w:val="auto"/>
              </w:rPr>
            </w:pPr>
          </w:p>
        </w:tc>
      </w:tr>
      <w:tr>
        <w:trPr>
          <w:trHeight w:val="171"/>
        </w:trPr>
        <w:tc>
          <w:tcPr>
            <w:tcW w:w="6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300" w:type="dxa"/>
            <w:vAlign w:val="bottom"/>
          </w:tcPr>
          <w:p>
            <w:pPr>
              <w:spacing w:after="0"/>
              <w:rPr>
                <w:sz w:val="14"/>
                <w:szCs w:val="14"/>
                <w:color w:val="auto"/>
              </w:rPr>
            </w:pPr>
          </w:p>
        </w:tc>
        <w:tc>
          <w:tcPr>
            <w:tcW w:w="216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STATEMENTS)</w:t>
            </w:r>
          </w:p>
        </w:tc>
        <w:tc>
          <w:tcPr>
            <w:tcW w:w="0" w:type="dxa"/>
            <w:vAlign w:val="bottom"/>
          </w:tcPr>
          <w:p>
            <w:pPr>
              <w:spacing w:after="0"/>
              <w:rPr>
                <w:sz w:val="1"/>
                <w:szCs w:val="1"/>
                <w:color w:val="auto"/>
              </w:rPr>
            </w:pPr>
          </w:p>
        </w:tc>
      </w:tr>
      <w:tr>
        <w:trPr>
          <w:trHeight w:val="193"/>
        </w:trPr>
        <w:tc>
          <w:tcPr>
            <w:tcW w:w="6500" w:type="dxa"/>
            <w:vAlign w:val="bottom"/>
            <w:tcBorders>
              <w:top w:val="single" w:sz="8" w:color="CCEEFF"/>
            </w:tcBorders>
            <w:shd w:val="clear" w:color="auto" w:fill="CCEEFF"/>
          </w:tcPr>
          <w:p>
            <w:pPr>
              <w:ind w:left="20"/>
              <w:spacing w:after="0" w:line="193" w:lineRule="exact"/>
              <w:rPr>
                <w:sz w:val="20"/>
                <w:szCs w:val="20"/>
                <w:color w:val="auto"/>
              </w:rPr>
            </w:pPr>
            <w:r>
              <w:rPr>
                <w:rFonts w:ascii="Times New Roman" w:cs="Times New Roman" w:eastAsia="Times New Roman" w:hAnsi="Times New Roman"/>
                <w:sz w:val="18"/>
                <w:szCs w:val="18"/>
                <w:color w:val="auto"/>
              </w:rPr>
              <w:t>ASSETS</w:t>
            </w:r>
          </w:p>
        </w:tc>
        <w:tc>
          <w:tcPr>
            <w:tcW w:w="360" w:type="dxa"/>
            <w:vAlign w:val="bottom"/>
            <w:tcBorders>
              <w:top w:val="single" w:sz="8" w:color="auto"/>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8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6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5,305,758</w:t>
            </w:r>
          </w:p>
        </w:tc>
        <w:tc>
          <w:tcPr>
            <w:tcW w:w="280" w:type="dxa"/>
            <w:vAlign w:val="bottom"/>
          </w:tcPr>
          <w:p>
            <w:pPr>
              <w:spacing w:after="0"/>
              <w:rPr>
                <w:sz w:val="18"/>
                <w:szCs w:val="18"/>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7,339,895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Investments available-for-sale</w:t>
            </w: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12,378,547</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7,170,748</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Trade receivables-net</w:t>
            </w:r>
          </w:p>
        </w:tc>
        <w:tc>
          <w:tcPr>
            <w:tcW w:w="3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11,665,189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10,610,386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8,360,456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9,397,541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1,523,281</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1,977,667</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5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39,233,231</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36,496,237</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EQUIPMENT-net</w:t>
            </w: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27,515,515</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27,940,170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50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INTANGIBLE ASSETS-less accumulated amortization of $1,088,772 and $1,017,901,</w:t>
            </w:r>
          </w:p>
        </w:tc>
        <w:tc>
          <w:tcPr>
            <w:tcW w:w="36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36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3,274,277</w:t>
            </w: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3,345,148</w:t>
            </w: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3,666,973</w:t>
            </w:r>
          </w:p>
        </w:tc>
        <w:tc>
          <w:tcPr>
            <w:tcW w:w="2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3,705,578</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73,689,996</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71,487,133</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500" w:type="dxa"/>
            <w:vAlign w:val="bottom"/>
            <w:shd w:val="clear" w:color="auto" w:fill="CCEEFF"/>
          </w:tcPr>
          <w:p>
            <w:pPr>
              <w:ind w:left="20"/>
              <w:spacing w:after="0" w:line="200" w:lineRule="exact"/>
              <w:rPr>
                <w:sz w:val="20"/>
                <w:szCs w:val="20"/>
                <w:color w:val="auto"/>
              </w:rPr>
            </w:pPr>
            <w:r>
              <w:rPr>
                <w:rFonts w:ascii="Times New Roman" w:cs="Times New Roman" w:eastAsia="Times New Roman" w:hAnsi="Times New Roman"/>
                <w:sz w:val="18"/>
                <w:szCs w:val="18"/>
                <w:color w:val="auto"/>
              </w:rPr>
              <w:t>LIABILITIES AND SHAREHOLDERS’ EQUITY</w:t>
            </w:r>
          </w:p>
        </w:tc>
        <w:tc>
          <w:tcPr>
            <w:tcW w:w="3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4,413,540</w:t>
            </w:r>
          </w:p>
        </w:tc>
        <w:tc>
          <w:tcPr>
            <w:tcW w:w="280" w:type="dxa"/>
            <w:vAlign w:val="bottom"/>
          </w:tcPr>
          <w:p>
            <w:pPr>
              <w:spacing w:after="0"/>
              <w:rPr>
                <w:sz w:val="18"/>
                <w:szCs w:val="18"/>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4,095,820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116,823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116,823</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payable</w:t>
            </w:r>
          </w:p>
        </w:tc>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1,532,690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4,917,163</w:t>
            </w:r>
          </w:p>
        </w:tc>
        <w:tc>
          <w:tcPr>
            <w:tcW w:w="2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4,004,451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9,447,526</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9,749,784</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939,851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953,851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321,963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353,063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stock, par value $.05 per share; 10,216,688 shares issued and outstanding</w:t>
            </w: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510,834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510,834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37,747,492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37,747,492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(169,702 )</w:t>
            </w:r>
          </w:p>
        </w:tc>
        <w:tc>
          <w:tcPr>
            <w:tcW w:w="3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(145,528 )</w:t>
            </w:r>
          </w:p>
        </w:tc>
        <w:tc>
          <w:tcPr>
            <w:tcW w:w="0" w:type="dxa"/>
            <w:vAlign w:val="bottom"/>
          </w:tcPr>
          <w:p>
            <w:pPr>
              <w:spacing w:after="0"/>
              <w:rPr>
                <w:sz w:val="1"/>
                <w:szCs w:val="1"/>
                <w:color w:val="auto"/>
              </w:rPr>
            </w:pPr>
          </w:p>
        </w:tc>
      </w:tr>
      <w:tr>
        <w:trPr>
          <w:trHeight w:val="213"/>
        </w:trPr>
        <w:tc>
          <w:tcPr>
            <w:tcW w:w="65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24,892,032</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22,317,637</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5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6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62,980,656</w:t>
            </w:r>
          </w:p>
        </w:tc>
        <w:tc>
          <w:tcPr>
            <w:tcW w:w="2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60,430,435</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00" w:type="dxa"/>
            <w:vAlign w:val="bottom"/>
          </w:tcPr>
          <w:p>
            <w:pPr>
              <w:spacing w:after="0"/>
              <w:rPr>
                <w:sz w:val="18"/>
                <w:szCs w:val="18"/>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73,689,996</w:t>
            </w:r>
          </w:p>
        </w:tc>
        <w:tc>
          <w:tcPr>
            <w:tcW w:w="280" w:type="dxa"/>
            <w:vAlign w:val="bottom"/>
          </w:tcPr>
          <w:p>
            <w:pPr>
              <w:spacing w:after="0"/>
              <w:rPr>
                <w:sz w:val="18"/>
                <w:szCs w:val="18"/>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71,487,133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726948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STATEMENTS OF INCOME</w:t>
      </w:r>
    </w:p>
    <w:tbl>
      <w:tblPr>
        <w:tblLayout w:type="fixed"/>
        <w:tblInd w:w="0" w:type="dxa"/>
        <w:tblCellMar>
          <w:top w:w="0" w:type="dxa"/>
          <w:left w:w="0" w:type="dxa"/>
          <w:bottom w:w="0" w:type="dxa"/>
          <w:right w:w="0" w:type="dxa"/>
        </w:tblCellMar>
      </w:tblPr>
      <w:tr>
        <w:trPr>
          <w:trHeight w:val="153"/>
        </w:trPr>
        <w:tc>
          <w:tcPr>
            <w:tcW w:w="6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60" w:type="dxa"/>
            <w:vAlign w:val="bottom"/>
            <w:gridSpan w:val="5"/>
          </w:tcPr>
          <w:p>
            <w:pPr>
              <w:jc w:val="center"/>
              <w:ind w:right="780"/>
              <w:spacing w:after="0" w:line="153" w:lineRule="exact"/>
              <w:rPr>
                <w:sz w:val="20"/>
                <w:szCs w:val="20"/>
                <w:color w:val="auto"/>
              </w:rPr>
            </w:pPr>
            <w:r>
              <w:rPr>
                <w:rFonts w:ascii="Times New Roman" w:cs="Times New Roman" w:eastAsia="Times New Roman" w:hAnsi="Times New Roman"/>
                <w:sz w:val="14"/>
                <w:szCs w:val="14"/>
                <w:b w:val="1"/>
                <w:bCs w:val="1"/>
                <w:color w:val="auto"/>
              </w:rPr>
              <w:t>THREE MONTHS ENDED JUNE 30</w:t>
            </w:r>
          </w:p>
        </w:tc>
      </w:tr>
      <w:tr>
        <w:trPr>
          <w:trHeight w:val="140"/>
        </w:trPr>
        <w:tc>
          <w:tcPr>
            <w:tcW w:w="6400" w:type="dxa"/>
            <w:vAlign w:val="bottom"/>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720" w:type="dxa"/>
            <w:vAlign w:val="bottom"/>
            <w:tcBorders>
              <w:top w:val="single" w:sz="8" w:color="auto"/>
              <w:bottom w:val="single" w:sz="8" w:color="auto"/>
            </w:tcBorders>
          </w:tcPr>
          <w:p>
            <w:pPr>
              <w:jc w:val="right"/>
              <w:ind w:right="905"/>
              <w:spacing w:after="0" w:line="140" w:lineRule="exact"/>
              <w:rPr>
                <w:sz w:val="20"/>
                <w:szCs w:val="20"/>
                <w:color w:val="auto"/>
              </w:rPr>
            </w:pPr>
            <w:r>
              <w:rPr>
                <w:rFonts w:ascii="Times New Roman" w:cs="Times New Roman" w:eastAsia="Times New Roman" w:hAnsi="Times New Roman"/>
                <w:sz w:val="14"/>
                <w:szCs w:val="14"/>
                <w:b w:val="1"/>
                <w:bCs w:val="1"/>
                <w:color w:val="auto"/>
              </w:rPr>
              <w:t>2002</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920"/>
              <w:spacing w:after="0" w:line="140" w:lineRule="exact"/>
              <w:rPr>
                <w:sz w:val="20"/>
                <w:szCs w:val="20"/>
                <w:color w:val="auto"/>
              </w:rPr>
            </w:pPr>
            <w:r>
              <w:rPr>
                <w:rFonts w:ascii="Times New Roman" w:cs="Times New Roman" w:eastAsia="Times New Roman" w:hAnsi="Times New Roman"/>
                <w:sz w:val="14"/>
                <w:szCs w:val="14"/>
                <w:b w:val="1"/>
                <w:bCs w:val="1"/>
                <w:color w:val="auto"/>
              </w:rPr>
              <w:t>2001</w:t>
            </w:r>
          </w:p>
        </w:tc>
        <w:tc>
          <w:tcPr>
            <w:tcW w:w="220" w:type="dxa"/>
            <w:vAlign w:val="bottom"/>
          </w:tcPr>
          <w:p>
            <w:pPr>
              <w:spacing w:after="0"/>
              <w:rPr>
                <w:sz w:val="12"/>
                <w:szCs w:val="12"/>
                <w:color w:val="auto"/>
              </w:rPr>
            </w:pPr>
          </w:p>
        </w:tc>
      </w:tr>
      <w:tr>
        <w:trPr>
          <w:trHeight w:val="395"/>
        </w:trPr>
        <w:tc>
          <w:tcPr>
            <w:tcW w:w="6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40" w:type="dxa"/>
            <w:vAlign w:val="bottom"/>
            <w:gridSpan w:val="3"/>
          </w:tcPr>
          <w:p>
            <w:pPr>
              <w:jc w:val="center"/>
              <w:ind w:left="985"/>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4"/>
        </w:trPr>
        <w:tc>
          <w:tcPr>
            <w:tcW w:w="6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27,282,901</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1"/>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28,978,656</w:t>
            </w:r>
          </w:p>
        </w:tc>
        <w:tc>
          <w:tcPr>
            <w:tcW w:w="220" w:type="dxa"/>
            <w:vAlign w:val="bottom"/>
            <w:shd w:val="clear" w:color="auto" w:fill="CCEEFF"/>
          </w:tcPr>
          <w:p>
            <w:pPr>
              <w:spacing w:after="0"/>
              <w:rPr>
                <w:sz w:val="18"/>
                <w:szCs w:val="18"/>
                <w:color w:val="auto"/>
              </w:rPr>
            </w:pPr>
          </w:p>
        </w:tc>
      </w:tr>
      <w:tr>
        <w:trPr>
          <w:trHeight w:val="239"/>
        </w:trPr>
        <w:tc>
          <w:tcPr>
            <w:tcW w:w="6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89"/>
        </w:trPr>
        <w:tc>
          <w:tcPr>
            <w:tcW w:w="64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r>
    </w:tbl>
    <w:p>
      <w:pPr>
        <w:sectPr>
          <w:pgSz w:w="11900" w:h="16900" w:orient="portrait"/>
          <w:cols w:equalWidth="0" w:num="1">
            <w:col w:w="11420"/>
          </w:cols>
          <w:pgMar w:left="240" w:top="105"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7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19,531,775</w:t>
            </w:r>
          </w:p>
        </w:tc>
        <w:tc>
          <w:tcPr>
            <w:tcW w:w="2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21,898,330</w:t>
            </w:r>
          </w:p>
        </w:tc>
        <w:tc>
          <w:tcPr>
            <w:tcW w:w="220" w:type="dxa"/>
            <w:vAlign w:val="bottom"/>
            <w:shd w:val="clear" w:color="auto" w:fill="CCEEFF"/>
          </w:tcPr>
          <w:p>
            <w:pPr>
              <w:spacing w:after="0"/>
              <w:rPr>
                <w:sz w:val="18"/>
                <w:szCs w:val="18"/>
                <w:color w:val="auto"/>
              </w:rPr>
            </w:pPr>
          </w:p>
        </w:tc>
      </w:tr>
      <w:tr>
        <w:trPr>
          <w:trHeight w:val="233"/>
        </w:trPr>
        <w:tc>
          <w:tcPr>
            <w:tcW w:w="6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7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7,751,126</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7,080,326</w:t>
            </w:r>
          </w:p>
        </w:tc>
        <w:tc>
          <w:tcPr>
            <w:tcW w:w="220" w:type="dxa"/>
            <w:vAlign w:val="bottom"/>
            <w:shd w:val="clear" w:color="auto" w:fill="CCEEFF"/>
          </w:tcPr>
          <w:p>
            <w:pPr>
              <w:spacing w:after="0"/>
              <w:rPr>
                <w:sz w:val="18"/>
                <w:szCs w:val="18"/>
                <w:color w:val="auto"/>
              </w:rPr>
            </w:pPr>
          </w:p>
        </w:tc>
      </w:tr>
      <w:tr>
        <w:trPr>
          <w:trHeight w:val="239"/>
        </w:trPr>
        <w:tc>
          <w:tcPr>
            <w:tcW w:w="6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3,795,835</w:t>
            </w:r>
          </w:p>
        </w:tc>
        <w:tc>
          <w:tcPr>
            <w:tcW w:w="2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3,845,915</w:t>
            </w:r>
          </w:p>
        </w:tc>
        <w:tc>
          <w:tcPr>
            <w:tcW w:w="220" w:type="dxa"/>
            <w:vAlign w:val="bottom"/>
            <w:shd w:val="clear" w:color="auto" w:fill="CCEEFF"/>
          </w:tcPr>
          <w:p>
            <w:pPr>
              <w:spacing w:after="0"/>
              <w:rPr>
                <w:sz w:val="18"/>
                <w:szCs w:val="18"/>
                <w:color w:val="auto"/>
              </w:rPr>
            </w:pPr>
          </w:p>
        </w:tc>
      </w:tr>
      <w:tr>
        <w:trPr>
          <w:trHeight w:val="233"/>
        </w:trPr>
        <w:tc>
          <w:tcPr>
            <w:tcW w:w="6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7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3,955,291</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3,234,411</w:t>
            </w:r>
          </w:p>
        </w:tc>
        <w:tc>
          <w:tcPr>
            <w:tcW w:w="220" w:type="dxa"/>
            <w:vAlign w:val="bottom"/>
            <w:shd w:val="clear" w:color="auto" w:fill="CCEEFF"/>
          </w:tcPr>
          <w:p>
            <w:pPr>
              <w:spacing w:after="0"/>
              <w:rPr>
                <w:sz w:val="18"/>
                <w:szCs w:val="18"/>
                <w:color w:val="auto"/>
              </w:rPr>
            </w:pPr>
          </w:p>
        </w:tc>
      </w:tr>
      <w:tr>
        <w:trPr>
          <w:trHeight w:val="239"/>
        </w:trPr>
        <w:tc>
          <w:tcPr>
            <w:tcW w:w="6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7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133,148</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211,000</w:t>
            </w:r>
          </w:p>
        </w:tc>
        <w:tc>
          <w:tcPr>
            <w:tcW w:w="220" w:type="dxa"/>
            <w:vAlign w:val="bottom"/>
            <w:shd w:val="clear" w:color="auto" w:fill="CCEEFF"/>
          </w:tcPr>
          <w:p>
            <w:pPr>
              <w:spacing w:after="0"/>
              <w:rPr>
                <w:sz w:val="18"/>
                <w:szCs w:val="18"/>
                <w:color w:val="auto"/>
              </w:rPr>
            </w:pPr>
          </w:p>
        </w:tc>
      </w:tr>
      <w:tr>
        <w:trPr>
          <w:trHeight w:val="239"/>
        </w:trPr>
        <w:tc>
          <w:tcPr>
            <w:tcW w:w="6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(2,044 )</w:t>
            </w:r>
          </w:p>
        </w:tc>
        <w:tc>
          <w:tcPr>
            <w:tcW w:w="7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(5,758 )</w:t>
            </w:r>
          </w:p>
        </w:tc>
      </w:tr>
      <w:tr>
        <w:trPr>
          <w:trHeight w:val="233"/>
        </w:trPr>
        <w:tc>
          <w:tcPr>
            <w:tcW w:w="64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4,086,395</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3,439,653</w:t>
            </w:r>
          </w:p>
        </w:tc>
        <w:tc>
          <w:tcPr>
            <w:tcW w:w="220" w:type="dxa"/>
            <w:vAlign w:val="bottom"/>
            <w:shd w:val="clear" w:color="auto" w:fill="CCEEFF"/>
          </w:tcPr>
          <w:p>
            <w:pPr>
              <w:spacing w:after="0"/>
              <w:rPr>
                <w:sz w:val="18"/>
                <w:szCs w:val="18"/>
                <w:color w:val="auto"/>
              </w:rPr>
            </w:pPr>
          </w:p>
        </w:tc>
      </w:tr>
      <w:tr>
        <w:trPr>
          <w:trHeight w:val="239"/>
        </w:trPr>
        <w:tc>
          <w:tcPr>
            <w:tcW w:w="6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1,512,000</w:t>
            </w:r>
          </w:p>
        </w:tc>
        <w:tc>
          <w:tcPr>
            <w:tcW w:w="2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1,356,700</w:t>
            </w:r>
          </w:p>
        </w:tc>
        <w:tc>
          <w:tcPr>
            <w:tcW w:w="220" w:type="dxa"/>
            <w:vAlign w:val="bottom"/>
            <w:shd w:val="clear" w:color="auto" w:fill="CCEEFF"/>
          </w:tcPr>
          <w:p>
            <w:pPr>
              <w:spacing w:after="0"/>
              <w:rPr>
                <w:sz w:val="18"/>
                <w:szCs w:val="18"/>
                <w:color w:val="auto"/>
              </w:rPr>
            </w:pPr>
          </w:p>
        </w:tc>
      </w:tr>
      <w:tr>
        <w:trPr>
          <w:trHeight w:val="233"/>
        </w:trPr>
        <w:tc>
          <w:tcPr>
            <w:tcW w:w="6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9"/>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tcBorders>
              <w:bottom w:val="single" w:sz="8" w:color="auto"/>
            </w:tcBorders>
            <w:shd w:val="clear" w:color="auto" w:fill="CCEEFF"/>
          </w:tcPr>
          <w:p>
            <w:pPr>
              <w:jc w:val="right"/>
              <w:ind w:right="59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2,574,395</w:t>
            </w: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2,082,953</w:t>
            </w:r>
          </w:p>
        </w:tc>
        <w:tc>
          <w:tcPr>
            <w:tcW w:w="220" w:type="dxa"/>
            <w:vAlign w:val="bottom"/>
            <w:tcBorders>
              <w:bottom w:val="single" w:sz="8" w:color="CCEEFF"/>
            </w:tcBorders>
            <w:shd w:val="clear" w:color="auto" w:fill="CCEEFF"/>
          </w:tcPr>
          <w:p>
            <w:pPr>
              <w:spacing w:after="0"/>
              <w:rPr>
                <w:sz w:val="19"/>
                <w:szCs w:val="19"/>
                <w:color w:val="auto"/>
              </w:rPr>
            </w:pPr>
          </w:p>
        </w:tc>
      </w:tr>
      <w:tr>
        <w:trPr>
          <w:trHeight w:val="239"/>
        </w:trPr>
        <w:tc>
          <w:tcPr>
            <w:tcW w:w="6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7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10,216,688</w:t>
            </w:r>
          </w:p>
        </w:tc>
        <w:tc>
          <w:tcPr>
            <w:tcW w:w="2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10,343,086</w:t>
            </w:r>
          </w:p>
        </w:tc>
        <w:tc>
          <w:tcPr>
            <w:tcW w:w="220" w:type="dxa"/>
            <w:vAlign w:val="bottom"/>
            <w:shd w:val="clear" w:color="auto" w:fill="CCEEFF"/>
          </w:tcPr>
          <w:p>
            <w:pPr>
              <w:spacing w:after="0"/>
              <w:rPr>
                <w:sz w:val="18"/>
                <w:szCs w:val="18"/>
                <w:color w:val="auto"/>
              </w:rPr>
            </w:pPr>
          </w:p>
        </w:tc>
      </w:tr>
      <w:tr>
        <w:trPr>
          <w:trHeight w:val="233"/>
        </w:trPr>
        <w:tc>
          <w:tcPr>
            <w:tcW w:w="6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9"/>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 — basic and diluted</w:t>
            </w:r>
          </w:p>
        </w:tc>
        <w:tc>
          <w:tcPr>
            <w:tcW w:w="780" w:type="dxa"/>
            <w:vAlign w:val="bottom"/>
            <w:tcBorders>
              <w:bottom w:val="single" w:sz="8" w:color="auto"/>
            </w:tcBorders>
            <w:shd w:val="clear" w:color="auto" w:fill="CCEEFF"/>
          </w:tcPr>
          <w:p>
            <w:pPr>
              <w:jc w:val="right"/>
              <w:ind w:right="59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20" w:type="dxa"/>
            <w:vAlign w:val="bottom"/>
            <w:tcBorders>
              <w:bottom w:val="single" w:sz="8" w:color="CCEEFF"/>
            </w:tcBorders>
            <w:shd w:val="clear" w:color="auto" w:fill="CCEEFF"/>
          </w:tcPr>
          <w:p>
            <w:pPr>
              <w:spacing w:after="0"/>
              <w:rPr>
                <w:sz w:val="19"/>
                <w:szCs w:val="19"/>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726948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364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379"/>
        </w:trPr>
        <w:tc>
          <w:tcPr>
            <w:tcW w:w="6700" w:type="dxa"/>
            <w:vAlign w:val="bottom"/>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2002</w:t>
            </w: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2001</w:t>
            </w:r>
          </w:p>
        </w:tc>
        <w:tc>
          <w:tcPr>
            <w:tcW w:w="8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80"/>
        </w:trPr>
        <w:tc>
          <w:tcPr>
            <w:tcW w:w="67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360" w:type="dxa"/>
            <w:vAlign w:val="bottom"/>
            <w:gridSpan w:val="3"/>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99"/>
        </w:trPr>
        <w:tc>
          <w:tcPr>
            <w:tcW w:w="6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3"/>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tcPr>
          <w:p>
            <w:pPr>
              <w:jc w:val="right"/>
              <w:ind w:right="109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2,574,395</w:t>
            </w:r>
          </w:p>
        </w:tc>
        <w:tc>
          <w:tcPr>
            <w:tcW w:w="240" w:type="dxa"/>
            <w:vAlign w:val="bottom"/>
          </w:tcPr>
          <w:p>
            <w:pPr>
              <w:spacing w:after="0"/>
              <w:rPr>
                <w:sz w:val="18"/>
                <w:szCs w:val="18"/>
                <w:color w:val="auto"/>
              </w:rPr>
            </w:pPr>
          </w:p>
        </w:tc>
        <w:tc>
          <w:tcPr>
            <w:tcW w:w="1280" w:type="dxa"/>
            <w:vAlign w:val="bottom"/>
          </w:tcPr>
          <w:p>
            <w:pPr>
              <w:jc w:val="right"/>
              <w:ind w:right="10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2,082,953</w:t>
            </w:r>
          </w:p>
        </w:tc>
        <w:tc>
          <w:tcPr>
            <w:tcW w:w="220" w:type="dxa"/>
            <w:vAlign w:val="bottom"/>
          </w:tcPr>
          <w:p>
            <w:pPr>
              <w:spacing w:after="0"/>
              <w:rPr>
                <w:sz w:val="18"/>
                <w:szCs w:val="18"/>
                <w:color w:val="auto"/>
              </w:rPr>
            </w:pPr>
          </w:p>
        </w:tc>
      </w:tr>
      <w:tr>
        <w:trPr>
          <w:trHeight w:val="213"/>
        </w:trPr>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722,907</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698,940</w:t>
            </w:r>
          </w:p>
        </w:tc>
        <w:tc>
          <w:tcPr>
            <w:tcW w:w="220" w:type="dxa"/>
            <w:vAlign w:val="bottom"/>
            <w:shd w:val="clear" w:color="auto" w:fill="CCEEFF"/>
          </w:tcPr>
          <w:p>
            <w:pPr>
              <w:spacing w:after="0"/>
              <w:rPr>
                <w:sz w:val="18"/>
                <w:szCs w:val="18"/>
                <w:color w:val="auto"/>
              </w:rPr>
            </w:pPr>
          </w:p>
        </w:tc>
      </w:tr>
      <w:tr>
        <w:trPr>
          <w:trHeight w:val="213"/>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1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20" w:type="dxa"/>
            <w:vAlign w:val="bottom"/>
          </w:tcPr>
          <w:p>
            <w:pPr>
              <w:spacing w:after="0"/>
              <w:rPr>
                <w:sz w:val="18"/>
                <w:szCs w:val="18"/>
                <w:color w:val="auto"/>
              </w:rPr>
            </w:pPr>
          </w:p>
        </w:tc>
      </w:tr>
      <w:tr>
        <w:trPr>
          <w:trHeight w:val="213"/>
        </w:trPr>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Trade receivables</w:t>
            </w:r>
          </w:p>
        </w:tc>
        <w:tc>
          <w:tcPr>
            <w:tcW w:w="1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(1,054,803 )</w:t>
            </w:r>
          </w:p>
        </w:tc>
        <w:tc>
          <w:tcPr>
            <w:tcW w:w="1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(1,199,095 )</w:t>
            </w:r>
          </w:p>
        </w:tc>
      </w:tr>
      <w:tr>
        <w:trPr>
          <w:trHeight w:val="213"/>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1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1,037,085</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(3,864,883 )</w:t>
            </w:r>
          </w:p>
        </w:tc>
      </w:tr>
      <w:tr>
        <w:trPr>
          <w:trHeight w:val="213"/>
        </w:trPr>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317,720</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3,604,762</w:t>
            </w:r>
          </w:p>
        </w:tc>
        <w:tc>
          <w:tcPr>
            <w:tcW w:w="220" w:type="dxa"/>
            <w:vAlign w:val="bottom"/>
            <w:shd w:val="clear" w:color="auto" w:fill="CCEEFF"/>
          </w:tcPr>
          <w:p>
            <w:pPr>
              <w:spacing w:after="0"/>
              <w:rPr>
                <w:sz w:val="18"/>
                <w:szCs w:val="18"/>
                <w:color w:val="auto"/>
              </w:rPr>
            </w:pPr>
          </w:p>
        </w:tc>
      </w:tr>
      <w:tr>
        <w:trPr>
          <w:trHeight w:val="213"/>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1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881,612</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909,062</w:t>
            </w:r>
          </w:p>
        </w:tc>
        <w:tc>
          <w:tcPr>
            <w:tcW w:w="220" w:type="dxa"/>
            <w:vAlign w:val="bottom"/>
          </w:tcPr>
          <w:p>
            <w:pPr>
              <w:spacing w:after="0"/>
              <w:rPr>
                <w:sz w:val="18"/>
                <w:szCs w:val="18"/>
                <w:color w:val="auto"/>
              </w:rPr>
            </w:pPr>
          </w:p>
        </w:tc>
      </w:tr>
      <w:tr>
        <w:trPr>
          <w:trHeight w:val="213"/>
        </w:trPr>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363,773</w:t>
            </w:r>
          </w:p>
        </w:tc>
        <w:tc>
          <w:tcPr>
            <w:tcW w:w="24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606,013</w:t>
            </w:r>
          </w:p>
        </w:tc>
        <w:tc>
          <w:tcPr>
            <w:tcW w:w="220" w:type="dxa"/>
            <w:vAlign w:val="bottom"/>
            <w:shd w:val="clear" w:color="auto" w:fill="CCEEFF"/>
          </w:tcPr>
          <w:p>
            <w:pPr>
              <w:spacing w:after="0"/>
              <w:rPr>
                <w:sz w:val="18"/>
                <w:szCs w:val="18"/>
                <w:color w:val="auto"/>
              </w:rPr>
            </w:pPr>
          </w:p>
        </w:tc>
      </w:tr>
      <w:tr>
        <w:trPr>
          <w:trHeight w:val="233"/>
        </w:trPr>
        <w:tc>
          <w:tcPr>
            <w:tcW w:w="6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3"/>
        </w:trPr>
        <w:tc>
          <w:tcPr>
            <w:tcW w:w="6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4,882,689</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2,862,752</w:t>
            </w:r>
          </w:p>
        </w:tc>
        <w:tc>
          <w:tcPr>
            <w:tcW w:w="220" w:type="dxa"/>
            <w:vAlign w:val="bottom"/>
            <w:shd w:val="clear" w:color="auto" w:fill="CCEEFF"/>
          </w:tcPr>
          <w:p>
            <w:pPr>
              <w:spacing w:after="0"/>
              <w:rPr>
                <w:sz w:val="18"/>
                <w:szCs w:val="18"/>
                <w:color w:val="auto"/>
              </w:rPr>
            </w:pPr>
          </w:p>
        </w:tc>
      </w:tr>
      <w:tr>
        <w:trPr>
          <w:trHeight w:val="239"/>
        </w:trPr>
        <w:tc>
          <w:tcPr>
            <w:tcW w:w="6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3"/>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(227,381 )</w:t>
            </w:r>
          </w:p>
        </w:tc>
        <w:tc>
          <w:tcPr>
            <w:tcW w:w="1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(2,150,484 )</w:t>
            </w:r>
          </w:p>
        </w:tc>
      </w:tr>
      <w:tr>
        <w:trPr>
          <w:trHeight w:val="213"/>
        </w:trPr>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(7,245,973 )</w:t>
            </w:r>
          </w:p>
        </w:tc>
        <w:tc>
          <w:tcPr>
            <w:tcW w:w="1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(127,969 )</w:t>
            </w:r>
          </w:p>
        </w:tc>
      </w:tr>
      <w:tr>
        <w:trPr>
          <w:trHeight w:val="213"/>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1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1,032,018</w:t>
            </w:r>
          </w:p>
        </w:tc>
        <w:tc>
          <w:tcPr>
            <w:tcW w:w="220" w:type="dxa"/>
            <w:vAlign w:val="bottom"/>
          </w:tcPr>
          <w:p>
            <w:pPr>
              <w:spacing w:after="0"/>
              <w:rPr>
                <w:sz w:val="18"/>
                <w:szCs w:val="18"/>
                <w:color w:val="auto"/>
              </w:rPr>
            </w:pPr>
          </w:p>
        </w:tc>
      </w:tr>
      <w:tr>
        <w:trPr>
          <w:trHeight w:val="213"/>
        </w:trPr>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Payments received on notes receivable</w:t>
            </w:r>
          </w:p>
        </w:tc>
        <w:tc>
          <w:tcPr>
            <w:tcW w:w="1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89,218</w:t>
            </w:r>
          </w:p>
        </w:tc>
        <w:tc>
          <w:tcPr>
            <w:tcW w:w="24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98,361</w:t>
            </w:r>
          </w:p>
        </w:tc>
        <w:tc>
          <w:tcPr>
            <w:tcW w:w="220" w:type="dxa"/>
            <w:vAlign w:val="bottom"/>
            <w:shd w:val="clear" w:color="auto" w:fill="CCEEFF"/>
          </w:tcPr>
          <w:p>
            <w:pPr>
              <w:spacing w:after="0"/>
              <w:rPr>
                <w:sz w:val="18"/>
                <w:szCs w:val="18"/>
                <w:color w:val="auto"/>
              </w:rPr>
            </w:pPr>
          </w:p>
        </w:tc>
      </w:tr>
      <w:tr>
        <w:trPr>
          <w:trHeight w:val="233"/>
        </w:trPr>
        <w:tc>
          <w:tcPr>
            <w:tcW w:w="6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3"/>
        </w:trPr>
        <w:tc>
          <w:tcPr>
            <w:tcW w:w="6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(5,384,136 )</w:t>
            </w:r>
          </w:p>
        </w:tc>
        <w:tc>
          <w:tcPr>
            <w:tcW w:w="1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(1,148,074 )</w:t>
            </w:r>
          </w:p>
        </w:tc>
      </w:tr>
      <w:tr>
        <w:trPr>
          <w:trHeight w:val="239"/>
        </w:trPr>
        <w:tc>
          <w:tcPr>
            <w:tcW w:w="6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3"/>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dividends paid</w:t>
            </w:r>
          </w:p>
        </w:tc>
        <w:tc>
          <w:tcPr>
            <w:tcW w:w="1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(1,532,690 )</w:t>
            </w:r>
          </w:p>
        </w:tc>
        <w:tc>
          <w:tcPr>
            <w:tcW w:w="1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(1,555,086 )</w:t>
            </w:r>
          </w:p>
        </w:tc>
      </w:tr>
      <w:tr>
        <w:trPr>
          <w:trHeight w:val="213"/>
        </w:trPr>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Acquisition and retirement of stock</w:t>
            </w: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(676,815 )</w:t>
            </w:r>
          </w:p>
        </w:tc>
      </w:tr>
      <w:tr>
        <w:trPr>
          <w:trHeight w:val="233"/>
        </w:trPr>
        <w:tc>
          <w:tcPr>
            <w:tcW w:w="670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3"/>
        </w:trPr>
        <w:tc>
          <w:tcPr>
            <w:tcW w:w="6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(1,532,690 )</w:t>
            </w:r>
          </w:p>
        </w:tc>
        <w:tc>
          <w:tcPr>
            <w:tcW w:w="1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(2,231,901 )</w:t>
            </w:r>
          </w:p>
        </w:tc>
      </w:tr>
      <w:tr>
        <w:trPr>
          <w:trHeight w:val="233"/>
        </w:trPr>
        <w:tc>
          <w:tcPr>
            <w:tcW w:w="670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1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(2,034,137 )</w:t>
            </w:r>
          </w:p>
        </w:tc>
        <w:tc>
          <w:tcPr>
            <w:tcW w:w="1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(517,223 )</w:t>
            </w:r>
          </w:p>
        </w:tc>
      </w:tr>
      <w:tr>
        <w:trPr>
          <w:trHeight w:val="239"/>
        </w:trPr>
        <w:tc>
          <w:tcPr>
            <w:tcW w:w="6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7,339,895</w:t>
            </w:r>
          </w:p>
        </w:tc>
        <w:tc>
          <w:tcPr>
            <w:tcW w:w="24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1,863,455</w:t>
            </w:r>
          </w:p>
        </w:tc>
        <w:tc>
          <w:tcPr>
            <w:tcW w:w="220" w:type="dxa"/>
            <w:vAlign w:val="bottom"/>
            <w:shd w:val="clear" w:color="auto" w:fill="CCEEFF"/>
          </w:tcPr>
          <w:p>
            <w:pPr>
              <w:spacing w:after="0"/>
              <w:rPr>
                <w:sz w:val="18"/>
                <w:szCs w:val="18"/>
                <w:color w:val="auto"/>
              </w:rPr>
            </w:pPr>
          </w:p>
        </w:tc>
      </w:tr>
      <w:tr>
        <w:trPr>
          <w:trHeight w:val="233"/>
        </w:trPr>
        <w:tc>
          <w:tcPr>
            <w:tcW w:w="6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9"/>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280" w:type="dxa"/>
            <w:vAlign w:val="bottom"/>
            <w:tcBorders>
              <w:bottom w:val="single" w:sz="8" w:color="auto"/>
            </w:tcBorders>
            <w:shd w:val="clear" w:color="auto" w:fill="CCEEFF"/>
          </w:tcPr>
          <w:p>
            <w:pPr>
              <w:jc w:val="right"/>
              <w:ind w:right="109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5,305,758</w:t>
            </w:r>
          </w:p>
        </w:tc>
        <w:tc>
          <w:tcPr>
            <w:tcW w:w="2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1,346,232</w:t>
            </w:r>
          </w:p>
        </w:tc>
        <w:tc>
          <w:tcPr>
            <w:tcW w:w="220" w:type="dxa"/>
            <w:vAlign w:val="bottom"/>
            <w:tcBorders>
              <w:bottom w:val="single" w:sz="8" w:color="CCEEFF"/>
            </w:tcBorders>
            <w:shd w:val="clear" w:color="auto" w:fill="CCEEFF"/>
          </w:tcPr>
          <w:p>
            <w:pPr>
              <w:spacing w:after="0"/>
              <w:rPr>
                <w:sz w:val="19"/>
                <w:szCs w:val="19"/>
                <w:color w:val="auto"/>
              </w:rPr>
            </w:pPr>
          </w:p>
        </w:tc>
      </w:tr>
      <w:tr>
        <w:trPr>
          <w:trHeight w:val="239"/>
        </w:trPr>
        <w:tc>
          <w:tcPr>
            <w:tcW w:w="6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9"/>
        </w:trPr>
        <w:tc>
          <w:tcPr>
            <w:tcW w:w="6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33"/>
        </w:trPr>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(received) paid for income taxes</w:t>
            </w:r>
          </w:p>
        </w:tc>
        <w:tc>
          <w:tcPr>
            <w:tcW w:w="1280" w:type="dxa"/>
            <w:vAlign w:val="bottom"/>
            <w:shd w:val="clear" w:color="auto" w:fill="CCEEFF"/>
          </w:tcPr>
          <w:p>
            <w:pPr>
              <w:jc w:val="right"/>
              <w:ind w:right="109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(9,757 )</w:t>
            </w:r>
          </w:p>
        </w:tc>
        <w:tc>
          <w:tcPr>
            <w:tcW w:w="1280" w:type="dxa"/>
            <w:vAlign w:val="bottom"/>
            <w:shd w:val="clear" w:color="auto" w:fill="CCEEFF"/>
          </w:tcPr>
          <w:p>
            <w:pPr>
              <w:jc w:val="right"/>
              <w:ind w:right="10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20" w:type="dxa"/>
            <w:vAlign w:val="bottom"/>
            <w:shd w:val="clear" w:color="auto" w:fill="CCEEFF"/>
          </w:tcPr>
          <w:p>
            <w:pPr>
              <w:spacing w:after="0"/>
              <w:rPr>
                <w:sz w:val="20"/>
                <w:szCs w:val="20"/>
                <w:color w:val="auto"/>
              </w:rPr>
            </w:pPr>
          </w:p>
        </w:tc>
      </w:tr>
      <w:tr>
        <w:trPr>
          <w:trHeight w:val="413"/>
        </w:trPr>
        <w:tc>
          <w:tcPr>
            <w:tcW w:w="67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tc>
        <w:tc>
          <w:tcPr>
            <w:tcW w:w="1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bl>
    <w:p>
      <w:pPr>
        <w:sectPr>
          <w:pgSz w:w="11900" w:h="16838" w:orient="portrait"/>
          <w:cols w:equalWidth="0" w:num="1">
            <w:col w:w="11400"/>
          </w:cols>
          <w:pgMar w:left="240" w:top="140" w:right="259" w:bottom="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726948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6" w:lineRule="exact"/>
        <w:rPr>
          <w:sz w:val="20"/>
          <w:szCs w:val="20"/>
          <w:color w:val="auto"/>
        </w:rPr>
      </w:pPr>
    </w:p>
    <w:p>
      <w:pPr>
        <w:ind w:left="960" w:right="140" w:hanging="941"/>
        <w:spacing w:after="0" w:line="247"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unaudited condensed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Report on Form 10-KT for the six-month transitional period ended March 31, 2002, previously filed with the Securities Exchange Commission (the Commission). In the opinion of management, the accompanying unaudited condensed financial statements contain all adjustments necessary to present fairly the Company’s financial position and the results of its operations and cash flows for the periods presented. All adjustments made to the interim financial statements were of a normal recurring nature.</w:t>
      </w:r>
    </w:p>
    <w:p>
      <w:pPr>
        <w:spacing w:after="0" w:line="200" w:lineRule="exact"/>
        <w:rPr>
          <w:rFonts w:ascii="Times New Roman" w:cs="Times New Roman" w:eastAsia="Times New Roman" w:hAnsi="Times New Roman"/>
          <w:sz w:val="18"/>
          <w:szCs w:val="18"/>
          <w:color w:val="auto"/>
        </w:rPr>
      </w:pPr>
    </w:p>
    <w:p>
      <w:pPr>
        <w:spacing w:after="0" w:line="378" w:lineRule="exact"/>
        <w:rPr>
          <w:rFonts w:ascii="Times New Roman" w:cs="Times New Roman" w:eastAsia="Times New Roman" w:hAnsi="Times New Roman"/>
          <w:sz w:val="18"/>
          <w:szCs w:val="18"/>
          <w:color w:val="auto"/>
        </w:rPr>
      </w:pPr>
    </w:p>
    <w:p>
      <w:pPr>
        <w:ind w:left="960" w:right="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policies followed by the Company are set forth in Note 1 to the Company’s financial statements in the Company’s Report on Form 10-KT for the six-month transitional period ended March 31, 2002 filed with the Commission on June 27, 2002.</w:t>
      </w:r>
    </w:p>
    <w:p>
      <w:pPr>
        <w:spacing w:after="0" w:line="200" w:lineRule="exact"/>
        <w:rPr>
          <w:rFonts w:ascii="Times New Roman" w:cs="Times New Roman" w:eastAsia="Times New Roman" w:hAnsi="Times New Roman"/>
          <w:sz w:val="18"/>
          <w:szCs w:val="18"/>
          <w:color w:val="auto"/>
        </w:rPr>
      </w:pPr>
    </w:p>
    <w:p>
      <w:pPr>
        <w:spacing w:after="0" w:line="350" w:lineRule="exact"/>
        <w:rPr>
          <w:rFonts w:ascii="Times New Roman" w:cs="Times New Roman" w:eastAsia="Times New Roman" w:hAnsi="Times New Roman"/>
          <w:sz w:val="18"/>
          <w:szCs w:val="18"/>
          <w:color w:val="auto"/>
        </w:rPr>
      </w:pPr>
    </w:p>
    <w:p>
      <w:pPr>
        <w:ind w:left="960" w:hanging="941"/>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operations for the period ended June 30, 2002 are not necessarily indicative of the results that may be expected for the full year.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4" w:lineRule="exact"/>
        <w:rPr>
          <w:rFonts w:ascii="Times New Roman" w:cs="Times New Roman" w:eastAsia="Times New Roman" w:hAnsi="Times New Roman"/>
          <w:sz w:val="18"/>
          <w:szCs w:val="18"/>
          <w:color w:val="auto"/>
        </w:rPr>
      </w:pPr>
    </w:p>
    <w:p>
      <w:pPr>
        <w:ind w:left="960" w:right="360" w:hanging="941"/>
        <w:spacing w:after="0" w:line="275"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principally valued by the LIFO method, are less than current cost by approximately $736,000 at June 30, 2002. Inventory consists principally of finished goods.</w:t>
      </w:r>
    </w:p>
    <w:p>
      <w:pPr>
        <w:spacing w:after="0" w:line="200" w:lineRule="exact"/>
        <w:rPr>
          <w:rFonts w:ascii="Times New Roman" w:cs="Times New Roman" w:eastAsia="Times New Roman" w:hAnsi="Times New Roman"/>
          <w:sz w:val="18"/>
          <w:szCs w:val="18"/>
          <w:color w:val="auto"/>
        </w:rPr>
      </w:pPr>
    </w:p>
    <w:p>
      <w:pPr>
        <w:spacing w:after="0" w:line="350" w:lineRule="exact"/>
        <w:rPr>
          <w:rFonts w:ascii="Times New Roman" w:cs="Times New Roman" w:eastAsia="Times New Roman" w:hAnsi="Times New Roman"/>
          <w:sz w:val="18"/>
          <w:szCs w:val="18"/>
          <w:color w:val="auto"/>
        </w:rPr>
      </w:pPr>
    </w:p>
    <w:p>
      <w:pPr>
        <w:ind w:left="960" w:right="120" w:hanging="941"/>
        <w:spacing w:after="0" w:line="267" w:lineRule="auto"/>
        <w:tabs>
          <w:tab w:leader="none" w:pos="9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October 2, 2000, the Company adopted Statement of Financial Accounting Standard (SFAS) No. 133, “Accounting for Derivative Instruments and Hedging Activities,” as amended by SFAS No. 138, “Accounting for Certain Derivative Instruments and Certain Hedging Activities.” SFAS No. 133 establishes accounting and reporting standards for derivative instruments and for hedging activities. It requires that all derivatives, including those embedded in other contracts, be recognized as either assets or liabilities and that those financial instruments be measured at fair value. The accounting for changes in the fair value of derivatives depends on their intended use and designation. Management has reviewed the requirements of SFAS No. 133 and has determined that they have no free-standing or embedded derivatives. All contracts that contain provisions meeting the definition of a derivative also meet the requirements of, and have been designated as, normal purchases and sales. The Company’s policy is to not use free-standing derivatives and to not enter into contracts with terms that cannot be designated as normal purchases or sales.</w:t>
      </w:r>
    </w:p>
    <w:p>
      <w:pPr>
        <w:spacing w:after="0" w:line="200" w:lineRule="exact"/>
        <w:rPr>
          <w:rFonts w:ascii="Times New Roman" w:cs="Times New Roman" w:eastAsia="Times New Roman" w:hAnsi="Times New Roman"/>
          <w:sz w:val="17"/>
          <w:szCs w:val="17"/>
          <w:color w:val="auto"/>
        </w:rPr>
      </w:pPr>
    </w:p>
    <w:p>
      <w:pPr>
        <w:spacing w:after="0" w:line="361" w:lineRule="exact"/>
        <w:rPr>
          <w:rFonts w:ascii="Times New Roman" w:cs="Times New Roman" w:eastAsia="Times New Roman" w:hAnsi="Times New Roman"/>
          <w:sz w:val="17"/>
          <w:szCs w:val="17"/>
          <w:color w:val="auto"/>
        </w:rPr>
      </w:pPr>
    </w:p>
    <w:p>
      <w:pPr>
        <w:ind w:left="960" w:right="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 July 2001, the Financial Accounting Standards Board (FASB) also issued SFAS No. 142, “Goodwill and Other Intangible Assets.” The Company adopted the provisions of SFAS No. 142 for other intangibles and goodwill acquired before June 30, 2001 on April 1, 2002. Under SFAS No. 142, goodwill as well as other intangibles determined to have an infinite life will no longer be amortized; however, these assets will be reviewed for impairment on a periodic basis. SFAS No.142 also includes provisions for the reclassification of certain existing recognized intangibles as goodwill, reclassification of certain intangibles out of previously reported goodwill and the identification of reporting units for purposes of assessing potential future impairments of goodwill. The implementation of SFAS No. 142 did not impact the Company’s financial statements. As of June 30, 2002 the Company had net intangible assets of $3,274,277 and amortization expense during the quarter ended June 30, 2002 was approximately $71,000. The estimated amortization expense for each of the next five years is approximately $284,000 per year.</w:t>
      </w:r>
    </w:p>
    <w:p>
      <w:pPr>
        <w:spacing w:after="0" w:line="200" w:lineRule="exact"/>
        <w:rPr>
          <w:rFonts w:ascii="Times New Roman" w:cs="Times New Roman" w:eastAsia="Times New Roman" w:hAnsi="Times New Roman"/>
          <w:sz w:val="17"/>
          <w:szCs w:val="17"/>
          <w:color w:val="auto"/>
        </w:rPr>
      </w:pPr>
    </w:p>
    <w:p>
      <w:pPr>
        <w:spacing w:after="0" w:line="376" w:lineRule="exact"/>
        <w:rPr>
          <w:rFonts w:ascii="Times New Roman" w:cs="Times New Roman" w:eastAsia="Times New Roman" w:hAnsi="Times New Roman"/>
          <w:sz w:val="17"/>
          <w:szCs w:val="17"/>
          <w:color w:val="auto"/>
        </w:rPr>
      </w:pPr>
    </w:p>
    <w:p>
      <w:pPr>
        <w:ind w:left="960" w:right="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 September 2001, the FASB issued SFAS No. 144, “Accounting for the Impairment or Disposal of Long-Lived Assets.” SFAS No. 144 requires that long-lived assets to be disposed of by sale, including discontinued operations, be measured at the lower of the carrying cost or fair value less cost to sell, whether reported in continuing operations or in discontinued operations. SFAS No. 144 also broadens the reporting of discontinued operations to include all components of an entity with operations that can be distinguished from the rest of the entity and that will be eliminated from the onging operations of the entity in a disposal transaction. The provisions of SFAS No. 144 are effective for financial statements issued for fiscal years beginning after December 15, 2001, and generally, are to be applied prospectively. The Company’s adoption of SFAS No. 144 on April 1, 2002 did not have an impact on the Company’s financial statements.</w:t>
      </w:r>
    </w:p>
    <w:p>
      <w:pPr>
        <w:spacing w:after="0" w:line="200" w:lineRule="exact"/>
        <w:rPr>
          <w:rFonts w:ascii="Times New Roman" w:cs="Times New Roman" w:eastAsia="Times New Roman" w:hAnsi="Times New Roman"/>
          <w:sz w:val="17"/>
          <w:szCs w:val="17"/>
          <w:color w:val="auto"/>
        </w:rPr>
      </w:pPr>
    </w:p>
    <w:p>
      <w:pPr>
        <w:spacing w:after="0" w:line="373" w:lineRule="exact"/>
        <w:rPr>
          <w:rFonts w:ascii="Times New Roman" w:cs="Times New Roman" w:eastAsia="Times New Roman" w:hAnsi="Times New Roman"/>
          <w:sz w:val="17"/>
          <w:szCs w:val="17"/>
          <w:color w:val="auto"/>
        </w:rPr>
      </w:pPr>
    </w:p>
    <w:p>
      <w:pPr>
        <w:ind w:left="960" w:right="140" w:hanging="941"/>
        <w:spacing w:after="0" w:line="261"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two reportable segments: Industrial and Water Treatment. Reportable segments are defined by product and type of customer. Segments are responsible for the sales, marketing and development of their products and services. The segments do not have separate accounting, administration, customer service or purchasing functions.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726948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REPORTABLE SEGMENTS</w:t>
            </w: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8"/>
              </w:rPr>
              <w:t>WATER</w:t>
            </w: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1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280" w:type="dxa"/>
            <w:vAlign w:val="bottom"/>
          </w:tcPr>
          <w:p>
            <w:pPr>
              <w:spacing w:after="0"/>
              <w:rPr>
                <w:sz w:val="17"/>
                <w:szCs w:val="17"/>
                <w:color w:val="auto"/>
              </w:rPr>
            </w:pPr>
          </w:p>
        </w:tc>
        <w:tc>
          <w:tcPr>
            <w:tcW w:w="18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TREATMENT</w:t>
            </w:r>
          </w:p>
        </w:tc>
        <w:tc>
          <w:tcPr>
            <w:tcW w:w="380" w:type="dxa"/>
            <w:vAlign w:val="bottom"/>
          </w:tcPr>
          <w:p>
            <w:pPr>
              <w:spacing w:after="0"/>
              <w:rPr>
                <w:sz w:val="17"/>
                <w:szCs w:val="17"/>
                <w:color w:val="auto"/>
              </w:rPr>
            </w:pPr>
          </w:p>
        </w:tc>
        <w:tc>
          <w:tcPr>
            <w:tcW w:w="17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3"/>
        </w:trPr>
        <w:tc>
          <w:tcPr>
            <w:tcW w:w="5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JUNE 30, 2002</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17,118,450</w:t>
            </w:r>
          </w:p>
        </w:tc>
        <w:tc>
          <w:tcPr>
            <w:tcW w:w="280" w:type="dxa"/>
            <w:vAlign w:val="bottom"/>
          </w:tcPr>
          <w:p>
            <w:pPr>
              <w:spacing w:after="0"/>
              <w:rPr>
                <w:sz w:val="18"/>
                <w:szCs w:val="18"/>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10,164,451</w:t>
            </w:r>
          </w:p>
        </w:tc>
        <w:tc>
          <w:tcPr>
            <w:tcW w:w="260" w:type="dxa"/>
            <w:vAlign w:val="bottom"/>
          </w:tcPr>
          <w:p>
            <w:pPr>
              <w:spacing w:after="0"/>
              <w:rPr>
                <w:sz w:val="18"/>
                <w:szCs w:val="18"/>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27,282,901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4,140,597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3,610,529</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7,751,126</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1,783,822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2,171,469</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3,955,291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JUNE 30, 2001</w:t>
            </w:r>
          </w:p>
        </w:tc>
        <w:tc>
          <w:tcPr>
            <w:tcW w:w="1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13"/>
        </w:trPr>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Sales</w:t>
            </w:r>
          </w:p>
        </w:tc>
        <w:tc>
          <w:tcPr>
            <w:tcW w:w="154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19,014,444</w:t>
            </w:r>
          </w:p>
        </w:tc>
        <w:tc>
          <w:tcPr>
            <w:tcW w:w="74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9,964,212</w:t>
            </w:r>
          </w:p>
        </w:tc>
        <w:tc>
          <w:tcPr>
            <w:tcW w:w="70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28,978,656</w:t>
            </w:r>
          </w:p>
        </w:tc>
      </w:tr>
      <w:tr>
        <w:trPr>
          <w:trHeight w:val="213"/>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margin</w:t>
            </w:r>
          </w:p>
        </w:tc>
        <w:tc>
          <w:tcPr>
            <w:tcW w:w="1540" w:type="dxa"/>
            <w:vAlign w:val="bottom"/>
          </w:tcPr>
          <w:p>
            <w:pPr>
              <w:spacing w:after="0"/>
              <w:rPr>
                <w:sz w:val="18"/>
                <w:szCs w:val="18"/>
                <w:color w:val="auto"/>
              </w:rPr>
            </w:pPr>
          </w:p>
        </w:tc>
        <w:tc>
          <w:tcPr>
            <w:tcW w:w="14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3,875,357</w:t>
            </w:r>
          </w:p>
        </w:tc>
        <w:tc>
          <w:tcPr>
            <w:tcW w:w="740" w:type="dxa"/>
            <w:vAlign w:val="bottom"/>
          </w:tcPr>
          <w:p>
            <w:pPr>
              <w:spacing w:after="0"/>
              <w:rPr>
                <w:sz w:val="18"/>
                <w:szCs w:val="18"/>
                <w:color w:val="auto"/>
              </w:rPr>
            </w:pPr>
          </w:p>
        </w:tc>
        <w:tc>
          <w:tcPr>
            <w:tcW w:w="1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3,204,969</w:t>
            </w:r>
          </w:p>
        </w:tc>
        <w:tc>
          <w:tcPr>
            <w:tcW w:w="700" w:type="dxa"/>
            <w:vAlign w:val="bottom"/>
          </w:tcPr>
          <w:p>
            <w:pPr>
              <w:spacing w:after="0"/>
              <w:rPr>
                <w:sz w:val="18"/>
                <w:szCs w:val="18"/>
                <w:color w:val="auto"/>
              </w:rPr>
            </w:pPr>
          </w:p>
        </w:tc>
        <w:tc>
          <w:tcPr>
            <w:tcW w:w="15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7,080,326</w:t>
            </w:r>
          </w:p>
        </w:tc>
      </w:tr>
      <w:tr>
        <w:trPr>
          <w:trHeight w:val="213"/>
        </w:trPr>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15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1,352,128</w:t>
            </w:r>
          </w:p>
        </w:tc>
        <w:tc>
          <w:tcPr>
            <w:tcW w:w="7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1,882,283</w:t>
            </w:r>
          </w:p>
        </w:tc>
        <w:tc>
          <w:tcPr>
            <w:tcW w:w="7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3,234,411</w:t>
            </w:r>
          </w:p>
        </w:tc>
      </w:tr>
    </w:tbl>
    <w:p>
      <w:pPr>
        <w:spacing w:after="0" w:line="200" w:lineRule="exact"/>
        <w:rPr>
          <w:sz w:val="20"/>
          <w:szCs w:val="20"/>
          <w:color w:val="auto"/>
        </w:rPr>
      </w:pPr>
    </w:p>
    <w:p>
      <w:pPr>
        <w:spacing w:after="0" w:line="354"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color w:val="auto"/>
        </w:rPr>
        <w:t>MANAGEMENT’S DISCUSSION AND ANALYSIS OF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OPERATIONS</w:t>
      </w:r>
    </w:p>
    <w:p>
      <w:pPr>
        <w:spacing w:after="0" w:line="179"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8"/>
          <w:szCs w:val="18"/>
          <w:color w:val="auto"/>
        </w:rPr>
        <w:t>THE INFORMATION CONTAINED IN THIS FORM 10-Q INCLUDES FORWARD-LOOKING STATEMENTS AS DEFINED IN SECTION 21E OF THE SECURITIES EXCHANGE ACT OF 1934, AS AMENDED. FORWARD-LOOKING INFORMATION OR STATEMENTS INCLUDE STATEMENTS ABOUT THE FUTURE OF THE INDUSTRIES REPRESENTED BY OUR OPERATING GROUPS, STATEMENTS ABOUT OUR FUTURE BUSINESS PLANS AND STRATEGIES, THE TIMELINESS OF PRODUCT INTRODUCTIONS AND DELIVERIES, EXPECTATIONS ABOUT INDUSTRY AND MARKET GROWTH DEVELOPMENTS, EXPECTATIONS ABOUT OUR GROWTH AND PROFITABILITY AND OTHER STATEMENTS THAT ARE NOT HISTORICAL IN NATURE. MANY OF THESE STATEMENTS CONTAIN WORDS SUCH AS “MAY”, “WILL”, “BELIEVE”, “INTEND”, “ESTIMATE”, OR “CONTINUE” OR OTHER SIMILAR WORDS.</w:t>
      </w:r>
    </w:p>
    <w:p>
      <w:pPr>
        <w:spacing w:after="0" w:line="16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THESE FORWARD-LOOKING STATEMENTS INVOLVE A NUMBER OF RISKS AND UNCERTAINTIES, INCLUDING DEMAND FROM MAJOR CUSTOMERS, COMPETITION, CHANGES IN PRODUCT OR CUSTOMER MIX OR REVENUES, CHANGES IN PRODUCT COSTS AND OPERATING EXPENSES AND OTHER FACTORS DISCLOSED THROUGHOUT THIS REPORT. THE ACTUAL RESULTS THAT THE COMPANY ACHIEVES MAY DIFFER MATERIALLY FROM ANY FORWARD-LOOKING STATEMENTS DUE TO SUCH RISKS AND UNCERTAINTIES. THE COMPANY UNDERTAKES NO OBLIGATION TO REVISE ANY FORWARD-LOOKING STATEMENTS IN ORDER TO REFLECT EVENTS OR CIRCUMSTANCES THAT MAY ARISE AFTER THE DATE OF THIS REPORT. READERS ARE URGED TO CAREFULLY REVIEW AND CONSIDER THE VARIOUS DISCLOSURES MADE BY THE COMPANY IN THIS REPORT AND IN THE COMPANY’S OTHER REPORTS FILED WITH THE SECURITIES AND EXCHANGE COMMISSION THAT ATTEMPT TO ADVISE INTERESTED PARTIES OF THE RISKS AND UNCERTAINTIES THAT MAY AFFECT THE COMPANY’S FINANCIAL CONDITION, RESULTS OF OPERATIONS, AND CASH FLOWS.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w:t>
      </w:r>
    </w:p>
    <w:p>
      <w:pPr>
        <w:spacing w:after="0" w:line="179"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Sales decreased $1,695,755, or 5.9%, in the three months ended June 30, 2002 as compared to the three months ended June 30, 2001. The Industrial segments decrease of $1,895,994 during the period was mainly attributable to a decrease in the selling price and volumes of caustic soda sold and the continued effect of the current economic downturn. The Water Treatment segment had a sales increase of $200,239 in the three months ended June 30, 2002 as compared to the three months ended June 30, 2001. This increase is due primarily to increased sales volumes, and to a lesser extent, selling price increases.</w:t>
      </w:r>
    </w:p>
    <w:p>
      <w:pPr>
        <w:spacing w:after="0" w:line="13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gross margin, as a percentage of sales, for the three months ended June 30, 2002 was 28.4% compared to 24.4% for the three months ended June 30, 2001. For the Industrial segment, gross margin, as a percentage of sales, was 24.2% for the three months ended June 30, 2002 compared to 20.4% for the comparable period ended June 30, 2001. This increase is due to a combination of the reduction in the cost and selling price of caustic soda as compared to the prior year when the cost and selling price of caustic soda was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726948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rising, the Company being on the LIFO method of valuing inventories and to increased sales in product lines that have a higher gross margin percentage. Additionally, during the three months ended June 30, 2001, flooding of the Mississippi River prevented shipments to and from the Company’s Terminal 1 and 2 locations. This resulted in additional shipping, labor and other costs that the Company was not able to pass through to its customers. The Company attempts to maintain relatively constant dollar margins as the cost of caustic soda increases or decreases. The cost of this product is normally subject to fluctuations, which are expected to continue in future periods. By maintaining relatively stable dollar margins, the gross margin percentage will decrease when the cost of the product is increasing and will increase when the cost of the product is decreasing. The Company has also generally been able to, and expects to continue to, adjust its selling price as the cost of materials and other expenses changes. Gross margin, as a percentage of sales, for the Water Treatment segment was 35.5% in the three months ended June 30, 2002 compared to 32.2% for the three months ended June 30, 2001. The increase is primarily attributable to the decrease in caustic soda prices and to increased sales in product lines that have a higher gross margin percentage.</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June 30, 2002 decreased by $50,080 as compared to the three months ended June 30, 2001. Selling, general and administrative expenses are expected to remain at similar levels for the remainder of fiscal 2003 as these expenses, excluding employee compensation and related benefits, are relatively fixed in nature and vary only slightly with sales fluctuations.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w:t>
      </w:r>
    </w:p>
    <w:p>
      <w:pPr>
        <w:spacing w:after="0" w:line="17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Interest income decreased by $77,852 for the three-months ended June 30, 2002, compared to the same three month period one year ago. The decrease is due to a lower rate of return on the Company’s cash equivalents and available for sale securities, which consist primarily of money market accounts, commercial paper, municipal bonds, mutual funds, and annuity contracts.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LIQUIDITY AND CAPITAL RESOURCES</w:t>
      </w:r>
    </w:p>
    <w:p>
      <w:pPr>
        <w:spacing w:after="0" w:line="179" w:lineRule="exact"/>
        <w:rPr>
          <w:sz w:val="20"/>
          <w:szCs w:val="20"/>
          <w:color w:val="auto"/>
        </w:rPr>
      </w:pPr>
    </w:p>
    <w:p>
      <w:pPr>
        <w:jc w:val="both"/>
        <w:ind w:right="180"/>
        <w:spacing w:after="0" w:line="276" w:lineRule="auto"/>
        <w:rPr>
          <w:sz w:val="20"/>
          <w:szCs w:val="20"/>
          <w:color w:val="auto"/>
        </w:rPr>
      </w:pPr>
      <w:r>
        <w:rPr>
          <w:rFonts w:ascii="Times New Roman" w:cs="Times New Roman" w:eastAsia="Times New Roman" w:hAnsi="Times New Roman"/>
          <w:sz w:val="17"/>
          <w:szCs w:val="17"/>
          <w:color w:val="auto"/>
        </w:rPr>
        <w:t>For the three-month period ended June 30, 2002, cash provided by operations was $4,882,689 compared to cash provided by operations of $2,862,752 for the same period one year ago. This increase was due mainly to an increase in net income of $491,442 and to changes in certain current asset and liability accounts discussed in the paragraph below. During the three months ended June 30, 2002, the Company invested $227,381 in property and equipment additions, which consisted primarily of a remodeling project at the Terminal 1 location and the purchase of additional containers for storing and transporting product.</w:t>
      </w:r>
    </w:p>
    <w:p>
      <w:pPr>
        <w:spacing w:after="0" w:line="125" w:lineRule="exact"/>
        <w:rPr>
          <w:sz w:val="20"/>
          <w:szCs w:val="20"/>
          <w:color w:val="auto"/>
        </w:rPr>
      </w:pPr>
    </w:p>
    <w:p>
      <w:pPr>
        <w:jc w:val="both"/>
        <w:ind w:right="140"/>
        <w:spacing w:after="0" w:line="256" w:lineRule="auto"/>
        <w:rPr>
          <w:sz w:val="20"/>
          <w:szCs w:val="20"/>
          <w:color w:val="auto"/>
        </w:rPr>
      </w:pPr>
      <w:r>
        <w:rPr>
          <w:rFonts w:ascii="Times New Roman" w:cs="Times New Roman" w:eastAsia="Times New Roman" w:hAnsi="Times New Roman"/>
          <w:sz w:val="18"/>
          <w:szCs w:val="18"/>
          <w:color w:val="auto"/>
        </w:rPr>
        <w:t>Inventories decreased during the three-month period ended June 30, 2002 by $1,037,085 compared to an increase of $3,864,883 in the comparable period one year ago. The fluctuations in inventory are primarily attributable to the aforementioned decrease in caustic soda prices. The decrease in caustic soda prices was also reflected in the fluctuation of the accounts payable balances, which partially offset the impact of the fluctuations in inventory. The Company did not issue any securities during the three month period ended June 30, 2002.</w:t>
      </w:r>
    </w:p>
    <w:p>
      <w:pPr>
        <w:sectPr>
          <w:pgSz w:w="11900" w:h="16838" w:orient="portrait"/>
          <w:cols w:equalWidth="0" w:num="1">
            <w:col w:w="11420"/>
          </w:cols>
          <w:pgMar w:left="240" w:top="121" w:right="239" w:bottom="36" w:gutter="0" w:footer="0" w:header="0"/>
        </w:sectPr>
      </w:pPr>
    </w:p>
    <w:bookmarkStart w:id="5" w:name="page6"/>
    <w:bookmarkEnd w:id="5"/>
    <w:p>
      <w:pPr>
        <w:spacing w:after="0" w:line="53"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18"/>
          <w:szCs w:val="18"/>
          <w:color w:val="auto"/>
        </w:rPr>
        <w:t>Expected future cash flows from operations, coupled with the Company’s strong financial position, puts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w:t>
      </w:r>
    </w:p>
    <w:p>
      <w:pPr>
        <w:spacing w:after="0" w:line="1"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18"/>
          <w:szCs w:val="18"/>
          <w:color w:val="auto"/>
        </w:rPr>
        <w:t>additional capital does arise, however, management is confident that the Company’s total debt to capital ratio puts it in a position to obtain debt financing on favorable terms.</w:t>
      </w:r>
    </w:p>
    <w:p>
      <w:pPr>
        <w:spacing w:after="0" w:line="14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Although management continually reviews opportunities to enhance the value of the Company through strategic acquisitions, other capital investments and strategic divestitures, no material commitments for such investments or divestitures currently exist. Until appropriate investment opportunities are identified, the Company will continue to invest excess cash in conservative investments. Cash equivalents include all liquid debt instruments (primarily cash funds and money market accounts) purchased with an original maturity of three months or less. Investments classified as available-for-sale securities consist of investment contracts with high-rated, stable insurance companies, marketable securities consisting of municipal bonds, commercial paper and mutual funds carried at fair value.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726948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Other than as discussed above, management is not aware of any matters that have materially affected the three months ended June 30, 2002, or are expected to materially affect future periods, nor is management aware of other matters not affecting this period that are expected to materially affect future periods.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RISK</w:t>
      </w:r>
    </w:p>
    <w:p>
      <w:pPr>
        <w:spacing w:after="0" w:line="17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At June 30, 2002, the Company had an investment portfolio of fixed income securities of $10,265,957 and mutual funds of $2,261,293, excluding $6,559,161 of those classified as cash and cash equivalents and variable rate securities. The fixed income securities, like all fixed income instruments, are subject to interest rate risks and will decline in value if market interest rates increase. However, while the value of the investment may fluctuate in any given period, the Company intends to hold its fixed income investments until maturity. Consequently, the Company would not expect to recognize an adverse impact on net income or cash flows or the amount ultimately realized on the investment. The value of the mutual funds, like all mutual funds, may increase or decrease due to market volatility. The Company intends to hold the mutual funds until it has a need to liquidate the investments and does not anticipate a present need to liquidate the investment. Therefore, the Company would not expect a material adverse impact on net income or cash flows or the amount ultimately realized on the investment.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ACCOUNTING POLICIES</w:t>
      </w:r>
    </w:p>
    <w:p>
      <w:pPr>
        <w:spacing w:after="0" w:line="17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Accounting policies whose application may have a significant effect on the reported results of operations and financial position of the Company, and that can require judgments by management that affect their application, include Statement of Financial Accounting Standards (SFAS) No. 5, “Accounting for Contingencies” and SFAS No. 144, “Accounting for the Impairment or Disposal of Long-Lived Assets.”</w:t>
      </w:r>
    </w:p>
    <w:p>
      <w:pPr>
        <w:spacing w:after="0" w:line="136"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SFAS No. 5 requires management judgments regarding the probability and estimated amount of possible future contingent liabilities, including legal matters. SFAS No. 144 requires judgments regarding future operating or disposition plans for marginally performing assets and estimates of expected realizable values for assets to be sold. Other accounting policies that are significant to the Company include the following:</w:t>
      </w:r>
    </w:p>
    <w:p>
      <w:pPr>
        <w:spacing w:after="0" w:line="150"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Revenue Recognition — The Company recognizes revenue when the product has been shipped to the customer if there is evidence that the customer has agreed to purchase the products, delivery and performance has occurred, the price and terms of sale are fixed and collection of the receivable is expected.</w:t>
      </w:r>
    </w:p>
    <w:p>
      <w:pPr>
        <w:spacing w:after="0" w:line="12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Allowance for Doubtful Accounts — Accounts receivable are reduced by an allowance for amounts that may become uncollectible in the future. Substantially all of the Company’s receivables are due from customers located in the United States. The estimated allowance for doubtful accounts is based upon the age of the outstanding receivables and the payment history and credit worthiness of each customer. Management evaluates the adequacy of the reserve for doubtful accounts on a quarterly basis.</w:t>
      </w:r>
    </w:p>
    <w:p>
      <w:pPr>
        <w:spacing w:after="0" w:line="141"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Inventories — Inventories are valued at the lower of cost or market. On a quarterly basis, management assesses the inventory quantities on hand to estimated future usage and sales and, if necessary, writes down the value of inventory deemed obsolete or excess to market.</w:t>
      </w:r>
    </w:p>
    <w:p>
      <w:pPr>
        <w:spacing w:after="0" w:line="13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Property, Plant and Equipment — Property, plant and equipment are stated at cost and depreciated over the lives of the assets using both the straight-line and declining balance methods. Major replacements and improvements are capitalized, while maintenance and repairs which do not improve or extend the useful lives of the respective assets are charged to operations. The assets and related accumulated depreciation accounts are adjusted for asset retirements and disposals with the resulting gain or loss, if any, recorded in the Statement of Income at the time of disposal.</w:t>
      </w:r>
    </w:p>
    <w:p>
      <w:pPr>
        <w:spacing w:after="0" w:line="14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policies for these matters, which are described in Note 1 to the financial statements in the Company’s Report on Form 10-KT for the six-month transitional period ended March 31, 2002 filed with the Securities and Exchange Commission on June 27, 2002, are in accordance with generally accepted accounting principles. Management believes that their application results in a fair presentation in the financial statements of the Company’s operating results and financial position.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726948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Legal Proceedings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filing, the Company was not involved in any pending legal proceedings other than ordinary routine litigation incidental to its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Other Information</w:t>
      </w:r>
    </w:p>
    <w:p>
      <w:pPr>
        <w:spacing w:after="0" w:line="19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Proposals by Shareholders</w:t>
      </w:r>
    </w:p>
    <w:p>
      <w:pPr>
        <w:spacing w:after="0" w:line="179" w:lineRule="exact"/>
        <w:rPr>
          <w:sz w:val="20"/>
          <w:szCs w:val="20"/>
          <w:color w:val="auto"/>
        </w:rPr>
      </w:pPr>
    </w:p>
    <w:p>
      <w:pPr>
        <w:spacing w:after="0" w:line="306" w:lineRule="auto"/>
        <w:rPr>
          <w:sz w:val="20"/>
          <w:szCs w:val="20"/>
          <w:color w:val="auto"/>
        </w:rPr>
      </w:pPr>
      <w:r>
        <w:rPr>
          <w:rFonts w:ascii="Times New Roman" w:cs="Times New Roman" w:eastAsia="Times New Roman" w:hAnsi="Times New Roman"/>
          <w:sz w:val="17"/>
          <w:szCs w:val="17"/>
          <w:color w:val="auto"/>
        </w:rPr>
        <w:t>In order for a shareholder proposal to be considered for inclusion in the Company’s proxy statement for next year’s annual meeting, the written proposal must be received by the Company at its principal executive office no later than March 17, 2003. Any such proposals also must comply with the rules and regulations of</w:t>
      </w:r>
    </w:p>
    <w:p>
      <w:pPr>
        <w:sectPr>
          <w:pgSz w:w="11900" w:h="16892" w:orient="portrait"/>
          <w:cols w:equalWidth="0" w:num="1">
            <w:col w:w="11420"/>
          </w:cols>
          <w:pgMar w:left="240" w:top="121" w:right="239" w:bottom="0" w:gutter="0" w:footer="0" w:header="0"/>
        </w:sectPr>
      </w:pPr>
    </w:p>
    <w:bookmarkStart w:id="6" w:name="page7"/>
    <w:bookmarkEnd w:id="6"/>
    <w:p>
      <w:pPr>
        <w:spacing w:after="0" w:line="251" w:lineRule="auto"/>
        <w:rPr>
          <w:sz w:val="20"/>
          <w:szCs w:val="20"/>
          <w:color w:val="auto"/>
        </w:rPr>
      </w:pPr>
      <w:r>
        <w:rPr>
          <w:rFonts w:ascii="Times New Roman" w:cs="Times New Roman" w:eastAsia="Times New Roman" w:hAnsi="Times New Roman"/>
          <w:sz w:val="18"/>
          <w:szCs w:val="18"/>
          <w:color w:val="auto"/>
        </w:rPr>
        <w:t>the Securities and Exchange Commission regarding the inclusion of shareholder proposals in company sponsored proxy materials. In order for a shareholder proposal to be raised from the floor during next year’s annual meeting (without being included in the proxy materials), written notice of the proposal must be received by the Company no later than May 31, 2003. The persons named as proxies by the Company for that meeting will have discretionary authority to vote on any shareholder proposal for which such notice is not properly received by the Company and as otherwise permitted pursuant to the Commission’s rules and regulations regarding the voting of proxies. Any director nominations made by shareholders also must comply with the relevant provisions set forth in Article I of the Company’s Bylaws. A copy of the Bylaws have been filed with the Commission and are available on the Commission’s website (www.sec.gov) or they may be obtained by sending a written request to the Corporate Secretary at the Company’s headquarters.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 Exhibits and Reports on Form 8-K</w:t>
      </w:r>
    </w:p>
    <w:p>
      <w:pPr>
        <w:spacing w:after="0" w:line="192" w:lineRule="exact"/>
        <w:rPr>
          <w:sz w:val="20"/>
          <w:szCs w:val="20"/>
          <w:color w:val="auto"/>
        </w:rPr>
      </w:pPr>
    </w:p>
    <w:p>
      <w:pPr>
        <w:ind w:left="560" w:hanging="554"/>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79" w:lineRule="exact"/>
        <w:rPr>
          <w:sz w:val="20"/>
          <w:szCs w:val="20"/>
          <w:color w:val="auto"/>
        </w:rPr>
      </w:pPr>
    </w:p>
    <w:p>
      <w:pPr>
        <w:ind w:left="580"/>
        <w:spacing w:after="0"/>
        <w:tabs>
          <w:tab w:leader="none" w:pos="174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color w:val="auto"/>
        </w:rPr>
        <w:t>Certification Pursuant to 18 U.S.C. Section 1350, as Adopted Pursuant to Section 906 of the Sarbanes-Oxley Act of 2002</w:t>
      </w:r>
    </w:p>
    <w:p>
      <w:pPr>
        <w:spacing w:after="0" w:line="179" w:lineRule="exact"/>
        <w:rPr>
          <w:sz w:val="20"/>
          <w:szCs w:val="20"/>
          <w:color w:val="auto"/>
        </w:rPr>
      </w:pPr>
    </w:p>
    <w:p>
      <w:pPr>
        <w:ind w:left="580"/>
        <w:spacing w:after="0"/>
        <w:tabs>
          <w:tab w:leader="none" w:pos="1740" w:val="left"/>
        </w:tabs>
        <w:rPr>
          <w:sz w:val="20"/>
          <w:szCs w:val="20"/>
          <w:color w:val="auto"/>
        </w:rPr>
      </w:pPr>
      <w:r>
        <w:rPr>
          <w:rFonts w:ascii="Times New Roman" w:cs="Times New Roman" w:eastAsia="Times New Roman" w:hAnsi="Times New Roman"/>
          <w:sz w:val="18"/>
          <w:szCs w:val="18"/>
          <w:color w:val="auto"/>
        </w:rPr>
        <w:t>Exhibit 99.2</w:t>
      </w:r>
      <w:r>
        <w:rPr>
          <w:sz w:val="20"/>
          <w:szCs w:val="20"/>
          <w:color w:val="auto"/>
        </w:rPr>
        <w:tab/>
      </w:r>
      <w:r>
        <w:rPr>
          <w:rFonts w:ascii="Times New Roman" w:cs="Times New Roman" w:eastAsia="Times New Roman" w:hAnsi="Times New Roman"/>
          <w:sz w:val="17"/>
          <w:szCs w:val="17"/>
          <w:color w:val="auto"/>
        </w:rPr>
        <w:t>Certification Pursuant to 18 U.S.C. Section 1350, as Adopted Pursuant to Section 906 of the Sarbanes-Oxley Act of 2002</w:t>
      </w:r>
    </w:p>
    <w:p>
      <w:pPr>
        <w:spacing w:after="0" w:line="192" w:lineRule="exact"/>
        <w:rPr>
          <w:sz w:val="20"/>
          <w:szCs w:val="20"/>
          <w:color w:val="auto"/>
        </w:rPr>
      </w:pPr>
    </w:p>
    <w:p>
      <w:pPr>
        <w:ind w:left="580" w:right="9180" w:hanging="574"/>
        <w:spacing w:after="0" w:line="446" w:lineRule="auto"/>
        <w:tabs>
          <w:tab w:leader="none" w:pos="5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on Form 8-K. None</w:t>
      </w: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94"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2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HAWKINS, INC.</w:t>
      </w:r>
    </w:p>
    <w:p>
      <w:pPr>
        <w:spacing w:after="0" w:line="245" w:lineRule="exact"/>
        <w:rPr>
          <w:sz w:val="20"/>
          <w:szCs w:val="20"/>
          <w:color w:val="auto"/>
        </w:rPr>
      </w:pPr>
    </w:p>
    <w:p>
      <w:pPr>
        <w:ind w:left="5140"/>
        <w:spacing w:after="0"/>
        <w:tabs>
          <w:tab w:leader="none" w:pos="5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15240</wp:posOffset>
            </wp:positionV>
            <wp:extent cx="3624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24580" cy="8255"/>
                    </a:xfrm>
                    <a:prstGeom prst="rect">
                      <a:avLst/>
                    </a:prstGeom>
                    <a:noFill/>
                  </pic:spPr>
                </pic:pic>
              </a:graphicData>
            </a:graphic>
          </wp:anchor>
        </w:drawing>
      </w:r>
    </w:p>
    <w:p>
      <w:pPr>
        <w:spacing w:after="0" w:line="23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Marvin E. Dee, Vice President, Chief</w:t>
      </w:r>
    </w:p>
    <w:p>
      <w:pPr>
        <w:spacing w:after="0" w:line="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Financial Officer, Secretary, Treasurer</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August 14, 2002</w:t>
      </w:r>
    </w:p>
    <w:p>
      <w:pPr>
        <w:spacing w:after="0" w:line="2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726948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Hawkins, Inc. (the “Company”) on Form 10-Q for the period ended June 30, 2002 as filed with the Securities and Exchange Commission on the date hereof (the “Report”), I, John R. Hawkins, Chief Executive Officer of the Company, certify, pursuant to 18 U.S.C. § 1350, as adopted pursuant to § 906 of the Sarbanes-Oxley Act of 2002, that:</w:t>
      </w:r>
    </w:p>
    <w:p>
      <w:pPr>
        <w:spacing w:after="0" w:line="176" w:lineRule="exact"/>
        <w:rPr>
          <w:sz w:val="20"/>
          <w:szCs w:val="20"/>
          <w:color w:val="auto"/>
        </w:rPr>
      </w:pPr>
    </w:p>
    <w:p>
      <w:pPr>
        <w:ind w:left="700" w:hanging="250"/>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8" w:lineRule="exact"/>
        <w:rPr>
          <w:rFonts w:ascii="Times New Roman" w:cs="Times New Roman" w:eastAsia="Times New Roman" w:hAnsi="Times New Roman"/>
          <w:sz w:val="18"/>
          <w:szCs w:val="18"/>
          <w:color w:val="auto"/>
        </w:rPr>
      </w:pPr>
    </w:p>
    <w:p>
      <w:pPr>
        <w:ind w:left="700" w:hanging="250"/>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R. Hawkins</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R. Hawkins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14,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246380</wp:posOffset>
            </wp:positionV>
            <wp:extent cx="726948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Hawkins, Inc. (the “Company”) on Form 10-Q for the period ended June 30, 2002 as filed with the Securities and Exchange Commission on the date hereof (the “Report”), I, Marvin E. Dee, Chief Financial Officer of the Company, certify, pursuant to 18 U.S.C. § 1350, as adopted pursuant to § 906 of the Sarbanes-Oxley Act of 2002, that:</w:t>
      </w:r>
    </w:p>
    <w:p>
      <w:pPr>
        <w:spacing w:after="0" w:line="176" w:lineRule="exact"/>
        <w:rPr>
          <w:sz w:val="20"/>
          <w:szCs w:val="20"/>
          <w:color w:val="auto"/>
        </w:rPr>
      </w:pPr>
    </w:p>
    <w:p>
      <w:pPr>
        <w:ind w:left="700" w:hanging="250"/>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8" w:lineRule="exact"/>
        <w:rPr>
          <w:rFonts w:ascii="Times New Roman" w:cs="Times New Roman" w:eastAsia="Times New Roman" w:hAnsi="Times New Roman"/>
          <w:sz w:val="18"/>
          <w:szCs w:val="18"/>
          <w:color w:val="auto"/>
        </w:rPr>
      </w:pPr>
    </w:p>
    <w:p>
      <w:pPr>
        <w:ind w:left="700" w:hanging="250"/>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Marvin E. Dee</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Marvin E. Dee</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14,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330835</wp:posOffset>
            </wp:positionV>
            <wp:extent cx="726948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sectPr>
      <w:pgSz w:w="11900" w:h="16838" w:orient="portrait"/>
      <w:cols w:equalWidth="0" w:num="1">
        <w:col w:w="11420"/>
      </w:cols>
      <w:pgMar w:left="240" w:top="1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2"/>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2019-12-13T01:51:29Z</dcterms:created>
  <dcterms:modified xsi:type="dcterms:W3CDTF">2019-12-13T01:51:29Z</dcterms:modified>
</cp:coreProperties>
</file>