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27,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Oldenkamp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and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Hawkins,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2381 Rosegate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Roseville, MN 55113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Hawkins,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March 30,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 January 28,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000-07647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Oldenkamp: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4759"/>
        <w:spacing w:after="0" w:line="40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Form 10-K for Fiscal Year Ended March 30, 2025 Notes to Consolidated Financial Statements, page 32</w:t>
      </w: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selling, general and administrative expenses is material to your results of</w:t>
      </w:r>
    </w:p>
    <w:p>
      <w:pPr>
        <w:ind w:right="19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Please consider describing what this line item consists of. Note 14 - Leases, page 45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cash paid for amounts included in the measurement of lease liabilities</w:t>
      </w:r>
    </w:p>
    <w:p>
      <w:pPr>
        <w:ind w:right="601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ASC 842-20-50-4.g.1. Note 15 - Segment Information, page 45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here there are no intersegment sales. On page 1 under Business you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Industrial Group ("Industrial") repackages water treatment chemicals for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Water Treatment Group ("Water Treatment"), there are significant synergies between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Water Treatment and Industrial regarding chemicals sold by Water Treatment derived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large volume of chemicals purchased by Industrial, and Water Treatment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Industrial share certain resources. In view of this, please describe for us and disclose as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27, 2026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the relationship between these two groups such that no intersegment sales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occur. Also, describe for us and disclose as appropriate how the costs of resources shared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between these groups and chemicals purchased by Industrial on behalf of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Water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 are assigned to the appropriate segment.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 January 28, 2026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page 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caption "Third Quarter Fiscal Year 2026 Highlights," for the non-GAAP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Adjusted EBITDA, please present the most directly comparable GAAP measure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net income with equal or greater prominence. Refer to Question 102.10(a) of the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Interpretations on Non-GAAP Financial Measures.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 Shapiro at 202-551-3273 or Doug Jones at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202-551-3309 with any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2026-05-26T23:32:06Z</dcterms:created>
  <dcterms:modified xsi:type="dcterms:W3CDTF">2026-05-26T23:32:06Z</dcterms:modified>
</cp:coreProperties>
</file>