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1"/>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29"/>
                <w:szCs w:val="29"/>
                <w:b w:val="1"/>
                <w:bCs w:val="1"/>
                <w:color w:val="auto"/>
                <w:w w:val="97"/>
              </w:rPr>
              <w:t>UNITED STATES</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10240" w:type="dxa"/>
            <w:vAlign w:val="bottom"/>
            <w:gridSpan w:val="4"/>
          </w:tcPr>
          <w:p>
            <w:pPr>
              <w:jc w:val="center"/>
              <w:ind w:right="960"/>
              <w:spacing w:after="0"/>
              <w:rPr>
                <w:sz w:val="20"/>
                <w:szCs w:val="20"/>
                <w:color w:val="auto"/>
              </w:rPr>
            </w:pPr>
            <w:r>
              <w:rPr>
                <w:rFonts w:ascii="Arial" w:cs="Arial" w:eastAsia="Arial" w:hAnsi="Arial"/>
                <w:sz w:val="29"/>
                <w:szCs w:val="29"/>
                <w:b w:val="1"/>
                <w:bCs w:val="1"/>
                <w:color w:val="auto"/>
                <w:w w:val="99"/>
              </w:rPr>
              <w:t>SECURITIES AND EXCHANGE COMMISSION</w:t>
            </w:r>
          </w:p>
        </w:tc>
        <w:tc>
          <w:tcPr>
            <w:tcW w:w="0" w:type="dxa"/>
            <w:vAlign w:val="bottom"/>
          </w:tcPr>
          <w:p>
            <w:pPr>
              <w:spacing w:after="0"/>
              <w:rPr>
                <w:sz w:val="1"/>
                <w:szCs w:val="1"/>
                <w:color w:val="auto"/>
              </w:rPr>
            </w:pPr>
          </w:p>
        </w:tc>
      </w:tr>
      <w:tr>
        <w:trPr>
          <w:trHeight w:val="255"/>
        </w:trPr>
        <w:tc>
          <w:tcPr>
            <w:tcW w:w="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74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b w:val="1"/>
                <w:bCs w:val="1"/>
                <w:color w:val="auto"/>
                <w:w w:val="99"/>
              </w:rPr>
              <w:t>WASHINGTON, D.C. 20549</w:t>
            </w:r>
          </w:p>
        </w:tc>
        <w:tc>
          <w:tcPr>
            <w:tcW w:w="720" w:type="dxa"/>
            <w:vAlign w:val="bottom"/>
            <w:tcBorders>
              <w:bottom w:val="single" w:sz="8" w:color="auto"/>
            </w:tcBorders>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40" w:type="dxa"/>
            <w:vAlign w:val="bottom"/>
            <w:tcBorders>
              <w:bottom w:val="single" w:sz="8" w:color="auto"/>
            </w:tcBorders>
          </w:tcPr>
          <w:p>
            <w:pPr>
              <w:jc w:val="center"/>
              <w:ind w:left="594"/>
              <w:spacing w:after="0"/>
              <w:rPr>
                <w:sz w:val="20"/>
                <w:szCs w:val="20"/>
                <w:color w:val="auto"/>
              </w:rPr>
            </w:pPr>
            <w:r>
              <w:rPr>
                <w:rFonts w:ascii="Arial" w:cs="Arial" w:eastAsia="Arial" w:hAnsi="Arial"/>
                <w:sz w:val="29"/>
                <w:szCs w:val="29"/>
                <w:b w:val="1"/>
                <w:bCs w:val="1"/>
                <w:color w:val="auto"/>
                <w:w w:val="98"/>
              </w:rPr>
              <w:t>FORM 10-Q</w:t>
            </w:r>
          </w:p>
        </w:tc>
        <w:tc>
          <w:tcPr>
            <w:tcW w:w="72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0240" w:type="dxa"/>
            <w:vAlign w:val="bottom"/>
            <w:gridSpan w:val="4"/>
          </w:tcPr>
          <w:p>
            <w:pPr>
              <w:jc w:val="center"/>
              <w:ind w:right="4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c>
          <w:tcPr>
            <w:tcW w:w="0" w:type="dxa"/>
            <w:vAlign w:val="bottom"/>
          </w:tcPr>
          <w:p>
            <w:pPr>
              <w:spacing w:after="0"/>
              <w:rPr>
                <w:sz w:val="1"/>
                <w:szCs w:val="1"/>
                <w:color w:val="auto"/>
              </w:rPr>
            </w:pPr>
          </w:p>
        </w:tc>
      </w:tr>
      <w:tr>
        <w:trPr>
          <w:trHeight w:val="273"/>
        </w:trPr>
        <w:tc>
          <w:tcPr>
            <w:tcW w:w="9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c>
          <w:tcPr>
            <w:tcW w:w="0" w:type="dxa"/>
            <w:vAlign w:val="bottom"/>
          </w:tcPr>
          <w:p>
            <w:pPr>
              <w:spacing w:after="0"/>
              <w:rPr>
                <w:sz w:val="1"/>
                <w:szCs w:val="1"/>
                <w:color w:val="auto"/>
              </w:rPr>
            </w:pPr>
          </w:p>
        </w:tc>
      </w:tr>
      <w:tr>
        <w:trPr>
          <w:trHeight w:val="464"/>
        </w:trPr>
        <w:tc>
          <w:tcPr>
            <w:tcW w:w="9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For the quarterly period ended June 29, 2025</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60" w:type="dxa"/>
            <w:vAlign w:val="bottom"/>
            <w:vMerge w:val="continue"/>
          </w:tcPr>
          <w:p>
            <w:pPr>
              <w:spacing w:after="0"/>
              <w:rPr>
                <w:sz w:val="22"/>
                <w:szCs w:val="22"/>
                <w:color w:val="auto"/>
              </w:rPr>
            </w:pPr>
          </w:p>
        </w:tc>
        <w:tc>
          <w:tcPr>
            <w:tcW w:w="10240" w:type="dxa"/>
            <w:vAlign w:val="bottom"/>
            <w:gridSpan w:val="4"/>
          </w:tcPr>
          <w:p>
            <w:pPr>
              <w:jc w:val="center"/>
              <w:ind w:right="4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c>
          <w:tcPr>
            <w:tcW w:w="0" w:type="dxa"/>
            <w:vAlign w:val="bottom"/>
          </w:tcPr>
          <w:p>
            <w:pPr>
              <w:spacing w:after="0"/>
              <w:rPr>
                <w:sz w:val="1"/>
                <w:szCs w:val="1"/>
                <w:color w:val="auto"/>
              </w:rPr>
            </w:pPr>
          </w:p>
        </w:tc>
      </w:tr>
      <w:tr>
        <w:trPr>
          <w:trHeight w:val="273"/>
        </w:trPr>
        <w:tc>
          <w:tcPr>
            <w:tcW w:w="9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c>
          <w:tcPr>
            <w:tcW w:w="0" w:type="dxa"/>
            <w:vAlign w:val="bottom"/>
          </w:tcPr>
          <w:p>
            <w:pPr>
              <w:spacing w:after="0"/>
              <w:rPr>
                <w:sz w:val="1"/>
                <w:szCs w:val="1"/>
                <w:color w:val="auto"/>
              </w:rPr>
            </w:pPr>
          </w:p>
        </w:tc>
      </w:tr>
      <w:tr>
        <w:trPr>
          <w:trHeight w:val="409"/>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Commission file number 0-7647</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32"/>
                <w:szCs w:val="32"/>
                <w:b w:val="1"/>
                <w:bCs w:val="1"/>
                <w:color w:val="auto"/>
              </w:rPr>
              <w:t>HAWKINS, INC.</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jc w:val="center"/>
              <w:ind w:right="2934"/>
              <w:spacing w:after="0"/>
              <w:rPr>
                <w:sz w:val="20"/>
                <w:szCs w:val="20"/>
                <w:color w:val="auto"/>
              </w:rPr>
            </w:pPr>
            <w:r>
              <w:rPr>
                <w:rFonts w:ascii="Arial" w:cs="Arial" w:eastAsia="Arial" w:hAnsi="Arial"/>
                <w:sz w:val="18"/>
                <w:szCs w:val="18"/>
                <w:b w:val="1"/>
                <w:bCs w:val="1"/>
                <w:color w:val="auto"/>
              </w:rPr>
              <w:t>Minnesota</w:t>
            </w:r>
          </w:p>
        </w:tc>
        <w:tc>
          <w:tcPr>
            <w:tcW w:w="358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8"/>
                <w:szCs w:val="18"/>
                <w:b w:val="1"/>
                <w:bCs w:val="1"/>
                <w:color w:val="auto"/>
                <w:w w:val="99"/>
              </w:rPr>
              <w:t>41-0771293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660" w:type="dxa"/>
            <w:vAlign w:val="bottom"/>
            <w:gridSpan w:val="2"/>
          </w:tcPr>
          <w:p>
            <w:pPr>
              <w:jc w:val="center"/>
              <w:ind w:right="293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580" w:type="dxa"/>
            <w:vAlign w:val="bottom"/>
            <w:gridSpan w:val="2"/>
          </w:tcPr>
          <w:p>
            <w:pPr>
              <w:jc w:val="center"/>
              <w:ind w:right="1740"/>
              <w:spacing w:after="0" w:line="142"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660" w:type="dxa"/>
            <w:vAlign w:val="bottom"/>
            <w:gridSpan w:val="2"/>
          </w:tcPr>
          <w:p>
            <w:pPr>
              <w:jc w:val="center"/>
              <w:ind w:right="2934"/>
              <w:spacing w:after="0"/>
              <w:rPr>
                <w:sz w:val="20"/>
                <w:szCs w:val="20"/>
                <w:color w:val="auto"/>
              </w:rPr>
            </w:pPr>
            <w:r>
              <w:rPr>
                <w:rFonts w:ascii="Arial" w:cs="Arial" w:eastAsia="Arial" w:hAnsi="Arial"/>
                <w:sz w:val="14"/>
                <w:szCs w:val="14"/>
                <w:b w:val="1"/>
                <w:bCs w:val="1"/>
                <w:color w:val="auto"/>
              </w:rPr>
              <w:t>incorporation or organization)</w:t>
            </w:r>
          </w:p>
        </w:tc>
        <w:tc>
          <w:tcPr>
            <w:tcW w:w="35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96"/>
        </w:trPr>
        <w:tc>
          <w:tcPr>
            <w:tcW w:w="960" w:type="dxa"/>
            <w:vAlign w:val="bottom"/>
          </w:tcPr>
          <w:p>
            <w:pPr>
              <w:spacing w:after="0"/>
              <w:rPr>
                <w:sz w:val="24"/>
                <w:szCs w:val="24"/>
                <w:color w:val="auto"/>
              </w:rPr>
            </w:pPr>
          </w:p>
        </w:tc>
        <w:tc>
          <w:tcPr>
            <w:tcW w:w="6660" w:type="dxa"/>
            <w:vAlign w:val="bottom"/>
            <w:gridSpan w:val="2"/>
          </w:tcPr>
          <w:p>
            <w:pPr>
              <w:jc w:val="center"/>
              <w:ind w:right="1654"/>
              <w:spacing w:after="0"/>
              <w:rPr>
                <w:sz w:val="20"/>
                <w:szCs w:val="20"/>
                <w:color w:val="auto"/>
              </w:rPr>
            </w:pPr>
            <w:r>
              <w:rPr>
                <w:rFonts w:ascii="Arial" w:cs="Arial" w:eastAsia="Arial" w:hAnsi="Arial"/>
                <w:sz w:val="18"/>
                <w:szCs w:val="18"/>
                <w:b w:val="1"/>
                <w:bCs w:val="1"/>
                <w:color w:val="auto"/>
                <w:w w:val="99"/>
              </w:rPr>
              <w:t>2381 Rosegate, Roseville, Minnesota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6660" w:type="dxa"/>
            <w:vAlign w:val="bottom"/>
            <w:gridSpan w:val="2"/>
          </w:tcPr>
          <w:p>
            <w:pPr>
              <w:jc w:val="center"/>
              <w:ind w:right="1634"/>
              <w:spacing w:after="0"/>
              <w:rPr>
                <w:sz w:val="20"/>
                <w:szCs w:val="20"/>
                <w:color w:val="auto"/>
              </w:rPr>
            </w:pPr>
            <w:r>
              <w:rPr>
                <w:rFonts w:ascii="Arial" w:cs="Arial" w:eastAsia="Arial" w:hAnsi="Arial"/>
                <w:sz w:val="14"/>
                <w:szCs w:val="14"/>
                <w:b w:val="1"/>
                <w:bCs w:val="1"/>
                <w:color w:val="auto"/>
              </w:rPr>
              <w:t>(Address of principal executive offices)</w:t>
            </w:r>
          </w:p>
        </w:tc>
        <w:tc>
          <w:tcPr>
            <w:tcW w:w="358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3"/>
        </w:trPr>
        <w:tc>
          <w:tcPr>
            <w:tcW w:w="960" w:type="dxa"/>
            <w:vAlign w:val="bottom"/>
          </w:tcPr>
          <w:p>
            <w:pPr>
              <w:spacing w:after="0"/>
              <w:rPr>
                <w:sz w:val="24"/>
                <w:szCs w:val="24"/>
                <w:color w:val="auto"/>
              </w:rPr>
            </w:pPr>
          </w:p>
        </w:tc>
        <w:tc>
          <w:tcPr>
            <w:tcW w:w="6660" w:type="dxa"/>
            <w:vAlign w:val="bottom"/>
            <w:gridSpan w:val="2"/>
          </w:tcPr>
          <w:p>
            <w:pPr>
              <w:jc w:val="center"/>
              <w:ind w:left="2528"/>
              <w:spacing w:after="0"/>
              <w:rPr>
                <w:sz w:val="20"/>
                <w:szCs w:val="20"/>
                <w:color w:val="auto"/>
              </w:rPr>
            </w:pPr>
            <w:r>
              <w:rPr>
                <w:rFonts w:ascii="Arial" w:cs="Arial" w:eastAsia="Arial" w:hAnsi="Arial"/>
                <w:sz w:val="18"/>
                <w:szCs w:val="18"/>
                <w:b w:val="1"/>
                <w:bCs w:val="1"/>
                <w:color w:val="auto"/>
              </w:rPr>
              <w:t>(612) 331-6910</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7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2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The Nasdaq Stock Market LLC</w:t>
            </w:r>
          </w:p>
        </w:tc>
      </w:tr>
    </w:tbl>
    <w:p>
      <w:pPr>
        <w:spacing w:after="0" w:line="226" w:lineRule="exact"/>
        <w:rPr>
          <w:sz w:val="24"/>
          <w:szCs w:val="24"/>
          <w:color w:val="auto"/>
        </w:rPr>
      </w:pPr>
    </w:p>
    <w:p>
      <w:pPr>
        <w:ind w:right="10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5"/>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4"/>
                <w:szCs w:val="14"/>
                <w:color w:val="auto"/>
              </w:rPr>
              <w:t>CLASS</w:t>
            </w:r>
          </w:p>
        </w:tc>
        <w:tc>
          <w:tcPr>
            <w:tcW w:w="6080" w:type="dxa"/>
            <w:vAlign w:val="bottom"/>
            <w:gridSpan w:val="2"/>
          </w:tcPr>
          <w:p>
            <w:pPr>
              <w:jc w:val="center"/>
              <w:ind w:right="1260"/>
              <w:spacing w:after="0"/>
              <w:rPr>
                <w:sz w:val="20"/>
                <w:szCs w:val="20"/>
                <w:color w:val="auto"/>
              </w:rPr>
            </w:pPr>
            <w:r>
              <w:rPr>
                <w:rFonts w:ascii="Arial" w:cs="Arial" w:eastAsia="Arial" w:hAnsi="Arial"/>
                <w:sz w:val="14"/>
                <w:szCs w:val="14"/>
                <w:color w:val="auto"/>
              </w:rPr>
              <w:t>Shares Outstanding at July 25, 2025</w:t>
            </w:r>
          </w:p>
        </w:tc>
      </w:tr>
      <w:tr>
        <w:trPr>
          <w:trHeight w:val="236"/>
        </w:trPr>
        <w:tc>
          <w:tcPr>
            <w:tcW w:w="4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300" w:type="dxa"/>
            <w:vAlign w:val="bottom"/>
          </w:tcPr>
          <w:p>
            <w:pPr>
              <w:spacing w:after="0"/>
              <w:rPr>
                <w:sz w:val="20"/>
                <w:szCs w:val="20"/>
                <w:color w:val="auto"/>
              </w:rPr>
            </w:pPr>
          </w:p>
        </w:tc>
        <w:tc>
          <w:tcPr>
            <w:tcW w:w="4820" w:type="dxa"/>
            <w:vAlign w:val="bottom"/>
            <w:tcBorders>
              <w:top w:val="single" w:sz="8" w:color="auto"/>
            </w:tcBorders>
          </w:tcPr>
          <w:p>
            <w:pPr>
              <w:jc w:val="right"/>
              <w:ind w:right="1879"/>
              <w:spacing w:after="0"/>
              <w:rPr>
                <w:sz w:val="20"/>
                <w:szCs w:val="20"/>
                <w:color w:val="auto"/>
              </w:rPr>
            </w:pPr>
            <w:r>
              <w:rPr>
                <w:rFonts w:ascii="Arial" w:cs="Arial" w:eastAsia="Arial" w:hAnsi="Arial"/>
                <w:sz w:val="18"/>
                <w:szCs w:val="18"/>
                <w:color w:val="auto"/>
              </w:rPr>
              <w:t>20,877,130</w:t>
            </w:r>
          </w:p>
        </w:tc>
        <w:tc>
          <w:tcPr>
            <w:tcW w:w="1260" w:type="dxa"/>
            <w:vAlign w:val="bottom"/>
          </w:tcPr>
          <w:p>
            <w:pPr>
              <w:spacing w:after="0"/>
              <w:rPr>
                <w:sz w:val="20"/>
                <w:szCs w:val="20"/>
                <w:color w:val="auto"/>
              </w:rPr>
            </w:pPr>
          </w:p>
        </w:tc>
      </w:tr>
      <w:tr>
        <w:trPr>
          <w:trHeight w:val="112"/>
        </w:trPr>
        <w:tc>
          <w:tcPr>
            <w:tcW w:w="4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45"/>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60" w:type="dxa"/>
            <w:vAlign w:val="bottom"/>
            <w:gridSpan w:val="22"/>
          </w:tcPr>
          <w:p>
            <w:pPr>
              <w:spacing w:after="0"/>
              <w:rPr>
                <w:sz w:val="20"/>
                <w:szCs w:val="20"/>
                <w:color w:val="auto"/>
              </w:rPr>
            </w:pPr>
            <w:r>
              <w:rPr>
                <w:rFonts w:ascii="Arial" w:cs="Arial" w:eastAsia="Arial" w:hAnsi="Arial"/>
                <w:sz w:val="18"/>
                <w:szCs w:val="18"/>
                <w:b w:val="1"/>
                <w:bCs w:val="1"/>
                <w:color w:val="0000FF"/>
              </w:rPr>
              <w:t>FINANCIAL INFORMATION</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460" w:type="dxa"/>
            <w:vAlign w:val="bottom"/>
            <w:gridSpan w:val="10"/>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816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 June 29, 2025 and March 30, 2025</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Income – Three Months Ended June 29, 2025 and</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155"/>
        </w:trPr>
        <w:tc>
          <w:tcPr>
            <w:tcW w:w="1120" w:type="dxa"/>
            <w:vAlign w:val="bottom"/>
          </w:tcPr>
          <w:p>
            <w:pPr>
              <w:spacing w:after="0"/>
              <w:rPr>
                <w:sz w:val="13"/>
                <w:szCs w:val="13"/>
                <w:color w:val="auto"/>
              </w:rPr>
            </w:pPr>
          </w:p>
        </w:tc>
        <w:tc>
          <w:tcPr>
            <w:tcW w:w="72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June 30, 2024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Comprehensive Income – Three Months Ended June</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155"/>
        </w:trPr>
        <w:tc>
          <w:tcPr>
            <w:tcW w:w="1120" w:type="dxa"/>
            <w:vAlign w:val="bottom"/>
          </w:tcPr>
          <w:p>
            <w:pPr>
              <w:spacing w:after="0"/>
              <w:rPr>
                <w:sz w:val="13"/>
                <w:szCs w:val="13"/>
                <w:color w:val="auto"/>
              </w:rPr>
            </w:pPr>
          </w:p>
        </w:tc>
        <w:tc>
          <w:tcPr>
            <w:tcW w:w="746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29, 2025 and June 30, 2024</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Shareholders' Equity – Three Months Ended June 29,</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155"/>
        </w:trPr>
        <w:tc>
          <w:tcPr>
            <w:tcW w:w="11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2025 and June 30, 2024</w:t>
            </w:r>
          </w:p>
        </w:tc>
        <w:tc>
          <w:tcPr>
            <w:tcW w:w="5540" w:type="dxa"/>
            <w:vAlign w:val="bottom"/>
            <w:tcBorders>
              <w:top w:val="single" w:sz="8" w:color="0000FF"/>
            </w:tcBorders>
            <w:gridSpan w:val="13"/>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1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 Three Months Ended June 29, 2025</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155"/>
        </w:trPr>
        <w:tc>
          <w:tcPr>
            <w:tcW w:w="11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and June 30, 2024</w:t>
            </w:r>
          </w:p>
        </w:tc>
        <w:tc>
          <w:tcPr>
            <w:tcW w:w="5760" w:type="dxa"/>
            <w:vAlign w:val="bottom"/>
            <w:tcBorders>
              <w:top w:val="single" w:sz="8" w:color="0000FF"/>
            </w:tcBorders>
            <w:gridSpan w:val="14"/>
          </w:tcPr>
          <w:p>
            <w:pPr>
              <w:spacing w:after="0"/>
              <w:rPr>
                <w:sz w:val="13"/>
                <w:szCs w:val="13"/>
                <w:color w:val="auto"/>
              </w:rPr>
            </w:pPr>
          </w:p>
        </w:tc>
        <w:tc>
          <w:tcPr>
            <w:tcW w:w="90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4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680" w:type="dxa"/>
            <w:vAlign w:val="bottom"/>
            <w:gridSpan w:val="9"/>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15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tcBorders>
              <w:top w:val="single" w:sz="8" w:color="0000FF"/>
            </w:tcBorders>
            <w:gridSpan w:val="3"/>
          </w:tcPr>
          <w:p>
            <w:pPr>
              <w:spacing w:after="0"/>
              <w:rPr>
                <w:sz w:val="22"/>
                <w:szCs w:val="22"/>
                <w:color w:val="auto"/>
              </w:rPr>
            </w:pPr>
          </w:p>
        </w:tc>
        <w:tc>
          <w:tcPr>
            <w:tcW w:w="108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160" w:type="dxa"/>
            <w:vAlign w:val="bottom"/>
            <w:gridSpan w:val="13"/>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OTHER INFORMATION</w:t>
            </w:r>
          </w:p>
        </w:tc>
        <w:tc>
          <w:tcPr>
            <w:tcW w:w="6200" w:type="dxa"/>
            <w:vAlign w:val="bottom"/>
            <w:gridSpan w:val="15"/>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6660" w:type="dxa"/>
            <w:vAlign w:val="bottom"/>
            <w:gridSpan w:val="17"/>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18</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300" w:type="dxa"/>
            <w:vAlign w:val="bottom"/>
            <w:gridSpan w:val="7"/>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600" w:type="dxa"/>
            <w:vAlign w:val="bottom"/>
            <w:gridSpan w:val="11"/>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Mine Safety Disclosures</w:t>
            </w:r>
          </w:p>
        </w:tc>
        <w:tc>
          <w:tcPr>
            <w:tcW w:w="6220" w:type="dxa"/>
            <w:vAlign w:val="bottom"/>
            <w:gridSpan w:val="16"/>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0000FF"/>
              </w:rPr>
              <w:t>18</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22"/>
                <w:szCs w:val="22"/>
                <w:color w:val="auto"/>
              </w:rPr>
            </w:pPr>
          </w:p>
        </w:tc>
        <w:tc>
          <w:tcPr>
            <w:tcW w:w="6760" w:type="dxa"/>
            <w:vAlign w:val="bottom"/>
            <w:gridSpan w:val="18"/>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90" w:right="1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4"/>
                <w:szCs w:val="14"/>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140,107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131,795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256,423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230,691</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420,953</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195,667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218,899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135,409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150,121</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Deferred compensation plan asset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488,466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313,890</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988,274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62,792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61,195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employee benefits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Environmental remediation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110,934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107,135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288,281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138,906</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lease liability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Pension withdrawal liability</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22,356</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Deferred compensation liability</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13,132</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Earnout liabilities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12,604</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202,440</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503,702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309,575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authorized: 60,000,000 shares of $0.01 par value; 20,717,850 and 20,684,621 shares</w:t>
            </w:r>
          </w:p>
        </w:tc>
        <w:tc>
          <w:tcPr>
            <w:tcW w:w="3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June 29, 2025 and March 30, 2025, respectively</w:t>
            </w: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24,094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484,572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988,274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769,867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39"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140"/>
              <w:spacing w:after="0" w:line="147" w:lineRule="exact"/>
              <w:rPr>
                <w:sz w:val="20"/>
                <w:szCs w:val="20"/>
                <w:color w:val="auto"/>
              </w:rPr>
            </w:pPr>
            <w:r>
              <w:rPr>
                <w:rFonts w:ascii="Arial" w:cs="Arial" w:eastAsia="Arial" w:hAnsi="Arial"/>
                <w:sz w:val="14"/>
                <w:szCs w:val="14"/>
                <w:b w:val="1"/>
                <w:bCs w:val="1"/>
                <w:color w:val="auto"/>
              </w:rPr>
              <w:t>June 29,</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12"/>
              <w:spacing w:after="0" w:line="147" w:lineRule="exact"/>
              <w:rPr>
                <w:sz w:val="20"/>
                <w:szCs w:val="20"/>
                <w:color w:val="auto"/>
              </w:rPr>
            </w:pPr>
            <w:r>
              <w:rPr>
                <w:rFonts w:ascii="Arial" w:cs="Arial" w:eastAsia="Arial" w:hAnsi="Arial"/>
                <w:sz w:val="14"/>
                <w:szCs w:val="14"/>
                <w:b w:val="1"/>
                <w:bCs w:val="1"/>
                <w:color w:val="auto"/>
              </w:rPr>
              <w:t>June 30,</w:t>
            </w:r>
          </w:p>
        </w:tc>
      </w:tr>
      <w:tr>
        <w:trPr>
          <w:trHeight w:val="185"/>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255,879</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39,791</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38,687</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28,879</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20,717,485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20,816,479</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20,914,085</w:t>
            </w:r>
          </w:p>
        </w:tc>
      </w:tr>
      <w:tr>
        <w:trPr>
          <w:trHeight w:val="270"/>
        </w:trPr>
        <w:tc>
          <w:tcPr>
            <w:tcW w:w="8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8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9"/>
        </w:trPr>
        <w:tc>
          <w:tcPr>
            <w:tcW w:w="838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8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2"/>
                <w:szCs w:val="12"/>
                <w:color w:val="auto"/>
              </w:rPr>
            </w:pPr>
          </w:p>
        </w:tc>
        <w:tc>
          <w:tcPr>
            <w:tcW w:w="1080" w:type="dxa"/>
            <w:vAlign w:val="bottom"/>
          </w:tcPr>
          <w:p>
            <w:pPr>
              <w:jc w:val="right"/>
              <w:ind w:right="297"/>
              <w:spacing w:after="0" w:line="147" w:lineRule="exact"/>
              <w:rPr>
                <w:sz w:val="20"/>
                <w:szCs w:val="20"/>
                <w:color w:val="auto"/>
              </w:rPr>
            </w:pPr>
            <w:r>
              <w:rPr>
                <w:rFonts w:ascii="Arial" w:cs="Arial" w:eastAsia="Arial" w:hAnsi="Arial"/>
                <w:sz w:val="14"/>
                <w:szCs w:val="14"/>
                <w:b w:val="1"/>
                <w:bCs w:val="1"/>
                <w:color w:val="auto"/>
              </w:rPr>
              <w:t>June 30,</w:t>
            </w:r>
          </w:p>
        </w:tc>
      </w:tr>
      <w:tr>
        <w:trPr>
          <w:trHeight w:val="185"/>
        </w:trPr>
        <w:tc>
          <w:tcPr>
            <w:tcW w:w="8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28,773</w:t>
            </w:r>
          </w:p>
        </w:tc>
      </w:tr>
      <w:tr>
        <w:trPr>
          <w:trHeight w:val="21"/>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00" w:type="dxa"/>
            <w:vAlign w:val="bottom"/>
            <w:gridSpan w:val="5"/>
          </w:tcPr>
          <w:p>
            <w:pPr>
              <w:ind w:left="5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4"/>
                <w:szCs w:val="4"/>
                <w:color w:val="auto"/>
              </w:rPr>
            </w:pPr>
          </w:p>
        </w:tc>
        <w:tc>
          <w:tcPr>
            <w:tcW w:w="10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Retained</w:t>
            </w:r>
          </w:p>
        </w:tc>
        <w:tc>
          <w:tcPr>
            <w:tcW w:w="152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2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20,684,621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434,259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($0.18</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61,819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line="183" w:lineRule="exact"/>
              <w:rPr>
                <w:sz w:val="20"/>
                <w:szCs w:val="20"/>
                <w:color w:val="auto"/>
              </w:rPr>
            </w:pPr>
            <w:r>
              <w:rPr>
                <w:rFonts w:ascii="Arial" w:cs="Arial" w:eastAsia="Arial" w:hAnsi="Arial"/>
                <w:sz w:val="16"/>
                <w:szCs w:val="16"/>
                <w:color w:val="auto"/>
              </w:rPr>
              <w:t>BALANCE — June 29, 2025</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20,717,850</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23,277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459,680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1,408</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66"/>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484,572</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83" w:lineRule="exact"/>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00" w:type="dxa"/>
            <w:vAlign w:val="bottom"/>
            <w:gridSpan w:val="5"/>
          </w:tcPr>
          <w:p>
            <w:pPr>
              <w:ind w:left="5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4"/>
                <w:szCs w:val="4"/>
                <w:color w:val="auto"/>
              </w:rPr>
            </w:pPr>
          </w:p>
        </w:tc>
        <w:tc>
          <w:tcPr>
            <w:tcW w:w="10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Retained</w:t>
            </w:r>
          </w:p>
        </w:tc>
        <w:tc>
          <w:tcPr>
            <w:tcW w:w="152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2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20,790,261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($0.16</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83,658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jc w:val="right"/>
              <w:spacing w:after="0"/>
              <w:rPr>
                <w:sz w:val="20"/>
                <w:szCs w:val="20"/>
                <w:color w:val="auto"/>
              </w:rPr>
            </w:pPr>
            <w:r>
              <w:rPr>
                <w:rFonts w:ascii="Arial" w:cs="Arial" w:eastAsia="Arial" w:hAnsi="Arial"/>
                <w:sz w:val="16"/>
                <w:szCs w:val="16"/>
                <w:color w:val="auto"/>
              </w:rPr>
              <w:t>(105,541)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35"/>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20,734,331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390,070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line="155" w:lineRule="exact"/>
              <w:rPr>
                <w:sz w:val="20"/>
                <w:szCs w:val="20"/>
                <w:color w:val="auto"/>
              </w:rPr>
            </w:pPr>
            <w:r>
              <w:rPr>
                <w:rFonts w:ascii="Arial" w:cs="Arial" w:eastAsia="Arial" w:hAnsi="Arial"/>
                <w:sz w:val="16"/>
                <w:szCs w:val="16"/>
                <w:b w:val="1"/>
                <w:bCs w:val="1"/>
                <w:color w:val="auto"/>
              </w:rPr>
              <w:t>June 29,</w:t>
            </w:r>
          </w:p>
        </w:tc>
        <w:tc>
          <w:tcPr>
            <w:tcW w:w="260" w:type="dxa"/>
            <w:vAlign w:val="bottom"/>
          </w:tcPr>
          <w:p>
            <w:pPr>
              <w:spacing w:after="0"/>
              <w:rPr>
                <w:sz w:val="13"/>
                <w:szCs w:val="13"/>
                <w:color w:val="auto"/>
              </w:rPr>
            </w:pPr>
          </w:p>
        </w:tc>
        <w:tc>
          <w:tcPr>
            <w:tcW w:w="122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29,175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28,879</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9,329</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earnout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deferred compensation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Trade receivables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(6,037)</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(8,949)</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Lease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9,808</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09"/>
        </w:trPr>
        <w:tc>
          <w:tcPr>
            <w:tcW w:w="806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17,586</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(10,649)</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(25,400)</w:t>
            </w:r>
          </w:p>
        </w:tc>
      </w:tr>
      <w:tr>
        <w:trPr>
          <w:trHeight w:val="21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(35,804)</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(9,149)</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debt issuance costs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w:t>
            </w:r>
          </w:p>
        </w:tc>
      </w:tr>
      <w:tr>
        <w:trPr>
          <w:trHeight w:val="210"/>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19,952</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1,734</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7,153</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4"/>
        </w:trPr>
        <w:tc>
          <w:tcPr>
            <w:tcW w:w="8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1,015</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71" w:lineRule="exact"/>
        <w:rPr>
          <w:sz w:val="20"/>
          <w:szCs w:val="20"/>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March 30, 2025</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June 29, 2025 are not necessarily indicative of the results that may be expected for the full year.</w:t>
      </w:r>
    </w:p>
    <w:p>
      <w:pPr>
        <w:spacing w:after="0" w:line="7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used in this Form 10-Q, except where otherwise stated or indicated by the context, "Hawkins," "we," "us," the Company," or "our" means Hawkins, Inc. and its subsidiaries. References to "fiscal 2024" refer to the fiscal year ended March 31, 2024, references to "fiscal 2025" refer to the fiscal year ended March 30, 2025, and references to "fiscal 2026" refer to the fiscal year ending March 29, 2026.</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Effective beginning with the first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and type of customer. Information presented in this quarterly report has been recast to align with the new segments. Additional information regarding these new segments is set forth in Note 13 - Segment Information.</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71" w:lineRule="exact"/>
        <w:rPr>
          <w:sz w:val="20"/>
          <w:szCs w:val="20"/>
          <w:color w:val="auto"/>
        </w:rPr>
      </w:pPr>
    </w:p>
    <w:p>
      <w:pPr>
        <w:jc w:val="both"/>
        <w:ind w:right="16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 previously filed with the SEC. There has been no significant change in our accounting policies since the end of fiscal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 (ASU No.2023-09)</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adoption of ASU No. 2023-09 is not expected to have a material impact on our consolidated financial statements but will require a lower level of disclosure in our Form 10-K for the year ending March 29, 2026 and in periodic reports thereafter.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 (ASU No.2024-03)</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November 2024, the FASB issued ASU 2024-03, Disaggregation of Income Statement Expenses,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and interim periods within</w:t>
      </w:r>
    </w:p>
    <w:p>
      <w:pPr>
        <w:ind w:right="120"/>
        <w:spacing w:after="0" w:line="237" w:lineRule="auto"/>
        <w:rPr>
          <w:sz w:val="20"/>
          <w:szCs w:val="20"/>
          <w:color w:val="auto"/>
        </w:rPr>
      </w:pPr>
      <w:r>
        <w:rPr>
          <w:rFonts w:ascii="Arial" w:cs="Arial" w:eastAsia="Arial" w:hAnsi="Arial"/>
          <w:sz w:val="18"/>
          <w:szCs w:val="18"/>
          <w:color w:val="auto"/>
        </w:rPr>
        <w:t>fiscal years beginning after December 15, 2027, on a prospective basis, with early adoption and retrospective application permitted. We are currently evaluating the impact of the adoption of this standard on our consolidated financial statement disclosures.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Acquisitions</w:t>
      </w:r>
    </w:p>
    <w:p>
      <w:pPr>
        <w:spacing w:after="0" w:line="185"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color w:val="auto"/>
        </w:rPr>
        <w:t xml:space="preserve">Acquisition of WaterSurplus, Inc.: </w:t>
      </w:r>
      <w:r>
        <w:rPr>
          <w:rFonts w:ascii="Arial" w:cs="Arial" w:eastAsia="Arial" w:hAnsi="Arial"/>
          <w:sz w:val="17"/>
          <w:szCs w:val="17"/>
          <w:color w:val="auto"/>
        </w:rPr>
        <w:t>On April 25, 2025, we acquired substantially all of the assets and assumed certain liabilities of Surplus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Inc. d/b/a WaterSurplus (“WaterSurplus”) for an initial purchase price of approximately $149.9 million under the terms of an</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$53.7 million was discounted and recorded at the estimated present value of $43.0 million. WaterSurplus is based in Rockford, IL and delivers sustainable water treatment solutions to customers throughout the United States. The total purchase price, including the estimated $43.0 million earnout liability, was preliminarily allocated as follows: $78.0 million to customer relationships, to be amortized over 15 years; 6.0 million to trade names, to be amortized over 15 years; $10.0 million to technology, to be amortized over 8 years; $82.7 million to goodwill; 13.1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purchase price allocation is not yet complete due to the timing of the acquisition. The results of operations since the acquisition date and the assets are included in our Water Treatment segment. Costs associated with this transaction were not material and were expensed as incurred.</w:t>
      </w:r>
    </w:p>
    <w:p>
      <w:pPr>
        <w:spacing w:after="0" w:line="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pro forma information has been prepared as if the WaterSurplus acquisition and the borrowing that financed the acquisition had occurred as of the beginning of the fiscal years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(in thousands, except per share data)</w:t>
            </w:r>
          </w:p>
        </w:tc>
        <w:tc>
          <w:tcPr>
            <w:tcW w:w="14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June 29, 2025</w:t>
            </w: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June 30, 2024</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263,673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28,203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25,695</w:t>
            </w:r>
          </w:p>
        </w:tc>
      </w:tr>
      <w:tr>
        <w:trPr>
          <w:trHeight w:val="270"/>
        </w:trPr>
        <w:tc>
          <w:tcPr>
            <w:tcW w:w="8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 forma 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17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unaudited pro forma financial information above is adjusted to reflect the following: (a) interest expense, including amortization of debt issuance costs, related to the approximately $150 million of debt used to fund the acquisition and related purchase of real estate; (b) amortization expense related to the preliminary $94 million of identifiable intangible assets recognized in conjunction with the acquisition; (c) depreciation expense as adjusted for adjusted fixed asset values; (d) remeasurement of the earnout payable at fair value; (e) adjustment to cost of goods sold for the inventory step-up adjustment; (f) adjustment for acquisition costs incurred; (g) elimination of net interest previously reflected on WaterSurplus’ financial statements; and (h) recording income taxes at our effective tax rate for each period.</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Acquisition of Amerochem Corporation: </w:t>
      </w:r>
      <w:r>
        <w:rPr>
          <w:rFonts w:ascii="Arial" w:cs="Arial" w:eastAsia="Arial" w:hAnsi="Arial"/>
          <w:sz w:val="18"/>
          <w:szCs w:val="18"/>
          <w:color w:val="auto"/>
        </w:rPr>
        <w:t>In the fourth quarter of fiscal 2025, we acquired substantially all the assets and assumed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of Amerochem Corporation ("Amerochem") for $44.0 million under the terms of a purchase agreement with Amerochem and its shareholders. Amerochem distributed water treatment chemicals and equipment to its customers primarily throughout North Carolina. The results of operations since the acquisition date and the assets are included in our Water Treatment segment.</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Acquisition of Waterguard, Inc.: </w:t>
      </w:r>
      <w:r>
        <w:rPr>
          <w:rFonts w:ascii="Arial" w:cs="Arial" w:eastAsia="Arial" w:hAnsi="Arial"/>
          <w:sz w:val="18"/>
          <w:szCs w:val="18"/>
          <w:color w:val="auto"/>
        </w:rPr>
        <w:t>In the third quarter of fiscal 2025, we acquired substantially all the assets and assumed certain liabilities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Waterguard, Inc. ("Water Guard") for $18.0 million under the terms of a purchase agreement with Water Guard and its shareholders. Water Guard distributed water treatment chemicals and equipment to its customers primarily throughout North Carolina. The results of operations since the acquisition date and the assets are included in our Water Treatment segment.</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Acquisition of Wofford Water Service, Inc.: </w:t>
      </w:r>
      <w:r>
        <w:rPr>
          <w:rFonts w:ascii="Arial" w:cs="Arial" w:eastAsia="Arial" w:hAnsi="Arial"/>
          <w:sz w:val="18"/>
          <w:szCs w:val="18"/>
          <w:color w:val="auto"/>
        </w:rPr>
        <w:t>In the first quarter of fiscal 2025, we acquired substantially all the assets and assumed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of Wofford Water Service, Inc. ("Wofford") for $3.4 million under the terms of a purchase agreement with Wofford and its shareholders. Wofford distributed water treatment chemicals and equipment to customers mainly in Mississippi. The results of operations since the acquisition date and the assets are included in our Water Treatment segment.</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b w:val="1"/>
          <w:bCs w:val="1"/>
          <w:color w:val="auto"/>
        </w:rPr>
        <w:t xml:space="preserve">Acquisition of Intercoastal Trading, Inc.: </w:t>
      </w:r>
      <w:r>
        <w:rPr>
          <w:rFonts w:ascii="Arial" w:cs="Arial" w:eastAsia="Arial" w:hAnsi="Arial"/>
          <w:sz w:val="17"/>
          <w:szCs w:val="17"/>
          <w:color w:val="auto"/>
        </w:rPr>
        <w:t>In the first quarter of fiscal 2025, we acquired substantially all the assets and assumed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of Intercoastal Trading, Inc. and certain related entities ("Intercoastal") for $22.0 million under the terms of a purchase agreement with Intercoastal and its shareholders. Intercoastal distributed water treatment chemicals and equipment to its customers in Maryland, Delaware and Virginia. The results of operations since the acquisition date and the assets are included in our Water Treatment segment.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Revenue</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The following tables disaggregate external customer net sales by major revenue stream as reviewed internally for the three months ended June 29, 2025 and June 30,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June 29, 2025</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Water</w:t>
            </w:r>
          </w:p>
        </w:tc>
        <w:tc>
          <w:tcPr>
            <w:tcW w:w="154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Food &amp; Health</w:t>
            </w:r>
          </w:p>
        </w:tc>
        <w:tc>
          <w:tcPr>
            <w:tcW w:w="220" w:type="dxa"/>
            <w:vAlign w:val="bottom"/>
          </w:tcPr>
          <w:p>
            <w:pPr>
              <w:spacing w:after="0"/>
              <w:rPr>
                <w:sz w:val="14"/>
                <w:szCs w:val="14"/>
                <w:color w:val="auto"/>
              </w:rPr>
            </w:pPr>
          </w:p>
        </w:tc>
        <w:tc>
          <w:tcPr>
            <w:tcW w:w="136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4"/>
                <w:szCs w:val="14"/>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Treatment</w:t>
            </w:r>
          </w:p>
        </w:tc>
        <w:tc>
          <w:tcPr>
            <w:tcW w:w="22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Solutions</w:t>
            </w: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repackaged products or equipment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177,665</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23,813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Food</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21,469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149,566</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293,272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June 30, 2024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Water</w:t>
            </w:r>
          </w:p>
        </w:tc>
        <w:tc>
          <w:tcPr>
            <w:tcW w:w="154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Food &amp; Health</w:t>
            </w:r>
          </w:p>
        </w:tc>
        <w:tc>
          <w:tcPr>
            <w:tcW w:w="220" w:type="dxa"/>
            <w:vAlign w:val="bottom"/>
          </w:tcPr>
          <w:p>
            <w:pPr>
              <w:spacing w:after="0"/>
              <w:rPr>
                <w:sz w:val="14"/>
                <w:szCs w:val="14"/>
                <w:color w:val="auto"/>
              </w:rPr>
            </w:pPr>
          </w:p>
        </w:tc>
        <w:tc>
          <w:tcPr>
            <w:tcW w:w="136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4"/>
                <w:szCs w:val="14"/>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Treatment</w:t>
            </w:r>
          </w:p>
        </w:tc>
        <w:tc>
          <w:tcPr>
            <w:tcW w:w="22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Solutions</w:t>
            </w: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repackaged products or equipment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145,355</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22,592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35,325</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Food</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26,516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16,994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117,176</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255,879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380" w:hanging="328"/>
        <w:spacing w:after="0" w:line="257"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w:t>
      </w:r>
    </w:p>
    <w:p>
      <w:pPr>
        <w:spacing w:after="0" w:line="1" w:lineRule="exact"/>
        <w:rPr>
          <w:rFonts w:ascii="Arial" w:cs="Arial" w:eastAsia="Arial" w:hAnsi="Arial"/>
          <w:sz w:val="16"/>
          <w:szCs w:val="16"/>
          <w:color w:val="auto"/>
        </w:rPr>
      </w:pPr>
    </w:p>
    <w:p>
      <w:pPr>
        <w:ind w:left="660" w:hanging="328"/>
        <w:spacing w:after="0" w:line="270"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bulk products in our Water Treatment and Industrial Solutions segments that we do not modify in any way, but receive, store, and ship from our facilities, or direct ship to our customers in large quantities.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6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9"/>
        </w:trPr>
        <w:tc>
          <w:tcPr>
            <w:tcW w:w="8260" w:type="dxa"/>
            <w:vAlign w:val="bottom"/>
          </w:tcPr>
          <w:p>
            <w:pPr>
              <w:spacing w:after="0"/>
              <w:rPr>
                <w:sz w:val="22"/>
                <w:szCs w:val="22"/>
                <w:color w:val="auto"/>
              </w:rPr>
            </w:pPr>
          </w:p>
        </w:tc>
        <w:tc>
          <w:tcPr>
            <w:tcW w:w="29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26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 2025</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 2024</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20,717,485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20,816,479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20,810,562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20,914,085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438" w:lineRule="auto"/>
        <w:rPr>
          <w:sz w:val="20"/>
          <w:szCs w:val="20"/>
          <w:color w:val="auto"/>
        </w:rPr>
      </w:pPr>
      <w:r>
        <w:rPr>
          <w:rFonts w:ascii="Arial" w:cs="Arial" w:eastAsia="Arial" w:hAnsi="Arial"/>
          <w:sz w:val="18"/>
          <w:szCs w:val="18"/>
          <w:color w:val="auto"/>
        </w:rPr>
        <w:t xml:space="preserve">For each of the periods presented, there were no shares excluded from the calculation of weighted-average common shares for diluted EPS. </w:t>
      </w:r>
      <w:r>
        <w:rPr>
          <w:rFonts w:ascii="Arial" w:cs="Arial" w:eastAsia="Arial" w:hAnsi="Arial"/>
          <w:sz w:val="18"/>
          <w:szCs w:val="18"/>
          <w:b w:val="1"/>
          <w:bCs w:val="1"/>
          <w:color w:val="auto"/>
        </w:rPr>
        <w:t>Note 5 – Fair Value Measurements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63"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The earnout liabilities recorded in conjunction with the acquisitions of Water Solutions (acquired during fiscal 2024) and WaterSurplus are based upon achieving certain targets. The Water Solutions earnout is based on a target of adjusted earnings before interest, taxes,</w:t>
      </w:r>
    </w:p>
    <w:p>
      <w:pPr>
        <w:ind w:right="340"/>
        <w:spacing w:after="0"/>
        <w:rPr>
          <w:sz w:val="20"/>
          <w:szCs w:val="20"/>
          <w:color w:val="auto"/>
        </w:rPr>
      </w:pPr>
      <w:r>
        <w:rPr>
          <w:rFonts w:ascii="Arial" w:cs="Arial" w:eastAsia="Arial" w:hAnsi="Arial"/>
          <w:sz w:val="17"/>
          <w:szCs w:val="17"/>
          <w:color w:val="auto"/>
        </w:rPr>
        <w:t>depreciation and amortization (EBITDA) in year three of the acquisition. The earnout liability was valued based upon a risk-neutral pricing analysis within a Monte Carlo simulation framework, which is a Level 3 input. The WaterSurplus earnout liability is based on a target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ind w:right="360"/>
        <w:spacing w:after="0" w:line="287"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June 29, 2025 and March 30, 2025.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29, 2025</w:t>
            </w:r>
          </w:p>
        </w:tc>
        <w:tc>
          <w:tcPr>
            <w:tcW w:w="340" w:type="dxa"/>
            <w:vAlign w:val="bottom"/>
          </w:tcPr>
          <w:p>
            <w:pPr>
              <w:spacing w:after="0"/>
              <w:rPr>
                <w:sz w:val="20"/>
                <w:szCs w:val="20"/>
                <w:color w:val="auto"/>
              </w:rPr>
            </w:pPr>
          </w:p>
        </w:tc>
        <w:tc>
          <w:tcPr>
            <w:tcW w:w="1700" w:type="dxa"/>
            <w:vAlign w:val="bottom"/>
            <w:gridSpan w:val="5"/>
          </w:tcPr>
          <w:p>
            <w:pPr>
              <w:ind w:left="20"/>
              <w:spacing w:after="0"/>
              <w:rPr>
                <w:sz w:val="20"/>
                <w:szCs w:val="20"/>
                <w:color w:val="auto"/>
              </w:rPr>
            </w:pPr>
            <w:r>
              <w:rPr>
                <w:rFonts w:ascii="Arial" w:cs="Arial" w:eastAsia="Arial" w:hAnsi="Arial"/>
                <w:sz w:val="18"/>
                <w:szCs w:val="18"/>
                <w:b w:val="1"/>
                <w:bCs w:val="1"/>
                <w:color w:val="auto"/>
              </w:rPr>
              <w:t>March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1680" w:type="dxa"/>
            <w:vAlign w:val="bottom"/>
          </w:tcPr>
          <w:p>
            <w:pPr>
              <w:ind w:left="580"/>
              <w:spacing w:after="0"/>
              <w:rPr>
                <w:sz w:val="20"/>
                <w:szCs w:val="20"/>
                <w:color w:val="auto"/>
              </w:rPr>
            </w:pPr>
            <w:r>
              <w:rPr>
                <w:rFonts w:ascii="Arial" w:cs="Arial" w:eastAsia="Arial" w:hAnsi="Arial"/>
                <w:sz w:val="18"/>
                <w:szCs w:val="18"/>
                <w:color w:val="auto"/>
              </w:rPr>
              <w:t>Level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1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Level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WaterSurplus earnout liability</w:t>
            </w:r>
          </w:p>
        </w:tc>
        <w:tc>
          <w:tcPr>
            <w:tcW w:w="1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Level 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Water Solutions earnout liability</w:t>
            </w:r>
          </w:p>
        </w:tc>
        <w:tc>
          <w:tcPr>
            <w:tcW w:w="1680" w:type="dxa"/>
            <w:vAlign w:val="bottom"/>
          </w:tcPr>
          <w:p>
            <w:pPr>
              <w:ind w:left="580"/>
              <w:spacing w:after="0"/>
              <w:rPr>
                <w:sz w:val="20"/>
                <w:szCs w:val="20"/>
                <w:color w:val="auto"/>
              </w:rPr>
            </w:pPr>
            <w:r>
              <w:rPr>
                <w:rFonts w:ascii="Arial" w:cs="Arial" w:eastAsia="Arial" w:hAnsi="Arial"/>
                <w:sz w:val="18"/>
                <w:szCs w:val="18"/>
                <w:color w:val="auto"/>
              </w:rPr>
              <w:t>Level 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20" w:type="dxa"/>
            <w:vAlign w:val="bottom"/>
            <w:gridSpan w:val="3"/>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20" w:type="dxa"/>
            <w:vAlign w:val="bottom"/>
            <w:gridSpan w:val="3"/>
          </w:tcPr>
          <w:p>
            <w:pPr>
              <w:ind w:left="20"/>
              <w:spacing w:after="0"/>
              <w:rPr>
                <w:sz w:val="20"/>
                <w:szCs w:val="20"/>
                <w:color w:val="auto"/>
              </w:rPr>
            </w:pPr>
            <w:r>
              <w:rPr>
                <w:rFonts w:ascii="Arial" w:cs="Arial" w:eastAsia="Arial" w:hAnsi="Arial"/>
                <w:sz w:val="18"/>
                <w:szCs w:val="18"/>
                <w:color w:val="auto"/>
              </w:rPr>
              <w:t>Changes in the earnout liability measured at fair value using Level 3 inputs were as follows: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Earnout liability at March 30, 2025</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 for acquisition of WaterSurplus</w:t>
            </w:r>
          </w:p>
        </w:tc>
        <w:tc>
          <w:tcPr>
            <w:tcW w:w="1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Level 3</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Fair value adjustments to WaterSurplus earnout liability</w:t>
            </w:r>
          </w:p>
        </w:tc>
        <w:tc>
          <w:tcPr>
            <w:tcW w:w="1680" w:type="dxa"/>
            <w:vAlign w:val="bottom"/>
          </w:tcPr>
          <w:p>
            <w:pPr>
              <w:ind w:left="58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adjustments to Water Solutions earnout liability</w:t>
            </w:r>
          </w:p>
        </w:tc>
        <w:tc>
          <w:tcPr>
            <w:tcW w:w="1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Level 3</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Earnout liability at June 29, 2025</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Inventories</w:t>
            </w: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5"/>
        </w:trPr>
        <w:tc>
          <w:tcPr>
            <w:tcW w:w="53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980" w:type="dxa"/>
            <w:vAlign w:val="bottom"/>
            <w:gridSpan w:val="3"/>
          </w:tcPr>
          <w:p>
            <w:pPr>
              <w:spacing w:after="0"/>
              <w:rPr>
                <w:sz w:val="20"/>
                <w:szCs w:val="20"/>
                <w:color w:val="auto"/>
              </w:rPr>
            </w:pPr>
            <w:r>
              <w:rPr>
                <w:rFonts w:ascii="Arial" w:cs="Arial" w:eastAsia="Arial" w:hAnsi="Arial"/>
                <w:sz w:val="18"/>
                <w:szCs w:val="18"/>
                <w:color w:val="auto"/>
              </w:rPr>
              <w:t>Inventories at June 29, 2025 and March 30, 2025 consisted of the following:</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Inventory (FIFO basis)</w:t>
            </w: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LIFO reserve</w:t>
            </w:r>
          </w:p>
        </w:tc>
        <w:tc>
          <w:tcPr>
            <w:tcW w:w="16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1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95,716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for each of our three reportable segments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Water</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Food &amp; Health</w:t>
            </w:r>
          </w:p>
        </w:tc>
        <w:tc>
          <w:tcPr>
            <w:tcW w:w="2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8"/>
                <w:szCs w:val="18"/>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404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Treatment</w:t>
            </w:r>
          </w:p>
        </w:tc>
        <w:tc>
          <w:tcPr>
            <w:tcW w:w="24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Sciences</w:t>
            </w:r>
          </w:p>
        </w:tc>
        <w:tc>
          <w:tcPr>
            <w:tcW w:w="24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Solutions</w:t>
            </w: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30, 2025</w:t>
            </w:r>
          </w:p>
        </w:tc>
        <w:tc>
          <w:tcPr>
            <w:tcW w:w="16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83,968</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 due to acquisitions</w:t>
            </w:r>
          </w:p>
        </w:tc>
        <w:tc>
          <w:tcPr>
            <w:tcW w:w="1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83,490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29, 2025</w:t>
            </w: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167,458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4040" w:type="dxa"/>
            <w:vAlign w:val="bottom"/>
          </w:tcPr>
          <w:p>
            <w:pPr>
              <w:spacing w:after="0"/>
              <w:rPr>
                <w:sz w:val="24"/>
                <w:szCs w:val="24"/>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a summary of our identifiable intangible assets as of June 29, 2025 and March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June 29,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30, 2025</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277,039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215,677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198,364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(57,311)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141,053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239,975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April 25, 2025, we entered into a second amendment that further amended the Existing Credit Agreement (as amended, the “Credit Agreement”). The second amendment increased the revolving commitment under the Existing Credit Agreement to provide us with senior</w:t>
      </w:r>
    </w:p>
    <w:p>
      <w:pPr>
        <w:jc w:val="both"/>
        <w:spacing w:after="0" w:line="226" w:lineRule="auto"/>
        <w:rPr>
          <w:sz w:val="20"/>
          <w:szCs w:val="20"/>
          <w:color w:val="auto"/>
        </w:rPr>
      </w:pPr>
      <w:r>
        <w:rPr>
          <w:rFonts w:ascii="Arial" w:cs="Arial" w:eastAsia="Arial" w:hAnsi="Arial"/>
          <w:sz w:val="18"/>
          <w:szCs w:val="18"/>
          <w:color w:val="auto"/>
        </w:rPr>
        <w:t>secured revolving credit facilities (the “Revolving Loan Facility”) totaling $400.0 million. The Revolving Loan Facility includes a $10.0 million letter of credit subfacility and $25.0 million swingline subfacility. U.S. Bank, JP Morgan Chase Bank, N.A., Wells Fargo Bank, N.A.,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Associated Bank, N.A. were lenders under the Credit Agreement as of the date of the second amendment.</w:t>
      </w:r>
    </w:p>
    <w:p>
      <w:pPr>
        <w:spacing w:after="0" w:line="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drew approximately $150 million of the proceeds from the Revolving Loan Facility to acquire substantially all of the assets of WaterSurplus. We may use other proceeds from the Revolving Loan Facility for working capital, capital expenditures, restricted payments and other acquisitions permitted under the Credit Agreement, and other general corporate purposes.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paid fees of approximately $1.0 million associated with this refinancing. The Revolving Loan Facility is scheduled to mature on April 25, 2030.</w:t>
      </w:r>
    </w:p>
    <w:p>
      <w:pPr>
        <w:spacing w:after="0" w:line="113"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Borrowings under the Revolving Loan Facility bear interest at a variable rate based on term SOFR plus a margin. We have an interest rate swap in place to manage the risk associated with a portion of our variable-rate debt. The notional amount of the swap agreement is</w:t>
      </w:r>
    </w:p>
    <w:p>
      <w:pPr>
        <w:spacing w:after="0"/>
        <w:rPr>
          <w:sz w:val="20"/>
          <w:szCs w:val="20"/>
          <w:color w:val="auto"/>
        </w:rPr>
      </w:pPr>
      <w:r>
        <w:rPr>
          <w:rFonts w:ascii="Arial" w:cs="Arial" w:eastAsia="Arial" w:hAnsi="Arial"/>
          <w:sz w:val="18"/>
          <w:szCs w:val="18"/>
          <w:color w:val="auto"/>
        </w:rPr>
        <w:t>$60 million. At June 29, 2025, the effective interest rate on our borrowings was 4.9%.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r>
              <w:rPr>
                <w:rFonts w:ascii="Arial" w:cs="Arial" w:eastAsia="Arial" w:hAnsi="Arial"/>
                <w:sz w:val="18"/>
                <w:szCs w:val="18"/>
                <w:color w:val="auto"/>
              </w:rPr>
              <w:t>Debt at June 29, 2025 and March 30, 2025 consisted of the following:</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0"/>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w:t>
            </w:r>
          </w:p>
        </w:tc>
        <w:tc>
          <w:tcPr>
            <w:tcW w:w="2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30,</w:t>
            </w:r>
          </w:p>
        </w:tc>
      </w:tr>
      <w:tr>
        <w:trPr>
          <w:trHeight w:val="243"/>
        </w:trPr>
        <w:tc>
          <w:tcPr>
            <w:tcW w:w="78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299,000</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149,000</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298,093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148,819</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138,906</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1"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2022 are closed to examination by the Internal Revenue Service, and with few exceptions, state and local income tax jurisdictions. Our effective income tax rate was approximately 25% for both the three months ended June 29, 2025 and June 30, 2024. The effective tax rate is impacted by projected levels of annual taxable income, permanent items, and state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2026 and fiscal 2025.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58,353 shares in the aggregate for fiscal 2026.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ectPr>
          <w:pgSz w:w="11900" w:h="16838" w:orient="portrait"/>
          <w:cols w:equalWidth="0" w:num="1">
            <w:col w:w="11240"/>
          </w:cols>
          <w:pgMar w:left="320" w:top="769"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29,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61,418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recorded compensation expense related to performance share units and restricted stock of $1.8 million for the three months ended June 29, 2025 and $1.1 million for the three months ended June 30, 2024. Substantially all of the compensation expense was recorded in selling, general and administrative expenses in the condensed consolidated statements of income.</w:t>
      </w:r>
    </w:p>
    <w:p>
      <w:pPr>
        <w:spacing w:after="0" w:line="7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directors, other than the Chief Executive Officer, receive restricted stock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services. The restricted stock awards are generally expensed over a one-year vesting period, based on the market value on the date of grant. As of June 29, 2025, there were 6,734 shares of restricted stock with an average grant date fair value of $103.90 outstanding under this program. Compensation expense related to restricted stock awards to the Board was $0.2 million for the three months ended June 29, 2025 and $0.1 million for the three months ended June 30,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June 29, 2025, no shares were repurchased, and during the three months ended June 30, 2024, we repurchased 105,541 shares at an aggregate purchase price of $9.1 million. As of June 29, 2025, 731,544 shares remained available to be repurchased under the share repurchase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In the fourth quarter of fiscal 2024, we recorded a liability of $7.7 million related to estimated remediation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perchlorinated biphenyls ("PCBs") discovered in the soil at our Rosemount, MN facility during our expansion project. We acquired the property, which had prior heavy industrial use, in fiscal 2012. While the source of the PCBs is unknown, we have never brought PCBs onto the property or used PCBs on the site. The liability is not discounted as management expects to incur these expenses within the next twelve months. Given the many uncertainties involved in assessing environmental claims, our reserves may prove to be insufficient. While it is possible that additional expense related to the remediation will be incurred in future periods if currently unknown issues arise, we are unable to estimate the extent of financial impact related to any such unknown issues. No expenses were charged against this liability during the three months ended June 29,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Effective beginning with the first fiscal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In fiscal 2026, we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chief operating decision-maker (CODM), who is our President and Chief Executive Officer, regularly reviews the consolidated financial statements in their entirety and financial information at the reportable segment level. The CODM uses operating income and considers budget-to -actual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74" w:lineRule="exact"/>
        <w:rPr>
          <w:sz w:val="20"/>
          <w:szCs w:val="20"/>
          <w:color w:val="auto"/>
        </w:rPr>
      </w:pPr>
    </w:p>
    <w:p>
      <w:pPr>
        <w:ind w:left="660" w:right="340" w:hanging="328"/>
        <w:spacing w:after="0" w:line="262"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Water Treatment segment 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spacing w:after="0" w:line="68" w:lineRule="exact"/>
        <w:rPr>
          <w:rFonts w:ascii="Arial" w:cs="Arial" w:eastAsia="Arial" w:hAnsi="Arial"/>
          <w:sz w:val="18"/>
          <w:szCs w:val="18"/>
          <w:color w:val="auto"/>
        </w:rPr>
      </w:pPr>
    </w:p>
    <w:p>
      <w:pPr>
        <w:ind w:left="660" w:right="700" w:hanging="328"/>
        <w:spacing w:after="0" w:line="287"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Food &amp; Health Sciences segment specializes in processing and formulation solutions as well as ingredient distribution to manufacturers in the nutrition, pharmaceutical, food, and agricultural markets. This segment offers a</w:t>
      </w:r>
    </w:p>
    <w:p>
      <w:pPr>
        <w:sectPr>
          <w:pgSz w:w="11900" w:h="16838" w:orient="portrait"/>
          <w:cols w:equalWidth="0" w:num="1">
            <w:col w:w="11240"/>
          </w:cols>
          <w:pgMar w:left="320" w:top="607" w:right="3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 w:name="page15"/>
    <w:bookmarkEnd w:id="14"/>
    <w:p>
      <w:pPr>
        <w:ind w:left="660" w:right="200"/>
        <w:spacing w:after="0" w:line="287" w:lineRule="auto"/>
        <w:rPr>
          <w:sz w:val="20"/>
          <w:szCs w:val="20"/>
          <w:color w:val="auto"/>
        </w:rPr>
      </w:pPr>
      <w:r>
        <w:rPr>
          <w:rFonts w:ascii="Arial" w:cs="Arial" w:eastAsia="Arial" w:hAnsi="Arial"/>
          <w:sz w:val="18"/>
          <w:szCs w:val="18"/>
          <w:color w:val="auto"/>
        </w:rPr>
        <w:t>diverse product portfolio including base chemistry, acid based reactions, minerals, vitamins and amino acids, excipients, botanicals and herbs, sweeteners and enzymes, fertilizers, and food-grade and pharmaceutical salts and ingredients.</w:t>
      </w:r>
    </w:p>
    <w:p>
      <w:pPr>
        <w:spacing w:after="0" w:line="45" w:lineRule="exact"/>
        <w:rPr>
          <w:sz w:val="20"/>
          <w:szCs w:val="20"/>
          <w:color w:val="auto"/>
        </w:rPr>
      </w:pPr>
    </w:p>
    <w:p>
      <w:pPr>
        <w:jc w:val="both"/>
        <w:ind w:left="660" w:right="18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Industrial Solutions segment specializes in providing industrial chemicals, products and services to industries such as industrial manufacturing, chemical processing, electronics, energy, plating, and surface finishing. This segment’s principal products are acids and alkalis.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intersegment sales and no operating segments have been aggregated.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fiscal 2026 and 2025, none of our customers accounted for 10% or more of our total sales.</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Summarized financial information for our reportable segments is presented and reconciled to consolidated financial information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Water</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Food &amp; Health</w:t>
            </w: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Sciences</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29, 2025:</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149,566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89,177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54,529</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293,272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569,354</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249,315</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132,575</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951,244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117,176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85,093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53,610</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255,879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21,739</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line="20" w:lineRule="exact"/>
              <w:rPr>
                <w:sz w:val="1"/>
                <w:szCs w:val="1"/>
                <w:color w:val="auto"/>
              </w:rPr>
            </w:pPr>
          </w:p>
        </w:tc>
      </w:tr>
      <w:tr>
        <w:trPr>
          <w:trHeight w:val="176"/>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300,313</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241,527</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130,163</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672,003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39"/>
        </w:trPr>
        <w:tc>
          <w:tcPr>
            <w:tcW w:w="5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*Unallocated assets not included, consisting primarily of cash and cash equivalents, prepaid expenses, and non-qualified deferred compensation plan assets of $37.0 million at June 29, 2025 and $30.7 million at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5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 xml:space="preserve">On July 4, 2025, the </w:t>
      </w:r>
      <w:r>
        <w:rPr>
          <w:rFonts w:ascii="Arial" w:cs="Arial" w:eastAsia="Arial" w:hAnsi="Arial"/>
          <w:sz w:val="18"/>
          <w:szCs w:val="18"/>
          <w:i w:val="1"/>
          <w:iCs w:val="1"/>
          <w:color w:val="auto"/>
        </w:rPr>
        <w:t>“One Big Beautiful Bill Act”</w:t>
      </w:r>
      <w:r>
        <w:rPr>
          <w:rFonts w:ascii="Arial" w:cs="Arial" w:eastAsia="Arial" w:hAnsi="Arial"/>
          <w:sz w:val="18"/>
          <w:szCs w:val="18"/>
          <w:color w:val="auto"/>
        </w:rPr>
        <w:t xml:space="preserve"> (the “Act”) was enacted into law. The Act includes changes to U.S. tax law that will be applicable to us beginning with our quarter ending September 28, 2026. These changes include provisions allowing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8"/>
          <w:szCs w:val="18"/>
          <w:color w:val="auto"/>
        </w:rPr>
        <w:t>accelerated tax deductions for qualified property that will provide future income tax benefits to us. We are in the process of evaluating the impact of the 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93" w:right="679" w:bottom="1440" w:gutter="0" w:footer="0" w:header="0"/>
        </w:sectPr>
      </w:pPr>
    </w:p>
    <w:bookmarkStart w:id="16" w:name="page17"/>
    <w:bookmarkEnd w:id="16"/>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52" w:lineRule="exact"/>
        <w:rPr>
          <w:sz w:val="20"/>
          <w:szCs w:val="20"/>
          <w:color w:val="auto"/>
        </w:rPr>
      </w:pPr>
    </w:p>
    <w:p>
      <w:pPr>
        <w:ind w:right="18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three months ended June 29, 2025 as compared to the similar period ended June 30, 2024.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March 30, 2025</w:t>
        </w:r>
      </w:hyperlink>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derive substantially all of our revenues from the sale of water treatment solutions, specialty ingredients, and chemicals to our customers in a wide variety of industries. We began our operations primarily as a distributor of bulk chemicals with a strong customer focus. Over the years, we have maintained a strong customer focus and have expanded our business by increasing our sales of value-added and specialty ingredients, including manufacturing, blending, and repackaging certain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8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completed the following acquisitions in fiscal 2025 and the first quarter of fiscal 2026.The results of operations since the date of each acquisition and the assets, including goodwill associated with these acquisitions, are included in our Water Treatment segment.</w:t>
      </w:r>
    </w:p>
    <w:p>
      <w:pPr>
        <w:spacing w:after="0" w:line="59" w:lineRule="exact"/>
        <w:rPr>
          <w:sz w:val="20"/>
          <w:szCs w:val="20"/>
          <w:color w:val="auto"/>
        </w:rPr>
      </w:pPr>
    </w:p>
    <w:p>
      <w:pPr>
        <w:ind w:left="660" w:right="180" w:hanging="328"/>
        <w:spacing w:after="0" w:line="268" w:lineRule="auto"/>
        <w:tabs>
          <w:tab w:leader="none" w:pos="628"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On June 13, 2025, we acquired substantially all the assets and assumed certain liabilities of Hendrickson and Polymer Tech for approximately $1.5 million. Hendrickson distributed water treatment chemicals and equipment to its customers via direct shipments from suppliers.</w:t>
      </w:r>
    </w:p>
    <w:p>
      <w:pPr>
        <w:spacing w:after="0" w:line="62" w:lineRule="exact"/>
        <w:rPr>
          <w:rFonts w:ascii="Arial" w:cs="Arial" w:eastAsia="Arial" w:hAnsi="Arial"/>
          <w:sz w:val="18"/>
          <w:szCs w:val="18"/>
          <w:b w:val="1"/>
          <w:bCs w:val="1"/>
          <w:i w:val="1"/>
          <w:iCs w:val="1"/>
          <w:color w:val="auto"/>
        </w:rPr>
      </w:pPr>
    </w:p>
    <w:p>
      <w:pPr>
        <w:ind w:left="660" w:right="20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24, 2025, we acquired substantially all of the assets and assumed certain liabilities of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w:t>
      </w:r>
    </w:p>
    <w:p>
      <w:pPr>
        <w:spacing w:after="0" w:line="68" w:lineRule="exact"/>
        <w:rPr>
          <w:rFonts w:ascii="Arial" w:cs="Arial" w:eastAsia="Arial" w:hAnsi="Arial"/>
          <w:sz w:val="18"/>
          <w:szCs w:val="18"/>
          <w:color w:val="auto"/>
        </w:rPr>
      </w:pPr>
    </w:p>
    <w:p>
      <w:pPr>
        <w:ind w:left="660" w:right="280" w:hanging="328"/>
        <w:spacing w:after="0" w:line="318" w:lineRule="auto"/>
        <w:tabs>
          <w:tab w:leader="none" w:pos="62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fourth quarter of fiscal 2025, we acquired substantially all the assets and assumed certain liabilities of Amerochem for $44.0 million. Amerochem distributed water treatment chemicals and equipment to its customers primarily throughout North Carolina.</w:t>
      </w:r>
    </w:p>
    <w:p>
      <w:pPr>
        <w:spacing w:after="0" w:line="21" w:lineRule="exact"/>
        <w:rPr>
          <w:rFonts w:ascii="Arial" w:cs="Arial" w:eastAsia="Arial" w:hAnsi="Arial"/>
          <w:sz w:val="17"/>
          <w:szCs w:val="17"/>
          <w:color w:val="auto"/>
        </w:rPr>
      </w:pPr>
    </w:p>
    <w:p>
      <w:pPr>
        <w:ind w:left="660" w:right="340" w:hanging="328"/>
        <w:spacing w:after="0" w:line="318" w:lineRule="auto"/>
        <w:tabs>
          <w:tab w:leader="none" w:pos="628"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color w:val="auto"/>
        </w:rPr>
        <w:t>In the third quarter of fiscal 2025, we acquired substantially all the assets and assumed certain liabilities of Water Guard for $18.0 million. Water Guard distributed water treatment chemicals and equipment to its customers primarily throughout North Carolina.</w:t>
      </w:r>
    </w:p>
    <w:p>
      <w:pPr>
        <w:spacing w:after="0" w:line="8" w:lineRule="exact"/>
        <w:rPr>
          <w:rFonts w:ascii="Arial" w:cs="Arial" w:eastAsia="Arial" w:hAnsi="Arial"/>
          <w:sz w:val="17"/>
          <w:szCs w:val="17"/>
          <w:b w:val="1"/>
          <w:bCs w:val="1"/>
          <w:i w:val="1"/>
          <w:iCs w:val="1"/>
          <w:color w:val="auto"/>
        </w:rPr>
      </w:pPr>
    </w:p>
    <w:p>
      <w:pPr>
        <w:ind w:left="660" w:right="300" w:hanging="328"/>
        <w:spacing w:after="0" w:line="271" w:lineRule="auto"/>
        <w:tabs>
          <w:tab w:leader="none" w:pos="628"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In the first quarter of fiscal 2025, we acquired substantially all the assets and assumed certain liabilities of Wofford for $3.4 million. Wofford distributed water treatment chemicals and equipment to customers mainly in Mississippi.</w:t>
      </w:r>
    </w:p>
    <w:p>
      <w:pPr>
        <w:spacing w:after="0" w:line="59" w:lineRule="exact"/>
        <w:rPr>
          <w:rFonts w:ascii="Arial" w:cs="Arial" w:eastAsia="Arial" w:hAnsi="Arial"/>
          <w:sz w:val="18"/>
          <w:szCs w:val="18"/>
          <w:b w:val="1"/>
          <w:bCs w:val="1"/>
          <w:i w:val="1"/>
          <w:iCs w:val="1"/>
          <w:color w:val="auto"/>
        </w:rPr>
      </w:pPr>
    </w:p>
    <w:p>
      <w:pPr>
        <w:ind w:left="660" w:right="500" w:hanging="328"/>
        <w:spacing w:after="0" w:line="318" w:lineRule="auto"/>
        <w:tabs>
          <w:tab w:leader="none" w:pos="628"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color w:val="auto"/>
        </w:rPr>
        <w:t>In the first quarter of fiscal 2025, we acquired substantially all the assets and assumed certain liabilities of Intercoastal for $22.0 million. Intercoastal distributed water treatment chemicals and equipment to its customers in Maryland, Delaware and Virginia.</w:t>
      </w:r>
    </w:p>
    <w:p>
      <w:pPr>
        <w:spacing w:after="0" w:line="22"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aggregate annual revenue of these six businesses acquired in fiscal 2025 and fiscal 2026 totaled approximately $102 million, as determined using the applicable twelve-month period preceding each respective acquisition date.</w:t>
      </w:r>
    </w:p>
    <w:p>
      <w:pPr>
        <w:spacing w:after="0" w:line="46"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Subsequent to the end of our first quarter of fiscal 2026, we acquired substantially all the assets and assumed certain liabilities of PhillTech, LLC. ("PhillTech") for $5.0 million. PhillTech is located in Courtland, AL, and manufactures and distributes coagulants and corrosion control products for its water treatment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Reporting Segments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Effective beginning with the first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and type of customer. Information presented in this quarterly report has been recast to align with the new segments. Additional information regarding these new segments is set forth in Note 13 -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focus on operating income when evaluating our financial results as opposed to profitability as a percentage of sales, as sales dollars tend to fluctuate as raw material prices rise and fall. The costs for certain of our raw materials can rise or fall rapidly, causing fluctuations in gross profit as a percentage of sales.</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LIFO inventory valuation method and the resulting cost of sales are consistent with our business practices of pricing to current chemical raw material prices.</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ectPr>
          <w:pgSz w:w="11900" w:h="16838" w:orient="portrait"/>
          <w:cols w:equalWidth="0" w:num="1">
            <w:col w:w="11240"/>
          </w:cols>
          <w:pgMar w:left="320" w:top="890" w:right="339" w:bottom="326" w:gutter="0" w:footer="0" w:header="0"/>
        </w:sectPr>
      </w:pPr>
    </w:p>
    <w:bookmarkStart w:id="17" w:name="page18"/>
    <w:bookmarkEnd w:id="17"/>
    <w:p>
      <w:pPr>
        <w:ind w:left="864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June 29, 2025</w:t>
            </w:r>
          </w:p>
        </w:tc>
        <w:tc>
          <w:tcPr>
            <w:tcW w:w="16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June 30, 2024</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Sales</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25.3 %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4020"/>
        <w:spacing w:after="0" w:line="405" w:lineRule="auto"/>
        <w:rPr>
          <w:sz w:val="20"/>
          <w:szCs w:val="20"/>
          <w:color w:val="auto"/>
        </w:rPr>
      </w:pPr>
      <w:r>
        <w:rPr>
          <w:rFonts w:ascii="Arial" w:cs="Arial" w:eastAsia="Arial" w:hAnsi="Arial"/>
          <w:sz w:val="18"/>
          <w:szCs w:val="18"/>
          <w:b w:val="1"/>
          <w:bCs w:val="1"/>
          <w:i w:val="1"/>
          <w:iCs w:val="1"/>
          <w:color w:val="auto"/>
        </w:rPr>
        <w:t xml:space="preserve">Three Months Ended June 29, 2025 Compared to Three Months Ended June 30, 2024 </w:t>
      </w:r>
      <w:r>
        <w:rPr>
          <w:rFonts w:ascii="Arial" w:cs="Arial" w:eastAsia="Arial" w:hAnsi="Arial"/>
          <w:sz w:val="18"/>
          <w:szCs w:val="18"/>
          <w:i w:val="1"/>
          <w:iCs w:val="1"/>
          <w:color w:val="auto"/>
        </w:rPr>
        <w:t>Sales</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Sales were $ 293.3 million for the three months ended June 29, 2025, an increase of $37.4 million, or 15%, from sales of $255.9 million in the same period a year ago. Each of our segments contributed to the year-over-year growth, as discussed below.</w:t>
      </w:r>
    </w:p>
    <w:p>
      <w:pPr>
        <w:spacing w:after="0" w:line="4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$32.4 million, or 28%, to $149.6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29, 2025, from sales of $117.2 million in the same period a year ago. Sales of bulk commodity products in the Water Treatment segment were approximately 8% of sales dollars in the current quarter and 9% in the same period a year ago. Sales increased as a result of $29 million of added sales from acquired businesses as well as increased sales volumes and improved pricing on certain products in our legacy business.</w:t>
      </w:r>
    </w:p>
    <w:p>
      <w:pPr>
        <w:spacing w:after="0" w:line="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Food &amp; Health Sciences segment sales increased $4.1 million, or 5%, to $89.2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29, 2025, from sales of $85.1 million in the same period a year ago. Sales of our agricultural products increased $4.5 million due to increased volumes, offset partially by declines in our other product lines as a result of lower selling prices driven by competitive pricing pressures.</w:t>
      </w:r>
    </w:p>
    <w:p>
      <w:pPr>
        <w:spacing w:after="0" w:line="7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$0.9 million, or 2%, to $54.5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29, 2025, from sales of $53.6 million in the same period a year ago. Sales of bulk commodity products in the Industrial Solutions segment were approximately 22% of sales dollars in both the current quarter and in the same period a year ago. Sales increased primarily as a result of increased sales volumes of certain of our manufactured, blended and repackaged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Gross profit increased $7.7 million, or 12%, to $ 72.4 million, or 25% of sales, for the three months ended June 29, 2025, from $64.7 million, or 25% of sales, in the same period a year ago. During the current quarter, the LIFO reserve increased, and gross profit decreased, by $0.6 million, primarily due to a projected increase in inventory costs and year-end inventory quantities. In the same period a year ago, the LIFO reserve increased, and gross profit decreased, by $0.4 million.</w:t>
      </w:r>
    </w:p>
    <w:p>
      <w:pPr>
        <w:spacing w:after="0" w:line="6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$ 8.5 million, or 24%, to $43.7 million, or 29%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29, 2025, from $35.2 million, or 30% of sales, in the same period a year ago. During the current quarter, the LIFO reserve increased, and gross profit decreased, by $0.2 million. In the same period a year ago, the LIFO reserve increased, and gross profit decreased, by $0.3 million. Gross profit increased primarily as a result of increased sales from our acquired businesses. Step-up inventory adjustments of $0.8 million related to the WaterSurplus acquisition negatively impacted gross profit.</w:t>
      </w:r>
    </w:p>
    <w:p>
      <w:pPr>
        <w:spacing w:after="0" w:line="8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Gross profit for the Food &amp; Health Sciences segment decreased $0.6 million, or 3%, to $19.3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22% of sales, for the three months ended June 29, 2025, from $19.9 million, or 23% of sales, in the same period a year ago. During the current quarter, the LIFO reserve increased, and gross profit decreased, by $0.2 million. During the prior year quarter, the LIFO reserve decreased, and gross profit increased, by $0.2 million. Gross profit decreased primarily as a result of lower selling prices as a result of competitive pricing pressures.</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Gross profit for the Industrial Solutions segment decreased $0.2 million, or 2%, to $9.3 million, or 17%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29, 2025, from $9.5 million, or 18% of sales, in the same period a year ago. During the current quarter, the LIFO reserve increased, and gross profit decreased, by $0.2million. In the same period a year ago, the LIFO reserve increased, and gross profit decreased, by $0.3 million. Gross profit decreased primarily as a result of competitive pricing pressures and increased operating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Selling, general and administrative (“SG&amp;A”) expenses increased $6.1 million, or 24%, to $31.0 million, or 11% of sales, for the three months ended June 29, 2025, from $24.9 million, or 10% of sales, in the same period a year ago. Expenses increased largely due to $4.9 million in added costs from the acquired business in our Water Treatment segment, including amortization of intangibles of $2.0 million and $0.9 million of acquisition costs. In addition, expenses increased due to $1.4 million of additional compensation expense related to our non-qualified deferred compensation plan and equity compensation adjustments due to stock market increases, as well as an increase in medical expenses. The non-qualified deferred compensation expense increase of $0.8 million was offset in Other Income. In the current quarter, we recorded a reduction to SG&amp;A expense of $1.9 million related to the adjustment of the fair value accretion of the earnout related to the Water Solutions acquisition due to a change in projections. SG&amp;A expenses also increased due to increases in other variable costs, including variable pay and other personnel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Operating income increased $ 1.5 million, or 4%, to $41.3 million, or 14% of sales, for the three months ended June 29, 2025, from $39.8 million, or 16% of sales, in the same period a year ago due to the combined impact of the factors discussed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Interest expense increased $ 2.0 million to $ 3.3 million for the three months ended June 29, 2025 compared to $1.3 million in the same period a year ago. Interest expense increased due to increased borrowings in the current quarter, primarily to fund the acquisition of WaterSurplus.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ectPr>
          <w:pgSz w:w="11900" w:h="16838" w:orient="portrait"/>
          <w:cols w:equalWidth="0" w:num="1">
            <w:col w:w="11240"/>
          </w:cols>
          <w:pgMar w:left="320" w:top="377" w:right="339" w:bottom="0" w:gutter="0" w:footer="0" w:header="0"/>
        </w:sectPr>
      </w:pPr>
    </w:p>
    <w:bookmarkStart w:id="18" w:name="page19"/>
    <w:bookmarkEnd w:id="18"/>
    <w:p>
      <w:pPr>
        <w:ind w:right="160"/>
        <w:spacing w:after="0" w:line="260" w:lineRule="auto"/>
        <w:rPr>
          <w:sz w:val="20"/>
          <w:szCs w:val="20"/>
          <w:color w:val="auto"/>
        </w:rPr>
      </w:pPr>
      <w:r>
        <w:rPr>
          <w:rFonts w:ascii="Arial" w:cs="Arial" w:eastAsia="Arial" w:hAnsi="Arial"/>
          <w:sz w:val="18"/>
          <w:szCs w:val="18"/>
          <w:color w:val="auto"/>
        </w:rPr>
        <w:t>Other income was $0.9 million for the three months ended June 29, 2025 compared to $0.2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income tax rate was approximately 25% for both of the three months ended June 29, 2025 and for the same period a year ago. The effective tax rate in both years was impacted by favorable tax provision adjustments recorded. The effective tax rate is impacted by projected levels of annual taxable income, permanent items, and state taxes. Our effective tax rate for the full year is expected to be approximately 26 to 27%.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Cash was $14.5 million at June 29, 2025, an increase of $9.4 million as compared with the $5.1 million available as of March 30, 2025.</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provided by operating activities was $31.5 million for the three months ended June 29, 2025, compared to cash provided by operating activities of $17.6 million in the same period a year ago. The year-over-year increase in cash provided by operating activities in the current period was primarily driven by favorable year-over-year changes in trade receivables and accounts payable compared to the same period a year ago. Due to the nature of our operations, which includes purchases of large quantities of bulk chemicals, the timing of purchases can result in significant changes in working capital investment and the resulting operating cash flow.</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investing activities was $164.5 million for the three months ended June 29, 2025, compared to $35.8 million in the same period a year ago. In the current period, we incurred acquisition spending of $151.3 million, with the acquisitions of WaterSurplus for approximately $149.9 million paid at closing, and Hendrickson for approximately $1.5 million. Capital expenditures were $13.5 million for the current period, compared to $10.6 million in the same period a year ago. In the current period, we had more investments in transportation equipment and containers, resulting in an increase in overall capital expenditures compared to the prior year.</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provided by financing activities was $142.5 million for the three months ended June 29, 2025, compared to $20.0 million of cash used in financing activities in the same period a year ago. Included in financing activities in the current period were net debt borrowings of $150.0 million, compared to net debt borrowings of $35.0 million in the same period a year ago. We drew approximately $150 million of the proceeds from the Revolving Loan Facility for the acquisition of WaterSurplus. In addition, we repurchased no common stock in the current period, compared to $9.1 million in the same period of the prior year.</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months ended June 29, 2025, we repurchased no shares of common stock. In the same period a year ago, we repurchased 105,541 shares of common stock with an aggregate purchase price of $9.1 million. As of June 29, 2025, 731,544 shares remained available to be repurchased under the share repurchase program.</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(the “Existing Credit Agreement” and as amended, restated or modified from time to time, and as modified by the Amendment, the “Credit Agreement”). The Joinder, Consent and Second Amendment to Second Amended and Restated Credit Agreement, dated April 25, 2025 increased the revolving commitment under the Existing Credit Agreement to provide us with senior secured revolving credit facilities (the “Revolving Loan Facility”) totaling $400.0 million. The Revolving Loan Facility includes a $10.0 million letter of credit subfacility and $25.0 million swingline subfacility. The Revolving Loan Facility has a five-year maturity date, maturing on April 25, 2030.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June 29, 2025, the effective interest rate on our borrowings was 4.9%.</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June 29, 2025, the unamortized balance of these costs was $0.9 million, and is reflected as a reduction of debt on our balance sheet.</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will require us to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permitted to make distributions, pay dividends and repurchase shares so long as no default or event of default exists or would exist as a result thereof. We were in compliance with all covenants of the Credit Agreement as of June 29, 2025 and expect to remain in compliance with all covenants for the next 12 months.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Credit Facility.</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w:t>
      </w:r>
    </w:p>
    <w:p>
      <w:pPr>
        <w:sectPr>
          <w:pgSz w:w="11900" w:h="16838" w:orient="portrait"/>
          <w:cols w:equalWidth="0" w:num="1">
            <w:col w:w="11240"/>
          </w:cols>
          <w:pgMar w:left="320" w:top="892"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under our current or new credit facilities or sell equity for strategic reasons or to further strengthen our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in our critical accounting estimates, as disclosed in our </w:t>
      </w:r>
      <w:hyperlink r:id="rId18">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18">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June 29, 2025, a 25-basis point change in interest rates on our unhedged variable-rate debt would potentially increase or decrease our annual interest expense by approximately $0.1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June 29, 2025.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0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2026 that has materially affected, or is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our risk factors from those disclosed in our </w:t>
      </w:r>
      <w:hyperlink r:id="rId18">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initially approved on May 29, 2014 and subsequently amended from time to time. The repurchase plan has no expiration date. The shares may be purchased on the open market or in privately negotiated transactions subject to applicable securities laws and regulations. The following table sets forth information concerning purchases of our common stock for the three months ended June 29, 2025:</w:t>
      </w:r>
    </w:p>
    <w:tbl>
      <w:tblPr>
        <w:tblLayout w:type="fixed"/>
        <w:tblInd w:w="200" w:type="dxa"/>
        <w:tblCellMar>
          <w:top w:w="0" w:type="dxa"/>
          <w:left w:w="0" w:type="dxa"/>
          <w:bottom w:w="0" w:type="dxa"/>
          <w:right w:w="0" w:type="dxa"/>
        </w:tblCellMar>
      </w:tblP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4"/>
                <w:szCs w:val="14"/>
                <w:color w:val="auto"/>
              </w:rPr>
            </w:pPr>
          </w:p>
        </w:tc>
        <w:tc>
          <w:tcPr>
            <w:tcW w:w="19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320" w:type="dxa"/>
            <w:vAlign w:val="bottom"/>
          </w:tcPr>
          <w:p>
            <w:pPr>
              <w:spacing w:after="0"/>
              <w:rPr>
                <w:sz w:val="14"/>
                <w:szCs w:val="14"/>
                <w:color w:val="auto"/>
              </w:rPr>
            </w:pPr>
          </w:p>
        </w:tc>
        <w:tc>
          <w:tcPr>
            <w:tcW w:w="20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19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Purchased under Plans</w:t>
            </w:r>
          </w:p>
        </w:tc>
        <w:tc>
          <w:tcPr>
            <w:tcW w:w="0" w:type="dxa"/>
            <w:vAlign w:val="bottom"/>
          </w:tcPr>
          <w:p>
            <w:pPr>
              <w:spacing w:after="0"/>
              <w:rPr>
                <w:sz w:val="1"/>
                <w:szCs w:val="1"/>
                <w:color w:val="auto"/>
              </w:rPr>
            </w:pPr>
          </w:p>
        </w:tc>
      </w:tr>
      <w:tr>
        <w:trPr>
          <w:trHeight w:val="216"/>
        </w:trPr>
        <w:tc>
          <w:tcPr>
            <w:tcW w:w="2460" w:type="dxa"/>
            <w:vAlign w:val="bottom"/>
            <w:gridSpan w:val="2"/>
            <w:vMerge w:val="continue"/>
          </w:tcPr>
          <w:p>
            <w:pPr>
              <w:spacing w:after="0"/>
              <w:rPr>
                <w:sz w:val="18"/>
                <w:szCs w:val="18"/>
                <w:color w:val="auto"/>
              </w:rPr>
            </w:pPr>
          </w:p>
        </w:tc>
        <w:tc>
          <w:tcPr>
            <w:tcW w:w="1960" w:type="dxa"/>
            <w:vAlign w:val="bottom"/>
          </w:tcPr>
          <w:p>
            <w:pPr>
              <w:jc w:val="right"/>
              <w:ind w:right="493"/>
              <w:spacing w:after="0"/>
              <w:rPr>
                <w:sz w:val="20"/>
                <w:szCs w:val="20"/>
                <w:color w:val="auto"/>
              </w:rPr>
            </w:pPr>
            <w:r>
              <w:rPr>
                <w:rFonts w:ascii="Arial" w:cs="Arial" w:eastAsia="Arial" w:hAnsi="Arial"/>
                <w:sz w:val="16"/>
                <w:szCs w:val="16"/>
                <w:b w:val="1"/>
                <w:bCs w:val="1"/>
                <w:color w:val="auto"/>
              </w:rPr>
              <w:t>Purchased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Share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Plan or Program</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03/30/2025-04/27/2025</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(1)</w:t>
            </w:r>
          </w:p>
        </w:tc>
        <w:tc>
          <w:tcPr>
            <w:tcW w:w="44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04/28/2025-05/25/2025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05/26/2025-06/29/2025</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32"/>
        </w:trPr>
        <w:tc>
          <w:tcPr>
            <w:tcW w:w="24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spacing w:after="0"/>
              <w:rPr>
                <w:sz w:val="20"/>
                <w:szCs w:val="20"/>
                <w:color w:val="auto"/>
              </w:rPr>
            </w:pPr>
            <w:r>
              <w:rPr>
                <w:rFonts w:ascii="Arial" w:cs="Arial" w:eastAsia="Arial" w:hAnsi="Arial"/>
                <w:sz w:val="18"/>
                <w:szCs w:val="18"/>
                <w:color w:val="auto"/>
              </w:rPr>
              <w:t>28,590</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460" w:firstLine="8"/>
        <w:spacing w:after="0" w:line="268"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of common stock in this row represent shares that were surrendered to us by stock plan participants in order to satisfy minimum withholding tax obligations related to the vesting of restricted stock awards and are not shares purchased under the Board of Directors authorization described above.</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three months ended June 29, 2025.</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9"/>
        </w:trPr>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ITEM 6.</w:t>
            </w:r>
          </w:p>
        </w:tc>
        <w:tc>
          <w:tcPr>
            <w:tcW w:w="7520" w:type="dxa"/>
            <w:vAlign w:val="bottom"/>
            <w:gridSpan w:val="12"/>
          </w:tcPr>
          <w:p>
            <w:pPr>
              <w:ind w:left="80"/>
              <w:spacing w:after="0"/>
              <w:rPr>
                <w:sz w:val="20"/>
                <w:szCs w:val="20"/>
                <w:color w:val="auto"/>
              </w:rPr>
            </w:pPr>
            <w:r>
              <w:rPr>
                <w:rFonts w:ascii="Arial" w:cs="Arial" w:eastAsia="Arial" w:hAnsi="Arial"/>
                <w:sz w:val="18"/>
                <w:szCs w:val="18"/>
                <w:color w:val="auto"/>
              </w:rPr>
              <w:t>EXHIBITS</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2"/>
        </w:trPr>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Exhibit</w:t>
            </w: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40" w:type="dxa"/>
            <w:vAlign w:val="bottom"/>
            <w:gridSpan w:val="10"/>
          </w:tcPr>
          <w:p>
            <w:pPr>
              <w:ind w:left="460"/>
              <w:spacing w:after="0"/>
              <w:rPr>
                <w:sz w:val="20"/>
                <w:szCs w:val="20"/>
                <w:color w:val="auto"/>
              </w:rPr>
            </w:pPr>
            <w:r>
              <w:rPr>
                <w:rFonts w:ascii="Arial" w:cs="Arial" w:eastAsia="Arial" w:hAnsi="Arial"/>
                <w:sz w:val="18"/>
                <w:szCs w:val="18"/>
                <w:color w:val="auto"/>
              </w:rPr>
              <w:t>Description</w:t>
            </w:r>
          </w:p>
        </w:tc>
        <w:tc>
          <w:tcPr>
            <w:tcW w:w="23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Method of Filing</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420" w:type="dxa"/>
            <w:vAlign w:val="bottom"/>
            <w:gridSpan w:val="11"/>
          </w:tcPr>
          <w:p>
            <w:pPr>
              <w:spacing w:after="0"/>
              <w:rPr>
                <w:rFonts w:ascii="Arial" w:cs="Arial" w:eastAsia="Arial" w:hAnsi="Arial"/>
                <w:sz w:val="18"/>
                <w:szCs w:val="18"/>
                <w:color w:val="0000FF"/>
              </w:rPr>
            </w:pPr>
            <w:hyperlink r:id="rId33">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23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Incorporated by Reference</w:t>
            </w:r>
          </w:p>
        </w:tc>
      </w:tr>
      <w:tr>
        <w:trPr>
          <w:trHeight w:val="20"/>
        </w:trPr>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420" w:type="dxa"/>
            <w:vAlign w:val="bottom"/>
            <w:gridSpan w:val="11"/>
          </w:tcPr>
          <w:p>
            <w:pPr>
              <w:spacing w:after="0"/>
              <w:rPr>
                <w:rFonts w:ascii="Arial" w:cs="Arial" w:eastAsia="Arial" w:hAnsi="Arial"/>
                <w:sz w:val="18"/>
                <w:szCs w:val="18"/>
                <w:color w:val="0000FF"/>
              </w:rPr>
            </w:pPr>
            <w:hyperlink r:id="rId34">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3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Incorporated by Reference</w:t>
            </w:r>
          </w:p>
        </w:tc>
      </w:tr>
      <w:tr>
        <w:trPr>
          <w:trHeight w:val="20"/>
        </w:trPr>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r>
      <w:tr>
        <w:trPr>
          <w:trHeight w:val="210"/>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7420" w:type="dxa"/>
            <w:vAlign w:val="bottom"/>
            <w:gridSpan w:val="11"/>
          </w:tcPr>
          <w:p>
            <w:pPr>
              <w:spacing w:after="0"/>
              <w:rPr>
                <w:rFonts w:ascii="Arial" w:cs="Arial" w:eastAsia="Arial" w:hAnsi="Arial"/>
                <w:sz w:val="18"/>
                <w:szCs w:val="18"/>
                <w:color w:val="0000FF"/>
              </w:rPr>
            </w:pPr>
            <w:hyperlink r:id="rId35">
              <w:r>
                <w:rPr>
                  <w:rFonts w:ascii="Arial" w:cs="Arial" w:eastAsia="Arial" w:hAnsi="Arial"/>
                  <w:sz w:val="18"/>
                  <w:szCs w:val="18"/>
                  <w:color w:val="0000FF"/>
                </w:rPr>
                <w:t>Joinder, Consent and Second Amendment to Second Amended and Restated Credit</w:t>
              </w:r>
            </w:hyperlink>
          </w:p>
        </w:tc>
        <w:tc>
          <w:tcPr>
            <w:tcW w:w="23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Incorporated by Reference</w:t>
            </w:r>
          </w:p>
        </w:tc>
      </w:tr>
      <w:tr>
        <w:trPr>
          <w:trHeight w:val="155"/>
        </w:trPr>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5">
              <w:r>
                <w:rPr>
                  <w:rFonts w:ascii="Arial" w:cs="Arial" w:eastAsia="Arial" w:hAnsi="Arial"/>
                  <w:sz w:val="18"/>
                  <w:szCs w:val="18"/>
                  <w:color w:val="0000FF"/>
                </w:rPr>
                <w:t>Agreement dated as of April 25, 2025, among Hawkins, Inc., U.S. Bank National</w:t>
              </w:r>
            </w:hyperlink>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6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35">
              <w:r>
                <w:rPr>
                  <w:rFonts w:ascii="Arial" w:cs="Arial" w:eastAsia="Arial" w:hAnsi="Arial"/>
                  <w:sz w:val="18"/>
                  <w:szCs w:val="18"/>
                  <w:color w:val="0000FF"/>
                </w:rPr>
                <w:t xml:space="preserve">Association, and certain financial institutions. </w:t>
              </w:r>
              <w:r>
                <w:rPr>
                  <w:rFonts w:ascii="Arial" w:cs="Arial" w:eastAsia="Arial" w:hAnsi="Arial"/>
                  <w:sz w:val="18"/>
                  <w:szCs w:val="18"/>
                  <w:color w:val="000000"/>
                </w:rPr>
                <w:t>(3)</w:t>
              </w:r>
            </w:hyperlink>
          </w:p>
        </w:tc>
        <w:tc>
          <w:tcPr>
            <w:tcW w:w="5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0"/>
        </w:trPr>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0000FF"/>
              </w:rPr>
              <w:t>Certification by Chief Executive Officer pursuant to Rule 13a-14(a) of the Exchange Act.</w:t>
            </w:r>
          </w:p>
        </w:tc>
        <w:tc>
          <w:tcPr>
            <w:tcW w:w="23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69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Certification by Chief Financial Officer pursuant to Rule 13a-14(a) of the Exchange Act.</w:t>
            </w:r>
          </w:p>
        </w:tc>
        <w:tc>
          <w:tcPr>
            <w:tcW w:w="460" w:type="dxa"/>
            <w:vAlign w:val="bottom"/>
          </w:tcPr>
          <w:p>
            <w:pPr>
              <w:spacing w:after="0"/>
              <w:rPr>
                <w:sz w:val="18"/>
                <w:szCs w:val="18"/>
                <w:color w:val="auto"/>
              </w:rPr>
            </w:pPr>
          </w:p>
        </w:tc>
        <w:tc>
          <w:tcPr>
            <w:tcW w:w="23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42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Section 1350 Certification by Chief Executive Officer.</w:t>
            </w:r>
          </w:p>
        </w:tc>
        <w:tc>
          <w:tcPr>
            <w:tcW w:w="2700" w:type="dxa"/>
            <w:vAlign w:val="bottom"/>
            <w:tcBorders>
              <w:top w:val="single" w:sz="8" w:color="0000FF"/>
            </w:tcBorders>
            <w:gridSpan w:val="3"/>
          </w:tcPr>
          <w:p>
            <w:pPr>
              <w:spacing w:after="0"/>
              <w:rPr>
                <w:sz w:val="18"/>
                <w:szCs w:val="18"/>
                <w:color w:val="auto"/>
              </w:rPr>
            </w:pPr>
          </w:p>
        </w:tc>
        <w:tc>
          <w:tcPr>
            <w:tcW w:w="520" w:type="dxa"/>
            <w:vAlign w:val="bottom"/>
            <w:gridSpan w:val="2"/>
          </w:tcPr>
          <w:p>
            <w:pPr>
              <w:spacing w:after="0"/>
              <w:rPr>
                <w:sz w:val="18"/>
                <w:szCs w:val="18"/>
                <w:color w:val="auto"/>
              </w:rPr>
            </w:pPr>
          </w:p>
        </w:tc>
        <w:tc>
          <w:tcPr>
            <w:tcW w:w="23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41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Section 1350 Certification by Chief Financial Officer.</w:t>
            </w:r>
          </w:p>
        </w:tc>
        <w:tc>
          <w:tcPr>
            <w:tcW w:w="3280" w:type="dxa"/>
            <w:vAlign w:val="bottom"/>
            <w:gridSpan w:val="6"/>
          </w:tcPr>
          <w:p>
            <w:pPr>
              <w:spacing w:after="0"/>
              <w:rPr>
                <w:sz w:val="18"/>
                <w:szCs w:val="18"/>
                <w:color w:val="auto"/>
              </w:rPr>
            </w:pPr>
          </w:p>
        </w:tc>
        <w:tc>
          <w:tcPr>
            <w:tcW w:w="23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Filed Electronically</w:t>
            </w:r>
          </w:p>
        </w:tc>
      </w:tr>
      <w:tr>
        <w:trPr>
          <w:trHeight w:val="196"/>
        </w:trPr>
        <w:tc>
          <w:tcPr>
            <w:tcW w:w="96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7420" w:type="dxa"/>
            <w:vAlign w:val="bottom"/>
            <w:gridSpan w:val="11"/>
          </w:tcPr>
          <w:p>
            <w:pPr>
              <w:spacing w:after="0" w:line="196" w:lineRule="exact"/>
              <w:rPr>
                <w:sz w:val="20"/>
                <w:szCs w:val="20"/>
                <w:color w:val="auto"/>
              </w:rPr>
            </w:pPr>
            <w:r>
              <w:rPr>
                <w:rFonts w:ascii="Arial" w:cs="Arial" w:eastAsia="Arial" w:hAnsi="Arial"/>
                <w:sz w:val="18"/>
                <w:szCs w:val="18"/>
                <w:color w:val="auto"/>
              </w:rPr>
              <w:t>Financial statements from the Quarterly Report on Form 10-Q of Hawkins, Inc. for the</w:t>
            </w:r>
          </w:p>
        </w:tc>
        <w:tc>
          <w:tcPr>
            <w:tcW w:w="2380" w:type="dxa"/>
            <w:vAlign w:val="bottom"/>
            <w:gridSpan w:val="3"/>
          </w:tcPr>
          <w:p>
            <w:pPr>
              <w:jc w:val="center"/>
              <w:ind w:left="190"/>
              <w:spacing w:after="0" w:line="196" w:lineRule="exact"/>
              <w:rPr>
                <w:sz w:val="20"/>
                <w:szCs w:val="20"/>
                <w:color w:val="auto"/>
              </w:rPr>
            </w:pPr>
            <w:r>
              <w:rPr>
                <w:rFonts w:ascii="Arial" w:cs="Arial" w:eastAsia="Arial" w:hAnsi="Arial"/>
                <w:sz w:val="18"/>
                <w:szCs w:val="18"/>
                <w:color w:val="auto"/>
                <w:w w:val="99"/>
              </w:rPr>
              <w:t>Filed Electronically</w:t>
            </w: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3" w:lineRule="exact"/>
              <w:rPr>
                <w:sz w:val="20"/>
                <w:szCs w:val="20"/>
                <w:color w:val="auto"/>
              </w:rPr>
            </w:pPr>
            <w:r>
              <w:rPr>
                <w:rFonts w:ascii="Arial" w:cs="Arial" w:eastAsia="Arial" w:hAnsi="Arial"/>
                <w:sz w:val="18"/>
                <w:szCs w:val="18"/>
                <w:color w:val="auto"/>
              </w:rPr>
              <w:t>period ended June 29, 2025 filed with the SEC on July 30, 2025 formatted in Inline</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1" w:lineRule="exact"/>
              <w:rPr>
                <w:sz w:val="20"/>
                <w:szCs w:val="20"/>
                <w:color w:val="auto"/>
              </w:rPr>
            </w:pPr>
            <w:r>
              <w:rPr>
                <w:rFonts w:ascii="Arial" w:cs="Arial" w:eastAsia="Arial" w:hAnsi="Arial"/>
                <w:sz w:val="18"/>
                <w:szCs w:val="18"/>
                <w:color w:val="auto"/>
              </w:rPr>
              <w:t>Extensible Business Reporting Language (iXBRL); (i) the Condensed Consolidated</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76" w:lineRule="exact"/>
              <w:rPr>
                <w:sz w:val="20"/>
                <w:szCs w:val="20"/>
                <w:color w:val="auto"/>
              </w:rPr>
            </w:pPr>
            <w:r>
              <w:rPr>
                <w:rFonts w:ascii="Arial" w:cs="Arial" w:eastAsia="Arial" w:hAnsi="Arial"/>
                <w:sz w:val="18"/>
                <w:szCs w:val="18"/>
                <w:color w:val="auto"/>
              </w:rPr>
              <w:t>Balance Sheets at June 29, 2025 and March 30, 2025, (ii) the Condensed Consolidated</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3" w:lineRule="exact"/>
              <w:rPr>
                <w:sz w:val="20"/>
                <w:szCs w:val="20"/>
                <w:color w:val="auto"/>
              </w:rPr>
            </w:pPr>
            <w:r>
              <w:rPr>
                <w:rFonts w:ascii="Arial" w:cs="Arial" w:eastAsia="Arial" w:hAnsi="Arial"/>
                <w:sz w:val="18"/>
                <w:szCs w:val="18"/>
                <w:color w:val="auto"/>
              </w:rPr>
              <w:t>Statements of Income for the three months ended June 29, 2025 and June 30, 2024, (iii)</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1" w:lineRule="exact"/>
              <w:rPr>
                <w:sz w:val="20"/>
                <w:szCs w:val="20"/>
                <w:color w:val="auto"/>
              </w:rPr>
            </w:pPr>
            <w:r>
              <w:rPr>
                <w:rFonts w:ascii="Arial" w:cs="Arial" w:eastAsia="Arial" w:hAnsi="Arial"/>
                <w:sz w:val="18"/>
                <w:szCs w:val="18"/>
                <w:color w:val="auto"/>
              </w:rPr>
              <w:t>the Condensed Consolidated Statements of Comprehensive Income for the three months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76" w:lineRule="exact"/>
              <w:rPr>
                <w:sz w:val="20"/>
                <w:szCs w:val="20"/>
                <w:color w:val="auto"/>
              </w:rPr>
            </w:pPr>
            <w:r>
              <w:rPr>
                <w:rFonts w:ascii="Arial" w:cs="Arial" w:eastAsia="Arial" w:hAnsi="Arial"/>
                <w:sz w:val="18"/>
                <w:szCs w:val="18"/>
                <w:color w:val="auto"/>
              </w:rPr>
              <w:t>ended June 29, 2025 and June 30, 2024, (iv) the Condensed Consolidated Statements of</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3" w:lineRule="exact"/>
              <w:rPr>
                <w:sz w:val="20"/>
                <w:szCs w:val="20"/>
                <w:color w:val="auto"/>
              </w:rPr>
            </w:pPr>
            <w:r>
              <w:rPr>
                <w:rFonts w:ascii="Arial" w:cs="Arial" w:eastAsia="Arial" w:hAnsi="Arial"/>
                <w:sz w:val="18"/>
                <w:szCs w:val="18"/>
                <w:color w:val="auto"/>
              </w:rPr>
              <w:t>Shareholder's Equity for the three months ended June 29, 2025 and June 30, 2024, (v)</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81" w:lineRule="exact"/>
              <w:rPr>
                <w:sz w:val="20"/>
                <w:szCs w:val="20"/>
                <w:color w:val="auto"/>
              </w:rPr>
            </w:pPr>
            <w:r>
              <w:rPr>
                <w:rFonts w:ascii="Arial" w:cs="Arial" w:eastAsia="Arial" w:hAnsi="Arial"/>
                <w:sz w:val="18"/>
                <w:szCs w:val="18"/>
                <w:color w:val="auto"/>
              </w:rPr>
              <w:t>the Condensed Consolidated Statements of Cash Flows for the three months ended June</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1"/>
          </w:tcPr>
          <w:p>
            <w:pPr>
              <w:spacing w:after="0" w:line="176" w:lineRule="exact"/>
              <w:rPr>
                <w:sz w:val="20"/>
                <w:szCs w:val="20"/>
                <w:color w:val="auto"/>
              </w:rPr>
            </w:pPr>
            <w:r>
              <w:rPr>
                <w:rFonts w:ascii="Arial" w:cs="Arial" w:eastAsia="Arial" w:hAnsi="Arial"/>
                <w:sz w:val="18"/>
                <w:szCs w:val="18"/>
                <w:color w:val="auto"/>
              </w:rPr>
              <w:t>29, 2025 and June 30, 2024, (vi) Notes to Condensed Consolidated Financial Statements,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8"/>
        </w:trPr>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and (vii) the information set forth in Part II, Item 5.</w:t>
            </w: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58" w:lineRule="exact"/>
        <w:rPr>
          <w:sz w:val="20"/>
          <w:szCs w:val="20"/>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3.2 to our Current Report on Form 8-K dated February 26, 2021 and filed March 2, 2021.</w:t>
      </w:r>
    </w:p>
    <w:p>
      <w:pPr>
        <w:spacing w:after="0" w:line="63" w:lineRule="exact"/>
        <w:rPr>
          <w:rFonts w:ascii="Arial" w:cs="Arial" w:eastAsia="Arial" w:hAnsi="Arial"/>
          <w:sz w:val="18"/>
          <w:szCs w:val="18"/>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3.1 to our Current Report on Form 8-K dated October 28, 2009 and filed November 3, 2009.</w:t>
      </w:r>
    </w:p>
    <w:p>
      <w:pPr>
        <w:spacing w:after="0" w:line="49" w:lineRule="exact"/>
        <w:rPr>
          <w:rFonts w:ascii="Arial" w:cs="Arial" w:eastAsia="Arial" w:hAnsi="Arial"/>
          <w:sz w:val="18"/>
          <w:szCs w:val="18"/>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10.1 to our Current Report on Form 8-K filed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90" w:right="71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18"/>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1"/>
        </w:trPr>
        <w:tc>
          <w:tcPr>
            <w:tcW w:w="800" w:type="dxa"/>
            <w:vAlign w:val="bottom"/>
          </w:tcPr>
          <w:p>
            <w:pPr>
              <w:spacing w:after="0"/>
              <w:rPr>
                <w:sz w:val="15"/>
                <w:szCs w:val="15"/>
                <w:color w:val="auto"/>
              </w:rPr>
            </w:pPr>
          </w:p>
        </w:tc>
        <w:tc>
          <w:tcPr>
            <w:tcW w:w="5140" w:type="dxa"/>
            <w:vAlign w:val="bottom"/>
          </w:tcPr>
          <w:p>
            <w:pPr>
              <w:jc w:val="center"/>
              <w:spacing w:after="0" w:line="181"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39"/>
        </w:trPr>
        <w:tc>
          <w:tcPr>
            <w:tcW w:w="8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2025</w:t>
      </w:r>
    </w:p>
    <w:p>
      <w:pPr>
        <w:sectPr>
          <w:pgSz w:w="11900" w:h="16838" w:orient="portrait"/>
          <w:cols w:equalWidth="0" w:num="1">
            <w:col w:w="11120"/>
          </w:cols>
          <w:pgMar w:left="320" w:top="890" w:right="4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31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300" w:right="300" w:hanging="320"/>
        <w:spacing w:after="0" w:line="268" w:lineRule="auto"/>
        <w:tabs>
          <w:tab w:leader="none" w:pos="131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311"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800" w:hanging="320"/>
        <w:spacing w:after="0" w:line="287" w:lineRule="auto"/>
        <w:tabs>
          <w:tab w:leader="none" w:pos="129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2025</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17780</wp:posOffset>
            </wp:positionV>
            <wp:extent cx="3420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1300" w:right="300" w:hanging="644"/>
        <w:spacing w:after="0" w:line="268"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1300" w:right="60" w:hanging="644"/>
        <w:spacing w:after="0" w:line="268"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jc w:val="both"/>
        <w:ind w:left="1300" w:right="440" w:hanging="644"/>
        <w:spacing w:after="0" w:line="268"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1300" w:right="800" w:hanging="644"/>
        <w:spacing w:after="0" w:line="287"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2025</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17780</wp:posOffset>
            </wp:positionV>
            <wp:extent cx="3326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29, 2025,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73"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rFonts w:ascii="Arial" w:cs="Arial" w:eastAsia="Arial" w:hAnsi="Arial"/>
          <w:sz w:val="18"/>
          <w:szCs w:val="18"/>
          <w:color w:val="auto"/>
        </w:rPr>
      </w:pPr>
    </w:p>
    <w:p>
      <w:pPr>
        <w:ind w:left="80" w:right="9420"/>
        <w:spacing w:after="0" w:line="295" w:lineRule="auto"/>
        <w:rPr>
          <w:rFonts w:ascii="Arial" w:cs="Arial" w:eastAsia="Arial" w:hAnsi="Arial"/>
          <w:sz w:val="18"/>
          <w:szCs w:val="18"/>
          <w:color w:val="auto"/>
        </w:rPr>
      </w:pPr>
      <w:r>
        <w:rPr>
          <w:rFonts w:ascii="Arial" w:cs="Arial" w:eastAsia="Arial" w:hAnsi="Arial"/>
          <w:sz w:val="17"/>
          <w:szCs w:val="17"/>
          <w:color w:val="auto"/>
        </w:rPr>
        <w:t>/s/ Patrick H. Hawkins Patrick H. Hawkins</w:t>
      </w:r>
    </w:p>
    <w:p>
      <w:pPr>
        <w:spacing w:after="0" w:line="1" w:lineRule="exact"/>
        <w:rPr>
          <w:rFonts w:ascii="Arial" w:cs="Arial" w:eastAsia="Arial" w:hAnsi="Arial"/>
          <w:sz w:val="18"/>
          <w:szCs w:val="18"/>
          <w:color w:val="auto"/>
        </w:rPr>
      </w:pPr>
    </w:p>
    <w:p>
      <w:pPr>
        <w:ind w:left="80" w:right="8180"/>
        <w:spacing w:after="0" w:line="292" w:lineRule="auto"/>
        <w:rPr>
          <w:rFonts w:ascii="Arial" w:cs="Arial" w:eastAsia="Arial" w:hAnsi="Arial"/>
          <w:sz w:val="18"/>
          <w:szCs w:val="18"/>
          <w:color w:val="auto"/>
        </w:rPr>
      </w:pPr>
      <w:r>
        <w:rPr>
          <w:rFonts w:ascii="Arial" w:cs="Arial" w:eastAsia="Arial" w:hAnsi="Arial"/>
          <w:sz w:val="18"/>
          <w:szCs w:val="18"/>
          <w:color w:val="auto"/>
        </w:rPr>
        <w:t>Chief Executive Officer and President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-476250</wp:posOffset>
            </wp:positionV>
            <wp:extent cx="2588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29, 2025,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73" w:lineRule="auto"/>
        <w:tabs>
          <w:tab w:leader="none" w:pos="7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rFonts w:ascii="Arial" w:cs="Arial" w:eastAsia="Arial" w:hAnsi="Arial"/>
          <w:sz w:val="18"/>
          <w:szCs w:val="18"/>
          <w:color w:val="auto"/>
        </w:rPr>
      </w:pPr>
    </w:p>
    <w:p>
      <w:pPr>
        <w:ind w:left="80" w:right="9220"/>
        <w:spacing w:after="0" w:line="295" w:lineRule="auto"/>
        <w:rPr>
          <w:rFonts w:ascii="Arial" w:cs="Arial" w:eastAsia="Arial" w:hAnsi="Arial"/>
          <w:sz w:val="18"/>
          <w:szCs w:val="18"/>
          <w:color w:val="auto"/>
        </w:rPr>
      </w:pPr>
      <w:r>
        <w:rPr>
          <w:rFonts w:ascii="Arial" w:cs="Arial" w:eastAsia="Arial" w:hAnsi="Arial"/>
          <w:sz w:val="17"/>
          <w:szCs w:val="17"/>
          <w:color w:val="auto"/>
        </w:rPr>
        <w:t>/s/ Jeffrey P. Oldenkamp Jeffrey P. Oldenkamp</w:t>
      </w:r>
    </w:p>
    <w:p>
      <w:pPr>
        <w:spacing w:after="0" w:line="1" w:lineRule="exact"/>
        <w:rPr>
          <w:rFonts w:ascii="Arial" w:cs="Arial" w:eastAsia="Arial" w:hAnsi="Arial"/>
          <w:sz w:val="18"/>
          <w:szCs w:val="18"/>
          <w:color w:val="auto"/>
        </w:rPr>
      </w:pPr>
    </w:p>
    <w:p>
      <w:pPr>
        <w:ind w:left="80" w:right="7020"/>
        <w:spacing w:after="0" w:line="292"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-476250</wp:posOffset>
            </wp:positionV>
            <wp:extent cx="3257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18" Type="http://schemas.openxmlformats.org/officeDocument/2006/relationships/hyperlink" Target="https://www.sec.gov/ix?doc=/Archives/edgar/data/46250/000004625025000025/hwkn-20250330.htm" TargetMode="External"/><Relationship Id="rId33" Type="http://schemas.openxmlformats.org/officeDocument/2006/relationships/hyperlink" Target="https://www.sec.gov/Archives/edgar/data/46250/000004625021000012/exhibit32.htm" TargetMode="External"/><Relationship Id="rId34" Type="http://schemas.openxmlformats.org/officeDocument/2006/relationships/hyperlink" Target="https://www.sec.gov/Archives/edgar/data/46250/000089710109002205/hawkins095018_ex3-1.htm" TargetMode="External"/><Relationship Id="rId35" Type="http://schemas.openxmlformats.org/officeDocument/2006/relationships/hyperlink" Target="https://www.sec.gov/Archives/edgar/data/46250/000004625025000021/exhibit101-2025debtmodif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2025-07-30T15:26:24Z</dcterms:created>
  <dcterms:modified xsi:type="dcterms:W3CDTF">2025-07-30T15:26:24Z</dcterms:modified>
</cp:coreProperties>
</file>