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04/04/2018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1,220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32.75</w:t>
            </w:r>
          </w:p>
        </w:tc>
        <w:tc>
          <w:tcPr>
            <w:tcW w:w="128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93"/>
              </w:rPr>
              <w:t>13,559.7015</w:t>
            </w:r>
            <w:r>
              <w:rPr>
                <w:rFonts w:ascii="Arial" w:cs="Arial" w:eastAsia="Arial" w:hAnsi="Arial"/>
                <w:sz w:val="22"/>
                <w:szCs w:val="22"/>
                <w:color w:val="008000"/>
                <w:w w:val="93"/>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59"/>
              <w:spacing w:after="0"/>
              <w:rPr>
                <w:sz w:val="20"/>
                <w:szCs w:val="20"/>
                <w:color w:val="auto"/>
              </w:rPr>
            </w:pPr>
            <w:r>
              <w:rPr>
                <w:rFonts w:ascii="Arial" w:cs="Arial" w:eastAsia="Arial" w:hAnsi="Arial"/>
                <w:sz w:val="18"/>
                <w:szCs w:val="18"/>
                <w:color w:val="0000FF"/>
              </w:rPr>
              <w:t>21,084.4714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330 shares acquired in July 2017 and 435 shares acquired in January 2018 pursuant to the issuer's employee stock purchase plan and 43.001 shares acquired in October 2017 pursuant to the Issuer's dividend reinvestment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04/06/2018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2019-12-23T22:26:15Z</dcterms:created>
  <dcterms:modified xsi:type="dcterms:W3CDTF">2019-12-23T22:26:15Z</dcterms:modified>
</cp:coreProperties>
</file>