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580" w:right="36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right="34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40"/>
          </w:cols>
          <w:pgMar w:left="240" w:top="585" w:right="21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28"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560" w:space="720"/>
            <w:col w:w="416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p>
      <w:pPr>
        <w:jc w:val="center"/>
        <w:ind w:right="20"/>
        <w:spacing w:after="0" w:line="207" w:lineRule="exact"/>
        <w:tabs>
          <w:tab w:leader="none" w:pos="340" w:val="left"/>
          <w:tab w:leader="none" w:pos="460" w:val="left"/>
          <w:tab w:leader="none" w:pos="4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93" w:lineRule="exact"/>
        <w:rPr>
          <w:sz w:val="24"/>
          <w:szCs w:val="24"/>
          <w:color w:val="auto"/>
        </w:rPr>
      </w:pPr>
    </w:p>
    <w:p>
      <w:pPr>
        <w:ind w:left="4660"/>
        <w:spacing w:after="0" w:line="207" w:lineRule="exact"/>
        <w:tabs>
          <w:tab w:leader="none" w:pos="5340" w:val="left"/>
          <w:tab w:leader="none" w:pos="5920" w:val="left"/>
          <w:tab w:leader="none" w:pos="6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CLASS</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rPr>
              <w:t>OUTSTANDING AT NOVEMBER 7, 2003</w:t>
            </w:r>
          </w:p>
        </w:tc>
        <w:tc>
          <w:tcPr>
            <w:tcW w:w="20" w:type="dxa"/>
            <w:vAlign w:val="bottom"/>
          </w:tcPr>
          <w:p>
            <w:pPr>
              <w:spacing w:after="0"/>
              <w:rPr>
                <w:sz w:val="14"/>
                <w:szCs w:val="14"/>
                <w:color w:val="auto"/>
              </w:rPr>
            </w:pPr>
          </w:p>
        </w:tc>
      </w:tr>
      <w:tr>
        <w:trPr>
          <w:trHeight w:val="224"/>
        </w:trPr>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$.05 per share</w:t>
            </w:r>
          </w:p>
        </w:tc>
        <w:tc>
          <w:tcPr>
            <w:tcW w:w="300" w:type="dxa"/>
            <w:vAlign w:val="bottom"/>
          </w:tcPr>
          <w:p>
            <w:pPr>
              <w:spacing w:after="0"/>
              <w:rPr>
                <w:sz w:val="19"/>
                <w:szCs w:val="19"/>
                <w:color w:val="auto"/>
              </w:rPr>
            </w:pPr>
          </w:p>
        </w:tc>
        <w:tc>
          <w:tcPr>
            <w:tcW w:w="5560" w:type="dxa"/>
            <w:vAlign w:val="bottom"/>
            <w:tcBorders>
              <w:top w:val="single" w:sz="8" w:color="auto"/>
            </w:tcBorders>
          </w:tcPr>
          <w:p>
            <w:pPr>
              <w:jc w:val="right"/>
              <w:ind w:right="2299"/>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r>
      <w:tr>
        <w:trPr>
          <w:trHeight w:val="236"/>
        </w:trPr>
        <w:tc>
          <w:tcPr>
            <w:tcW w:w="5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55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5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4"/>
          <w:szCs w:val="24"/>
          <w:color w:val="auto"/>
        </w:rPr>
      </w:pPr>
    </w:p>
    <w:p>
      <w:pPr>
        <w:spacing w:after="0"/>
        <w:tabs>
          <w:tab w:leader="none" w:pos="150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9"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5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September 30, 2003 and March 30, 2003</w:t>
        </w:r>
      </w:hyperlink>
    </w:p>
    <w:p>
      <w:pPr>
        <w:spacing w:after="0" w:line="225" w:lineRule="exact"/>
        <w:rPr>
          <w:sz w:val="20"/>
          <w:szCs w:val="20"/>
          <w:color w:val="auto"/>
        </w:rPr>
      </w:pPr>
    </w:p>
    <w:p>
      <w:pPr>
        <w:ind w:left="1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Income - Three and Six Months Ended September 30, 2003 and 2002</w:t>
        </w:r>
      </w:hyperlink>
    </w:p>
    <w:p>
      <w:pPr>
        <w:spacing w:after="0" w:line="225" w:lineRule="exact"/>
        <w:rPr>
          <w:sz w:val="20"/>
          <w:szCs w:val="20"/>
          <w:color w:val="auto"/>
        </w:rPr>
      </w:pPr>
    </w:p>
    <w:p>
      <w:pPr>
        <w:ind w:left="1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Six Months Ended September 30, 2003 and 2002</w:t>
        </w:r>
      </w:hyperlink>
    </w:p>
    <w:p>
      <w:pPr>
        <w:spacing w:after="0" w:line="225" w:lineRule="exact"/>
        <w:rPr>
          <w:sz w:val="20"/>
          <w:szCs w:val="20"/>
          <w:color w:val="auto"/>
        </w:rPr>
      </w:pPr>
    </w:p>
    <w:p>
      <w:pPr>
        <w:ind w:left="15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p>
      <w:pPr>
        <w:spacing w:after="0"/>
        <w:tabs>
          <w:tab w:leader="none" w:pos="15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Controls and Procedures</w:t>
        </w:r>
      </w:hyperlink>
    </w:p>
    <w:p>
      <w:pPr>
        <w:spacing w:after="0" w:line="221" w:lineRule="exact"/>
        <w:rPr>
          <w:sz w:val="20"/>
          <w:szCs w:val="20"/>
          <w:color w:val="auto"/>
        </w:rPr>
      </w:pPr>
    </w:p>
    <w:p>
      <w:pPr>
        <w:spacing w:after="0"/>
        <w:tabs>
          <w:tab w:leader="none" w:pos="1500" w:val="left"/>
        </w:tabs>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PART II.</w:t>
        </w:r>
      </w:hyperlink>
      <w:r>
        <w:rPr>
          <w:rFonts w:ascii="Arial" w:cs="Arial" w:eastAsia="Arial" w:hAnsi="Arial"/>
          <w:sz w:val="18"/>
          <w:szCs w:val="18"/>
          <w:b w:val="1"/>
          <w:bCs w:val="1"/>
          <w:u w:val="single" w:color="auto"/>
          <w:color w:val="0000EE"/>
        </w:rPr>
        <w:tab/>
      </w:r>
      <w:hyperlink w:anchor="page7">
        <w:r>
          <w:rPr>
            <w:rFonts w:ascii="Arial" w:cs="Arial" w:eastAsia="Arial" w:hAnsi="Arial"/>
            <w:sz w:val="18"/>
            <w:szCs w:val="18"/>
            <w:b w:val="1"/>
            <w:bCs w:val="1"/>
            <w:u w:val="single" w:color="auto"/>
            <w:color w:val="0000EE"/>
          </w:rPr>
          <w:t>OTHER INFORMATION</w:t>
        </w:r>
      </w:hyperlink>
    </w:p>
    <w:p>
      <w:pPr>
        <w:spacing w:after="0" w:line="229"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Legal Proceedings</w:t>
        </w:r>
      </w:hyperlink>
    </w:p>
    <w:p>
      <w:pPr>
        <w:spacing w:after="0" w:line="225"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Submission of Matters to a Vote of Security Holders</w:t>
        </w:r>
      </w:hyperlink>
    </w:p>
    <w:p>
      <w:pPr>
        <w:spacing w:after="0" w:line="225" w:lineRule="exact"/>
        <w:rPr>
          <w:sz w:val="20"/>
          <w:szCs w:val="20"/>
          <w:color w:val="auto"/>
        </w:rPr>
      </w:pPr>
    </w:p>
    <w:p>
      <w:pPr>
        <w:spacing w:after="0"/>
        <w:tabs>
          <w:tab w:leader="none" w:pos="1500" w:val="left"/>
        </w:tabs>
        <w:rPr>
          <w:rFonts w:ascii="Arial" w:cs="Arial" w:eastAsia="Arial" w:hAnsi="Arial"/>
          <w:sz w:val="16"/>
          <w:szCs w:val="16"/>
          <w:u w:val="single" w:color="auto"/>
          <w:color w:val="0000EE"/>
        </w:rPr>
      </w:pPr>
      <w:hyperlink w:anchor="page8">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8">
        <w:r>
          <w:rPr>
            <w:rFonts w:ascii="Arial" w:cs="Arial" w:eastAsia="Arial" w:hAnsi="Arial"/>
            <w:sz w:val="16"/>
            <w:szCs w:val="16"/>
            <w:u w:val="single" w:color="auto"/>
            <w:color w:val="0000EE"/>
          </w:rPr>
          <w:t>Exhibits and Reports on Form 8-K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SEPTEMBER 30,</w:t>
            </w:r>
          </w:p>
        </w:tc>
        <w:tc>
          <w:tcPr>
            <w:tcW w:w="240" w:type="dxa"/>
            <w:vAlign w:val="bottom"/>
          </w:tcPr>
          <w:p>
            <w:pPr>
              <w:spacing w:after="0"/>
              <w:rPr>
                <w:sz w:val="14"/>
                <w:szCs w:val="1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2003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Pr>
          <w:p>
            <w:pPr>
              <w:jc w:val="center"/>
              <w:ind w:right="152"/>
              <w:spacing w:after="0" w:line="119" w:lineRule="exact"/>
              <w:rPr>
                <w:sz w:val="20"/>
                <w:szCs w:val="20"/>
                <w:color w:val="auto"/>
              </w:rPr>
            </w:pPr>
            <w:r>
              <w:rPr>
                <w:rFonts w:ascii="Arial" w:cs="Arial" w:eastAsia="Arial" w:hAnsi="Arial"/>
                <w:sz w:val="13"/>
                <w:szCs w:val="13"/>
                <w:b w:val="1"/>
                <w:bCs w:val="1"/>
                <w:color w:val="auto"/>
              </w:rPr>
              <w:t>(UNAUDITED)</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tcPr>
          <w:p>
            <w:pPr>
              <w:jc w:val="center"/>
              <w:ind w:right="154"/>
              <w:spacing w:after="0" w:line="119" w:lineRule="exact"/>
              <w:rPr>
                <w:sz w:val="20"/>
                <w:szCs w:val="20"/>
                <w:color w:val="auto"/>
              </w:rPr>
            </w:pPr>
            <w:r>
              <w:rPr>
                <w:rFonts w:ascii="Arial" w:cs="Arial" w:eastAsia="Arial" w:hAnsi="Arial"/>
                <w:sz w:val="13"/>
                <w:szCs w:val="13"/>
                <w:b w:val="1"/>
                <w:bCs w:val="1"/>
                <w:color w:val="auto"/>
              </w:rPr>
              <w:t>(DERIVED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5,300,137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1,353,720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21,298,454</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Trade receivables – net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11,394,663</w:t>
            </w:r>
          </w:p>
        </w:tc>
        <w:tc>
          <w:tcPr>
            <w:tcW w:w="2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11,253,571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11,560,659</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1,792,997</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2,502,496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51,346,910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47,410,686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27,846,910</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27,466,519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INTANGIBLE ASSETS - less accumulated amortization of $1,443,129 and $1,301,386,</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2,919,920</w:t>
            </w: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3,061,663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2,882,796</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84,996,536</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81,098,739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6,318,830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5,854,720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1,839,004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6,031,996</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6,210,526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14,189,830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13,904,250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1,305,749</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159,124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w w:val="96"/>
              </w:rPr>
              <w:t>Common stock, par value $.05 per share; 10,216,688 shares issued and 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510,834</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510,834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37,747,492</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37,747,492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162,807</w:t>
            </w:r>
          </w:p>
        </w:tc>
        <w:tc>
          <w:tcPr>
            <w:tcW w:w="24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79,063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30,920,700</w:t>
            </w:r>
          </w:p>
        </w:tc>
        <w:tc>
          <w:tcPr>
            <w:tcW w:w="2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27,376,115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69,341,833</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65,713,504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84,996,536</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81,098,739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9"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9"/>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9"/>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2003</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28,645,014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27,636,311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57,711,881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54,919,212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20,282,707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19,673,756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40,913,441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39,205,531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8,362,307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7,962,555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16,798,440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4,405,588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3,895,389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8,598,243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3,956,719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4,067,166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8,200,197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8,022,457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413,392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4,147,573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4,255,311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8,613,589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8,341,706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1,556,000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1,574,000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2,591,573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2,681,311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5,383,589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5,255,706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10,216,688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10,216,688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10,216,688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98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2"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SIX MONTHS ENDED</w:t>
      </w:r>
    </w:p>
    <w:p>
      <w:pPr>
        <w:jc w:val="center"/>
        <w:ind w:left="8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5,383,589</w:t>
            </w:r>
          </w:p>
        </w:tc>
        <w:tc>
          <w:tcPr>
            <w:tcW w:w="16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5,255,706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1,452,008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1,451,510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Changes in operating accounts (requiring) providing cash:</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receivables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(141,092)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Inventories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(2,162,321)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(245,742)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2,326,686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742,249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10,259,559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(1,690,656)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(2,393,015)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(16,565,697)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Sale and maturities of investments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4,281,966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292,620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(12,270,222)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(1,839,004)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(1,532,690)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(1,839,004)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(1,532,690)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3,946,417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(3,543,353)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7,339,895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337" w:right="219" w:bottom="0" w:gutter="0" w:footer="0" w:header="0"/>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5,300,137</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3,796,542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8"/>
              </w:rPr>
              <w:t>SUPPLEMENTAL DISCLOSURES OF CASH FLOW INFORMATION:</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2,533,498</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1,505,724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7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780" w:type="dxa"/>
            <w:vAlign w:val="bottom"/>
          </w:tcPr>
          <w:p>
            <w:pPr>
              <w:jc w:val="right"/>
              <w:ind w:right="243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520" w:right="100" w:hanging="512"/>
        <w:spacing w:after="0" w:line="255" w:lineRule="auto"/>
        <w:tabs>
          <w:tab w:leader="none" w:pos="5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fiscal year ended March 30, 2003,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520" w:right="22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30, 2003 filed with the Commission on June 27, 2003.</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September 30, 2003 are not necessarily indicative of the results that may be expected for the full year.</w:t>
      </w:r>
    </w:p>
    <w:p>
      <w:pPr>
        <w:spacing w:after="0" w:line="248" w:lineRule="exact"/>
        <w:rPr>
          <w:rFonts w:ascii="Arial" w:cs="Arial" w:eastAsia="Arial" w:hAnsi="Arial"/>
          <w:sz w:val="16"/>
          <w:szCs w:val="16"/>
          <w:color w:val="auto"/>
        </w:rPr>
      </w:pPr>
    </w:p>
    <w:p>
      <w:pPr>
        <w:ind w:left="520" w:right="160" w:hanging="512"/>
        <w:spacing w:after="0" w:line="277" w:lineRule="auto"/>
        <w:tabs>
          <w:tab w:leader="none" w:pos="5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$528,000 at September 30, 2003. Inventory consists principally of finished goods.</w:t>
      </w:r>
    </w:p>
    <w:p>
      <w:pPr>
        <w:spacing w:after="0" w:line="170" w:lineRule="exact"/>
        <w:rPr>
          <w:rFonts w:ascii="Arial" w:cs="Arial" w:eastAsia="Arial" w:hAnsi="Arial"/>
          <w:sz w:val="18"/>
          <w:szCs w:val="18"/>
          <w:color w:val="auto"/>
        </w:rPr>
      </w:pPr>
    </w:p>
    <w:p>
      <w:pPr>
        <w:ind w:left="520" w:right="100" w:hanging="512"/>
        <w:spacing w:after="0" w:line="255" w:lineRule="auto"/>
        <w:tabs>
          <w:tab w:leader="none" w:pos="5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2002, the Financial Accounting Standards Board (FASB) issued Interpretation No. 45, “Guarantor’s Accounting and Disclosure Requirements for Guarantees, Including Indirect Guarantees of Indebtedness of Others” (Interpretation No. 45). Interpretation No. 45 clarifies the disclosures to be made by a guarantor in its interim and annual financial statements about its obligations under certain guarantees that it has issued. Interpretation No. 45 also requires a guarantor to recognize, at the inception of a guarantee, a liability for the fair value of the obligation undertaken in issuing certain types of guarantees. The disclosure requirements in Interpretation No. 45 are effective for interim or annual financial statements for periods ended after December 15, 2002. The adoption of Interpretation No. 45 did not have an impact on the Company’s results of operations or financial position.</w:t>
      </w:r>
    </w:p>
    <w:p>
      <w:pPr>
        <w:spacing w:after="0" w:line="189" w:lineRule="exact"/>
        <w:rPr>
          <w:rFonts w:ascii="Arial" w:cs="Arial" w:eastAsia="Arial" w:hAnsi="Arial"/>
          <w:sz w:val="18"/>
          <w:szCs w:val="18"/>
          <w:color w:val="auto"/>
        </w:rPr>
      </w:pPr>
    </w:p>
    <w:p>
      <w:pPr>
        <w:ind w:left="520" w:right="40"/>
        <w:spacing w:after="0" w:line="291" w:lineRule="auto"/>
        <w:rPr>
          <w:rFonts w:ascii="Arial" w:cs="Arial" w:eastAsia="Arial" w:hAnsi="Arial"/>
          <w:sz w:val="18"/>
          <w:szCs w:val="18"/>
          <w:color w:val="auto"/>
        </w:rPr>
      </w:pPr>
      <w:r>
        <w:rPr>
          <w:rFonts w:ascii="Arial" w:cs="Arial" w:eastAsia="Arial" w:hAnsi="Arial"/>
          <w:sz w:val="16"/>
          <w:szCs w:val="16"/>
          <w:color w:val="auto"/>
        </w:rPr>
        <w:t>In January 2003, the FASB issued Interpretation No. 46, “Consolidation of Variable Interest Entities (VIE), an Interpretation of ARB No. 51,” which requires all VIEs to be consolidated by the primary beneficiary. The primary beneficiary is the entity that holds the majority of the beneficial interests in the VIE. In addition, the interpretation expands disclosure requirements for both VIEs that are consolidated as well as VIEs from which the entity is the holder of a significant amount of the beneficial interests, but not the majority. In October 2003, the FASB agreed to defer the effective date so that a public company would not need to apply the provisions of the interpretation to VIE interests acquired before February 1, 2003, until the end of the first interim or annual period ending after December 15, 2003. Because the Company believes it has no variable interest entities, it does not expect that the adoption of this new standard will have a material effect on the Company’s results of operations or financial position.</w:t>
      </w:r>
    </w:p>
    <w:p>
      <w:pPr>
        <w:spacing w:after="0" w:line="167" w:lineRule="exact"/>
        <w:rPr>
          <w:rFonts w:ascii="Arial" w:cs="Arial" w:eastAsia="Arial" w:hAnsi="Arial"/>
          <w:sz w:val="18"/>
          <w:szCs w:val="18"/>
          <w:color w:val="auto"/>
        </w:rPr>
      </w:pPr>
    </w:p>
    <w:p>
      <w:pPr>
        <w:ind w:left="520" w:right="60"/>
        <w:spacing w:after="0" w:line="273" w:lineRule="auto"/>
        <w:rPr>
          <w:rFonts w:ascii="Arial" w:cs="Arial" w:eastAsia="Arial" w:hAnsi="Arial"/>
          <w:sz w:val="18"/>
          <w:szCs w:val="18"/>
          <w:color w:val="auto"/>
        </w:rPr>
      </w:pPr>
      <w:r>
        <w:rPr>
          <w:rFonts w:ascii="Arial" w:cs="Arial" w:eastAsia="Arial" w:hAnsi="Arial"/>
          <w:sz w:val="17"/>
          <w:szCs w:val="17"/>
          <w:color w:val="auto"/>
        </w:rPr>
        <w:t>In May 2003, the FASB issued Statement of Financial Accounting Standards (SFAS) No. 150, “Accounting for Certain Financial Instruments with Characteristics of both Liabilities and Equity.” SFAS No. 150 establishes new standards on how an issuer classifies and measures certain financial instruments with characteristics of both liabilities and equity. Under previous guidance, issuers could account for many of those instruments as equity. SFAS No. 150 requires that those instruments be classified as liabilities in statements of financial position. SFAS No. 150 is effective for all financial instruments entered into or modified after May 31, 2003, and otherwise is effective at the beginning of the first interim period beginning after June 15, 2003. The adoption of SFAS No. 150 did not have an impact on the Company’s financial position.</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right="120" w:hanging="512"/>
        <w:spacing w:after="0" w:line="264" w:lineRule="auto"/>
        <w:tabs>
          <w:tab w:leader="none" w:pos="51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and services. The segments do not have separate accounting, administration, customer service or purchasing functions.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WATER</w:t>
            </w: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TREATMENT</w:t>
            </w: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SEPTEMBER 30, 2003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16,525,608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12,119,406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28,645,014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1,274,119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2,682,600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3,956,719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THREE MONTHS ENDED SEPTEMBER 30, 2002</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16,869,406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10,766,905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4,198,352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3,764,203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7,962,555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1,779,204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4,067,166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4" w:orient="portrait"/>
          <w:cols w:equalWidth="0" w:num="1">
            <w:col w:w="11440"/>
          </w:cols>
          <w:pgMar w:left="240" w:top="140"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Sales</w:t>
            </w: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34,362,349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23,349,532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8,468,939</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8,329,501</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16,798,440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9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2,992,086</w:t>
            </w: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5,208,111</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8,200,197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SIX MONTHS ENDED SEPTEMBER 30, 2002</w:t>
            </w: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33,987,856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20,931,356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54,919,212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9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8,338,949</w:t>
            </w: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7,374,732</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15,713,681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9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3,563,026</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4,459,431</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8,022,457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September 30, 2003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“expected,”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such factors and should not consider the following list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jc w:val="both"/>
        <w:ind w:left="2280" w:right="400" w:hanging="327"/>
        <w:spacing w:after="0" w:line="238" w:lineRule="auto"/>
        <w:tabs>
          <w:tab w:leader="none" w:pos="2274" w:val="left"/>
        </w:tabs>
        <w:numPr>
          <w:ilvl w:val="0"/>
          <w:numId w:val="5"/>
        </w:numPr>
        <w:rPr>
          <w:rFonts w:ascii="Arial" w:cs="Arial" w:eastAsia="Arial" w:hAnsi="Arial"/>
          <w:sz w:val="22"/>
          <w:szCs w:val="22"/>
          <w:color w:val="auto"/>
        </w:rPr>
      </w:pPr>
      <w:r>
        <w:rPr>
          <w:rFonts w:ascii="Arial" w:cs="Arial" w:eastAsia="Arial" w:hAnsi="Arial"/>
          <w:sz w:val="18"/>
          <w:szCs w:val="18"/>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80" w:right="520"/>
        <w:spacing w:after="0" w:line="342" w:lineRule="auto"/>
        <w:rPr>
          <w:sz w:val="20"/>
          <w:szCs w:val="20"/>
          <w:color w:val="auto"/>
        </w:rPr>
      </w:pPr>
      <w:r>
        <w:rPr>
          <w:rFonts w:ascii="Arial" w:cs="Arial" w:eastAsia="Arial" w:hAnsi="Arial"/>
          <w:sz w:val="16"/>
          <w:szCs w:val="16"/>
          <w:color w:val="auto"/>
        </w:rPr>
        <w:t>with any certainty whether the markets for its commodity chemicals will favorably impact the Company’s operations or whether the Company will experience losses due to excess production resulting in oversupply and hence lower prices.</w:t>
      </w:r>
    </w:p>
    <w:p>
      <w:pPr>
        <w:spacing w:after="0" w:line="178" w:lineRule="exact"/>
        <w:rPr>
          <w:sz w:val="20"/>
          <w:szCs w:val="20"/>
          <w:color w:val="auto"/>
        </w:rPr>
      </w:pPr>
    </w:p>
    <w:p>
      <w:pPr>
        <w:jc w:val="both"/>
        <w:ind w:left="2280" w:right="460" w:hanging="327"/>
        <w:spacing w:after="0" w:line="238"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9" w:lineRule="exact"/>
        <w:rPr>
          <w:rFonts w:ascii="Arial" w:cs="Arial" w:eastAsia="Arial" w:hAnsi="Arial"/>
          <w:sz w:val="22"/>
          <w:szCs w:val="22"/>
          <w:color w:val="auto"/>
        </w:rPr>
      </w:pPr>
    </w:p>
    <w:p>
      <w:pPr>
        <w:ind w:left="2280" w:right="12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2280" w:hanging="327"/>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06" w:lineRule="exact"/>
        <w:rPr>
          <w:rFonts w:ascii="Arial" w:cs="Arial" w:eastAsia="Arial" w:hAnsi="Arial"/>
          <w:sz w:val="22"/>
          <w:szCs w:val="22"/>
          <w:color w:val="auto"/>
        </w:rPr>
      </w:pPr>
    </w:p>
    <w:p>
      <w:pPr>
        <w:ind w:left="2280" w:hanging="327"/>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28" w:lineRule="exact"/>
        <w:rPr>
          <w:rFonts w:ascii="Arial" w:cs="Arial" w:eastAsia="Arial" w:hAnsi="Arial"/>
          <w:sz w:val="22"/>
          <w:szCs w:val="22"/>
          <w:color w:val="auto"/>
        </w:rPr>
      </w:pPr>
    </w:p>
    <w:p>
      <w:pPr>
        <w:ind w:left="2280" w:right="18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2280" w:right="66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our principal geographic or product markets.</w:t>
      </w:r>
    </w:p>
    <w:p>
      <w:pPr>
        <w:spacing w:after="0" w:line="230" w:lineRule="exact"/>
        <w:rPr>
          <w:rFonts w:ascii="Arial" w:cs="Arial" w:eastAsia="Arial" w:hAnsi="Arial"/>
          <w:sz w:val="22"/>
          <w:szCs w:val="22"/>
          <w:color w:val="auto"/>
        </w:rPr>
      </w:pPr>
    </w:p>
    <w:p>
      <w:pPr>
        <w:ind w:left="2280" w:right="26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pacing w:after="0" w:line="230" w:lineRule="exact"/>
        <w:rPr>
          <w:rFonts w:ascii="Arial" w:cs="Arial" w:eastAsia="Arial" w:hAnsi="Arial"/>
          <w:sz w:val="22"/>
          <w:szCs w:val="22"/>
          <w:color w:val="auto"/>
        </w:rPr>
      </w:pPr>
    </w:p>
    <w:p>
      <w:pPr>
        <w:ind w:left="2280" w:right="30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30" w:lineRule="exact"/>
        <w:rPr>
          <w:rFonts w:ascii="Arial" w:cs="Arial" w:eastAsia="Arial" w:hAnsi="Arial"/>
          <w:sz w:val="22"/>
          <w:szCs w:val="22"/>
          <w:color w:val="auto"/>
        </w:rPr>
      </w:pPr>
    </w:p>
    <w:p>
      <w:pPr>
        <w:ind w:left="2280" w:right="340" w:hanging="327"/>
        <w:spacing w:after="0" w:line="232" w:lineRule="auto"/>
        <w:tabs>
          <w:tab w:leader="none" w:pos="2274" w:val="left"/>
        </w:tabs>
        <w:numPr>
          <w:ilvl w:val="0"/>
          <w:numId w:val="6"/>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or the failure to continue to make process improvements to reduce costs or to analyze our business.</w:t>
      </w:r>
    </w:p>
    <w:p>
      <w:pPr>
        <w:sectPr>
          <w:pgSz w:w="11900" w:h="16838" w:orient="portrait"/>
          <w:cols w:equalWidth="0" w:num="1">
            <w:col w:w="11420"/>
          </w:cols>
          <w:pgMar w:left="240" w:top="125" w:right="239" w:bottom="0" w:gutter="0" w:footer="0" w:header="0"/>
        </w:sectPr>
      </w:pPr>
    </w:p>
    <w:bookmarkStart w:id="5" w:name="page6"/>
    <w:bookmarkEnd w:id="5"/>
    <w:p>
      <w:pPr>
        <w:spacing w:after="0" w:line="15" w:lineRule="exact"/>
        <w:rPr>
          <w:sz w:val="20"/>
          <w:szCs w:val="20"/>
          <w:color w:val="auto"/>
        </w:rPr>
      </w:pPr>
    </w:p>
    <w:p>
      <w:pPr>
        <w:ind w:left="2280" w:hanging="327"/>
        <w:spacing w:after="0"/>
        <w:tabs>
          <w:tab w:leader="none" w:pos="2280" w:val="left"/>
        </w:tabs>
        <w:numPr>
          <w:ilvl w:val="0"/>
          <w:numId w:val="7"/>
        </w:numPr>
        <w:rPr>
          <w:rFonts w:ascii="Arial" w:cs="Arial" w:eastAsia="Arial" w:hAnsi="Arial"/>
          <w:sz w:val="21"/>
          <w:szCs w:val="21"/>
          <w:color w:val="auto"/>
        </w:rPr>
      </w:pPr>
      <w:r>
        <w:rPr>
          <w:rFonts w:ascii="Arial" w:cs="Arial" w:eastAsia="Arial" w:hAnsi="Arial"/>
          <w:sz w:val="17"/>
          <w:szCs w:val="17"/>
          <w:color w:val="auto"/>
        </w:rPr>
        <w:t>Loss of senior management or other key personnel and our ability to hire suitable replacements in a timely manner.</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Sales increased $1,008,703, or 3.6%, in the three months ended September 30, 2003, and $2,792,669, or 5.1%, in the six months ended September 30, 2003 as compared to the same periods a year ago. Industrial segment sales decreased by $343,798 in the three months ended September 30, 2003 and increased by $374,493 in the six-month period ended September 30, 2003 as compared to the same respective periods in 2002. The Industrial segment continues to be challenged by the sluggish economy and competition resulting in a decrease in sales in certain product lines during the three and six-month periods ended September 30, 2003 as compared to the prior year. An increase in the cost and selling price of a single, large-volume product (caustic soda) in comparison to the prior year positively effected sales contributing to the increase in sales for the six-month period ended September 30, 2003. Water Treatment segment sales increased by $1,352,501 and $2,418,176 respectively, in the three and six-month periods ended September 30, 2003 as compared to the same respective periods in 2002. These increases were primarily attributable to volume increases, due in part to favorable weather conditions, the Company’s geographic expansion into Illinois and Nebraska, and to a lesser extent, selling price increases.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gross margin, as a percentage of sales, for the three and six months ended September 30, 2003 was 29.2% and 29.1%, respectively, compared to 28.8% and 28.6%, respectively, for the comparable periods of 2002. For the Industrial segment, gross margin, as a percentage of sales, was 24.5% for the three months ended September 30, 2003 compared to 24.9% in the prior year and 24.6% for the six months ended September 30, 2003 compared to 24.5% for the comparable period in 2002. These fluctuations relate to changes in the cost and selling price of caustic soda during fiscal 2003 and 2004 and to the inventory position the Company had at the end of the 2002 barge-shipping season. Changes in product mix in all product lines also contributed to the fluctuations in gross margin. The Company attempts to maintain relatively constant dollar margins as the cost of caustic soda increases or decreases. The cost of this product is normally subject to fluctuations, which are expected to continue in future periods. The Company has also generally been able to, and expects to continue to, adjust its selling price as the cost of materials and other expenses changes. Gross margin, as a percentage of sales, for the Water Treatment segment was 35.6% for the three months ended September 30, 2003 compared to 35.0% in the comparable period of 2002 and 35.7% for the six-month period ended September 30, 2003 compared to 35.2% for the comparable period of 2002. These increases are primarily attributable to increased sales volumes associated with favorable weather conditions, new product introductions, which tend to have higher margins and to some extent fixed costs included in cost of sales that do not fluctuate with volume changes.</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Selling, general and administrative expenses, as a percentage of sales, for the three and six months ended September 30, 2003 were 15.4% and 14.9%, respectively, compared to 14.1% and 14.0% for the comparable periods a year ago. The increases were mainly due to increased employee compensation and benefits within both the Industrial and Water Treatment segments, consulting fees associated with the requirements of the Sarbanes-Oxley Act and the Company’s evaluation of Enterprise Resource Planning systems and increased insurance and other operating costs. Employee compensation and benefits compromise the majority of the selling, general and administrative expenditures.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 xml:space="preserve">Investment income increased by $90,054 for the six months ended September 30, 2003, compared to the same period one year ago. The increase was primarily due to increased amounts of cash available for investment and higher returns on the Company’s cash equivalents and available for sale securities, which consist primarily of money market accounts, municipal bonds, U.S. Government agency securities, mutual funds, and </w:t>
      </w:r>
      <w:r>
        <w:rPr>
          <w:rFonts w:ascii="Arial" w:cs="Arial" w:eastAsia="Arial" w:hAnsi="Arial"/>
          <w:sz w:val="15"/>
          <w:szCs w:val="15"/>
          <w:color w:val="auto"/>
        </w:rPr>
        <w:t>investment contracts with high-</w:t>
      </w:r>
    </w:p>
    <w:p>
      <w:pPr>
        <w:spacing w:after="0"/>
        <w:rPr>
          <w:sz w:val="20"/>
          <w:szCs w:val="20"/>
          <w:color w:val="auto"/>
        </w:rPr>
      </w:pPr>
      <w:r>
        <w:rPr>
          <w:rFonts w:ascii="Arial" w:cs="Arial" w:eastAsia="Arial" w:hAnsi="Arial"/>
          <w:sz w:val="18"/>
          <w:szCs w:val="18"/>
          <w:color w:val="auto"/>
        </w:rPr>
        <w:t>rated, stable insurance companies.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effective income tax rate was 37.5% for the three and six months ended September 30, 2003 and was 37.0% for the three and six months ended September 30,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six-month period ended September 30, 2003, cash provided by operations was $5,492,801 compared to $10,259,559 for the same period one year ago. This decrease was primarily due to fluctuations in inventory values and quantities, year-over-year variances in tax payments and timing of retirement plan payments due to the Company’s change in fiscal year end, which resulted in the six-month transitional period ended March 31, 2002. These decreases were partially offset by an increase in net income.</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Cash provided by investing activities increased by $12,562,842 primarily due to a $14,172,682 decrease in purchases of investments as the Company was in the process of transitioning investments into higher rate of return investments during the six months ended September 30, 2002. This decrease in purchases was partially offset by an $807,649 increase in property and equipment additions during the six months ended September 30, 2003 in comparison to the six months ended September 30, 2002.</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and investments available-for-sale increased by $2,342,310 from March 30, 2003 to $26,598,591 as of September 30, 2003. The increase was primarily attributable to cash generated by operations in excess of capital expenditures and financing uses. Cash equivalents consist of money market accounts at a financial institution. Investments consist of investment contracts with high-rated, stable insurance companies, marketable securities consisting of municipal bonds, U.S. Government agency securities and mutual funds carried at fair value. Investments are highly liquid and are available upon demand generally with only a minor penalty.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w:t>
      </w:r>
    </w:p>
    <w:p>
      <w:pPr>
        <w:sectPr>
          <w:pgSz w:w="11900" w:h="16854" w:orient="portrait"/>
          <w:cols w:equalWidth="0" w:num="1">
            <w:col w:w="11420"/>
          </w:cols>
          <w:pgMar w:left="240" w:top="14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significant financing activities in either the short or long-term. If the need to obtain</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additional capital does arise, however, management is confident that the Company’s total debt to capital ratio at September 30, 2003 puts it in a position to obtain debt financing on favorable terms.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and money market accounts) purchased with an original maturity of three months or less. Investments classified as available-for-sale securities consist of investment contracts with high-rated, stable insurance companies, marketable securities consisting of municipal bonds, U.S. Government agency securities, and mutual funds carried at fair value.</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Other than as discussed above, management is not aware of any matters that have materially affected the six months ended September 30, 2003, or are expected to materially affect future periods, nor is management aware of other matters not affecting this period that are expected to materially affect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30, 2003 (fiscal 2003). The accounting policies used in preparing the Company’s interim fiscal 2004 financial statements are the same as those described in the Company’s Annual Report, except as described in Note 4 to the unaudited financial statements included in this report.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believes its critical accounting policies are those related to:</w:t>
      </w:r>
    </w:p>
    <w:p>
      <w:pPr>
        <w:spacing w:after="0" w:line="1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 The Company recognizes revenue when the product has been shipped to the customer if there is evidence that the customer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purchase the products, delivery and performance has occurred, the price and terms of sale are fixed, and collection of the receivable is expected.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the value of inventory deemed obsolete or excess to market.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 Property, plant and equipment are stated at cost and depreciated over the lives of the assets using both the straight-line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September 30, 2003, the Company had an investment portfolio of fixed income securities of $12,995,915 and mutual funds of $7,911,559, excluding $6,626,827 of those classified as cash and cash equivalents and variable rate securities.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is a defendant in a lawsuit encaptioned </w:t>
      </w:r>
      <w:r>
        <w:rPr>
          <w:rFonts w:ascii="Arial" w:cs="Arial" w:eastAsia="Arial" w:hAnsi="Arial"/>
          <w:sz w:val="16"/>
          <w:szCs w:val="16"/>
          <w:i w:val="1"/>
          <w:iCs w:val="1"/>
          <w:color w:val="auto"/>
        </w:rPr>
        <w:t>Chavarria v. Hawkins, Inc., Panorama Compounding Pharmacy, and Valley Drug and Compounding, 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 </w:t>
      </w:r>
      <w:r>
        <w:rPr>
          <w:rFonts w:ascii="Arial" w:cs="Arial" w:eastAsia="Arial" w:hAnsi="Arial"/>
          <w:sz w:val="16"/>
          <w:szCs w:val="16"/>
          <w:color w:val="auto"/>
        </w:rPr>
        <w:t>This action was filed on September 7, 2001 in the Superior Court of the State of California, County of Los Angeles, Northwest District, Case No. LC</w:t>
      </w:r>
      <w:r>
        <w:rPr>
          <w:rFonts w:ascii="Arial" w:cs="Arial" w:eastAsia="Arial" w:hAnsi="Arial"/>
          <w:sz w:val="16"/>
          <w:szCs w:val="16"/>
          <w:i w:val="1"/>
          <w:iCs w:val="1"/>
          <w:color w:val="auto"/>
        </w:rPr>
        <w:t xml:space="preserve"> </w:t>
      </w:r>
      <w:r>
        <w:rPr>
          <w:rFonts w:ascii="Arial" w:cs="Arial" w:eastAsia="Arial" w:hAnsi="Arial"/>
          <w:sz w:val="16"/>
          <w:szCs w:val="16"/>
          <w:color w:val="auto"/>
        </w:rPr>
        <w:t>057561. The plaintiffs are seeking unspecified compensatory and punitive damages relating to claims arising from the alleged mislabeling of certain inventory purchased by the Company as part of an acquisition by the Company in May 2000. The Company is vigorously defending the lawsuit. However,</w:t>
      </w:r>
    </w:p>
    <w:p>
      <w:pPr>
        <w:sectPr>
          <w:pgSz w:w="11900" w:h="16838" w:orient="portrait"/>
          <w:cols w:equalWidth="0" w:num="1">
            <w:col w:w="11420"/>
          </w:cols>
          <w:pgMar w:left="240" w:top="125" w:right="239" w:bottom="0" w:gutter="0" w:footer="0" w:header="0"/>
        </w:sectPr>
      </w:pPr>
    </w:p>
    <w:bookmarkStart w:id="7" w:name="page8"/>
    <w:bookmarkEnd w:id="7"/>
    <w:p>
      <w:pPr>
        <w:ind w:right="160"/>
        <w:spacing w:after="0" w:line="277" w:lineRule="auto"/>
        <w:rPr>
          <w:sz w:val="20"/>
          <w:szCs w:val="20"/>
          <w:color w:val="auto"/>
        </w:rPr>
      </w:pPr>
      <w:r>
        <w:rPr>
          <w:rFonts w:ascii="Arial" w:cs="Arial" w:eastAsia="Arial" w:hAnsi="Arial"/>
          <w:sz w:val="18"/>
          <w:szCs w:val="18"/>
          <w:color w:val="auto"/>
        </w:rPr>
        <w:t>due to the inherent uncertainty of litigation, the Company is unable to predict the outcome and what effect, if any, the resolution of this matter may have on the Company’s business or its financial condition.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25" w:lineRule="exact"/>
        <w:rPr>
          <w:sz w:val="20"/>
          <w:szCs w:val="20"/>
          <w:color w:val="auto"/>
        </w:rPr>
      </w:pPr>
    </w:p>
    <w:p>
      <w:pPr>
        <w:ind w:left="1080"/>
        <w:spacing w:after="0" w:line="264" w:lineRule="auto"/>
        <w:rPr>
          <w:sz w:val="20"/>
          <w:szCs w:val="20"/>
          <w:color w:val="auto"/>
        </w:rPr>
      </w:pPr>
      <w:r>
        <w:rPr>
          <w:rFonts w:ascii="Arial" w:cs="Arial" w:eastAsia="Arial" w:hAnsi="Arial"/>
          <w:sz w:val="18"/>
          <w:szCs w:val="18"/>
          <w:color w:val="auto"/>
        </w:rPr>
        <w:t>The annual meeting of the shareholders of the Company was held on August 14, 2003. 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ind w:left="720"/>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Arial" w:cs="Arial" w:eastAsia="Arial" w:hAnsi="Arial"/>
                <w:sz w:val="14"/>
                <w:szCs w:val="14"/>
                <w:b w:val="1"/>
                <w:bCs w:val="1"/>
                <w:color w:val="auto"/>
              </w:rPr>
              <w:t>Withheld</w:t>
            </w: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Abstain</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ind w:left="300"/>
              <w:spacing w:after="0"/>
              <w:rPr>
                <w:sz w:val="20"/>
                <w:szCs w:val="20"/>
                <w:color w:val="auto"/>
              </w:rPr>
            </w:pPr>
            <w:r>
              <w:rPr>
                <w:rFonts w:ascii="Arial" w:cs="Arial" w:eastAsia="Arial" w:hAnsi="Arial"/>
                <w:sz w:val="14"/>
                <w:szCs w:val="14"/>
                <w:b w:val="1"/>
                <w:bCs w:val="1"/>
                <w:color w:val="auto"/>
                <w:w w:val="98"/>
              </w:rPr>
              <w:t>Broker Non-votes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9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8,346,801</w:t>
            </w: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390,556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Kurt R. Norman</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8,298,692</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438,665</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Dean L. Hahn</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8,265,232</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472,125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Donald L. Shipp</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8,292,360</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444,997</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8,339,587</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397,770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John S. McKeon</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8,343,319</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394,038</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8,669,782</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67,575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G. Robert Gey</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8,626,857</w:t>
            </w:r>
          </w:p>
        </w:tc>
        <w:tc>
          <w:tcPr>
            <w:tcW w:w="1920" w:type="dxa"/>
            <w:vAlign w:val="bottom"/>
            <w:gridSpan w:val="2"/>
          </w:tcPr>
          <w:p>
            <w:pPr>
              <w:jc w:val="right"/>
              <w:ind w:right="260"/>
              <w:spacing w:after="0"/>
              <w:rPr>
                <w:sz w:val="20"/>
                <w:szCs w:val="20"/>
                <w:color w:val="auto"/>
              </w:rPr>
            </w:pPr>
            <w:r>
              <w:rPr>
                <w:rFonts w:ascii="Arial" w:cs="Arial" w:eastAsia="Arial" w:hAnsi="Arial"/>
                <w:sz w:val="18"/>
                <w:szCs w:val="18"/>
                <w:color w:val="auto"/>
              </w:rPr>
              <w:t>110,500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Daryl I. Skaar</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8,625,512</w:t>
            </w:r>
          </w:p>
        </w:tc>
        <w:tc>
          <w:tcPr>
            <w:tcW w:w="1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111,845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432"/>
        </w:trPr>
        <w:tc>
          <w:tcPr>
            <w:tcW w:w="4640" w:type="dxa"/>
            <w:vAlign w:val="bottom"/>
            <w:gridSpan w:val="6"/>
          </w:tcPr>
          <w:p>
            <w:pPr>
              <w:spacing w:after="0"/>
              <w:rPr>
                <w:sz w:val="20"/>
                <w:szCs w:val="20"/>
                <w:color w:val="auto"/>
              </w:rPr>
            </w:pPr>
            <w:r>
              <w:rPr>
                <w:rFonts w:ascii="Arial" w:cs="Arial" w:eastAsia="Arial" w:hAnsi="Arial"/>
                <w:sz w:val="18"/>
                <w:szCs w:val="18"/>
                <w:color w:val="auto"/>
              </w:rPr>
              <w:t>Item 6. Exhibits and Reports on Form 8-K</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40" w:type="dxa"/>
            <w:vAlign w:val="bottom"/>
            <w:gridSpan w:val="3"/>
          </w:tcPr>
          <w:p>
            <w:pPr>
              <w:jc w:val="center"/>
              <w:ind w:left="639"/>
              <w:spacing w:after="0"/>
              <w:rPr>
                <w:sz w:val="20"/>
                <w:szCs w:val="20"/>
                <w:color w:val="auto"/>
              </w:rPr>
            </w:pPr>
            <w:r>
              <w:rPr>
                <w:rFonts w:ascii="Arial" w:cs="Arial" w:eastAsia="Arial" w:hAnsi="Arial"/>
                <w:sz w:val="18"/>
                <w:szCs w:val="18"/>
                <w:color w:val="auto"/>
                <w:w w:val="95"/>
              </w:rPr>
              <w:t>Exhibit Index</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rPr>
              <w:t>Exhibit</w:t>
            </w: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Description</w:t>
            </w: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Method of Filing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6560" w:type="dxa"/>
            <w:vAlign w:val="bottom"/>
            <w:tcBorders>
              <w:top w:val="single" w:sz="8" w:color="auto"/>
            </w:tcBorders>
            <w:gridSpan w:val="7"/>
          </w:tcPr>
          <w:p>
            <w:pPr>
              <w:spacing w:after="0" w:line="195" w:lineRule="exact"/>
              <w:rPr>
                <w:sz w:val="20"/>
                <w:szCs w:val="20"/>
                <w:color w:val="auto"/>
              </w:rPr>
            </w:pPr>
            <w:r>
              <w:rPr>
                <w:rFonts w:ascii="Arial" w:cs="Arial" w:eastAsia="Arial" w:hAnsi="Arial"/>
                <w:sz w:val="18"/>
                <w:szCs w:val="18"/>
                <w:color w:val="auto"/>
                <w:w w:val="90"/>
              </w:rPr>
              <w:t>Amended and Second Restated Articles of Incorporation as amended through February 27,</w:t>
            </w:r>
          </w:p>
        </w:tc>
        <w:tc>
          <w:tcPr>
            <w:tcW w:w="3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2001.(1)</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Incorporated by Reference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6560" w:type="dxa"/>
            <w:vAlign w:val="bottom"/>
            <w:gridSpan w:val="7"/>
          </w:tcPr>
          <w:p>
            <w:pPr>
              <w:spacing w:after="0"/>
              <w:rPr>
                <w:sz w:val="20"/>
                <w:szCs w:val="20"/>
                <w:color w:val="auto"/>
              </w:rPr>
            </w:pPr>
            <w:r>
              <w:rPr>
                <w:rFonts w:ascii="Arial" w:cs="Arial" w:eastAsia="Arial" w:hAnsi="Arial"/>
                <w:sz w:val="18"/>
                <w:szCs w:val="18"/>
                <w:color w:val="auto"/>
              </w:rPr>
              <w:t>Amended and Superseding By-Laws as amended through February 15, 1995. (2)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Incorporated by Reference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31.1</w:t>
            </w:r>
          </w:p>
        </w:tc>
        <w:tc>
          <w:tcPr>
            <w:tcW w:w="6560" w:type="dxa"/>
            <w:vAlign w:val="bottom"/>
            <w:gridSpan w:val="7"/>
          </w:tcPr>
          <w:p>
            <w:pPr>
              <w:spacing w:after="0"/>
              <w:rPr>
                <w:sz w:val="20"/>
                <w:szCs w:val="20"/>
                <w:color w:val="auto"/>
              </w:rPr>
            </w:pPr>
            <w:r>
              <w:rPr>
                <w:rFonts w:ascii="Arial" w:cs="Arial" w:eastAsia="Arial" w:hAnsi="Arial"/>
                <w:sz w:val="18"/>
                <w:szCs w:val="18"/>
                <w:color w:val="auto"/>
                <w:w w:val="93"/>
              </w:rPr>
              <w:t>Certification by Chief Executive Officer pursuant to Rule 13a-14(a) of the Exchange Act.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31.2</w:t>
            </w:r>
          </w:p>
        </w:tc>
        <w:tc>
          <w:tcPr>
            <w:tcW w:w="6560" w:type="dxa"/>
            <w:vAlign w:val="bottom"/>
            <w:gridSpan w:val="7"/>
          </w:tcPr>
          <w:p>
            <w:pPr>
              <w:spacing w:after="0"/>
              <w:rPr>
                <w:sz w:val="20"/>
                <w:szCs w:val="20"/>
                <w:color w:val="auto"/>
              </w:rPr>
            </w:pPr>
            <w:r>
              <w:rPr>
                <w:rFonts w:ascii="Arial" w:cs="Arial" w:eastAsia="Arial" w:hAnsi="Arial"/>
                <w:sz w:val="18"/>
                <w:szCs w:val="18"/>
                <w:color w:val="auto"/>
                <w:w w:val="94"/>
              </w:rPr>
              <w:t>Certification by Chief Financial Officer pursuant to Rule 13a-14(a) of the Exchange Act.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32.1</w:t>
            </w:r>
          </w:p>
        </w:tc>
        <w:tc>
          <w:tcPr>
            <w:tcW w:w="4060" w:type="dxa"/>
            <w:vAlign w:val="bottom"/>
            <w:gridSpan w:val="4"/>
          </w:tcPr>
          <w:p>
            <w:pPr>
              <w:spacing w:after="0"/>
              <w:rPr>
                <w:sz w:val="20"/>
                <w:szCs w:val="20"/>
                <w:color w:val="auto"/>
              </w:rPr>
            </w:pPr>
            <w:r>
              <w:rPr>
                <w:rFonts w:ascii="Arial" w:cs="Arial" w:eastAsia="Arial" w:hAnsi="Arial"/>
                <w:sz w:val="18"/>
                <w:szCs w:val="18"/>
                <w:color w:val="auto"/>
                <w:w w:val="95"/>
              </w:rPr>
              <w:t>Section 1350 Certification by Chief Executive Officer.</w:t>
            </w: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32.2</w:t>
            </w:r>
          </w:p>
        </w:tc>
        <w:tc>
          <w:tcPr>
            <w:tcW w:w="4060" w:type="dxa"/>
            <w:vAlign w:val="bottom"/>
            <w:gridSpan w:val="4"/>
          </w:tcPr>
          <w:p>
            <w:pPr>
              <w:spacing w:after="0"/>
              <w:rPr>
                <w:sz w:val="20"/>
                <w:szCs w:val="20"/>
                <w:color w:val="auto"/>
              </w:rPr>
            </w:pPr>
            <w:r>
              <w:rPr>
                <w:rFonts w:ascii="Arial" w:cs="Arial" w:eastAsia="Arial" w:hAnsi="Arial"/>
                <w:sz w:val="18"/>
                <w:szCs w:val="18"/>
                <w:color w:val="auto"/>
                <w:w w:val="97"/>
              </w:rPr>
              <w:t>Section 1350 Certification by Chief Financial Officer.</w:t>
            </w: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Filed Electronically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197485</wp:posOffset>
            </wp:positionV>
            <wp:extent cx="1689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84" w:lineRule="exact"/>
        <w:rPr>
          <w:sz w:val="20"/>
          <w:szCs w:val="20"/>
          <w:color w:val="auto"/>
        </w:rPr>
      </w:pPr>
    </w:p>
    <w:p>
      <w:pPr>
        <w:ind w:left="900" w:hanging="352"/>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900" w:hanging="352"/>
        <w:spacing w:after="0"/>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rFonts w:ascii="Arial" w:cs="Arial" w:eastAsia="Arial" w:hAnsi="Arial"/>
          <w:sz w:val="18"/>
          <w:szCs w:val="18"/>
          <w:color w:val="auto"/>
        </w:rPr>
      </w:pPr>
    </w:p>
    <w:p>
      <w:pPr>
        <w:ind w:left="560" w:hanging="51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rFonts w:ascii="Arial" w:cs="Arial" w:eastAsia="Arial" w:hAnsi="Arial"/>
          <w:sz w:val="18"/>
          <w:szCs w:val="18"/>
          <w:color w:val="auto"/>
        </w:rPr>
      </w:pPr>
    </w:p>
    <w:p>
      <w:pPr>
        <w:ind w:left="540" w:right="60"/>
        <w:spacing w:after="0" w:line="277" w:lineRule="auto"/>
        <w:rPr>
          <w:rFonts w:ascii="Arial" w:cs="Arial" w:eastAsia="Arial" w:hAnsi="Arial"/>
          <w:sz w:val="18"/>
          <w:szCs w:val="18"/>
          <w:color w:val="auto"/>
        </w:rPr>
      </w:pPr>
      <w:r>
        <w:rPr>
          <w:rFonts w:ascii="Arial" w:cs="Arial" w:eastAsia="Arial" w:hAnsi="Arial"/>
          <w:sz w:val="18"/>
          <w:szCs w:val="18"/>
          <w:color w:val="auto"/>
        </w:rPr>
        <w:t>On August 13, 2003, we furnished a Current Report on Form 8-K to the SEC, including the Company’s press release announcing financial results for the quarter ended June 30, 2003.</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4500"/>
        <w:spacing w:after="0"/>
        <w:tabs>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14605</wp:posOffset>
            </wp:positionV>
            <wp:extent cx="4116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spacing w:after="0" w:line="219"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Marvin E. Dee</w:t>
      </w:r>
    </w:p>
    <w:p>
      <w:pPr>
        <w:spacing w:after="0" w:line="225"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2003</w:t>
      </w:r>
    </w:p>
    <w:p>
      <w:pPr>
        <w:sectPr>
          <w:pgSz w:w="11900" w:h="16838" w:orient="portrait"/>
          <w:cols w:equalWidth="0" w:num="1">
            <w:col w:w="11340"/>
          </w:cols>
          <w:pgMar w:left="240" w:top="125" w:right="319" w:bottom="1440" w:gutter="0" w:footer="0" w:header="0"/>
        </w:sect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right="160" w:firstLine="656"/>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656"/>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656"/>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460" w:firstLine="645"/>
        <w:spacing w:after="0" w:line="264" w:lineRule="auto"/>
        <w:tabs>
          <w:tab w:leader="none" w:pos="15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0" w:firstLine="645"/>
        <w:spacing w:after="0" w:line="342" w:lineRule="auto"/>
        <w:tabs>
          <w:tab w:leader="none" w:pos="1553"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300" w:firstLine="645"/>
        <w:spacing w:after="0" w:line="312" w:lineRule="auto"/>
        <w:tabs>
          <w:tab w:leader="none" w:pos="1556"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ind w:right="60" w:firstLine="656"/>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firstLine="645"/>
        <w:spacing w:after="0" w:line="308" w:lineRule="auto"/>
        <w:tabs>
          <w:tab w:leader="none" w:pos="1732"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40" w:firstLine="645"/>
        <w:spacing w:after="0" w:line="277" w:lineRule="auto"/>
        <w:tabs>
          <w:tab w:leader="none" w:pos="17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2003</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3027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1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right="160" w:firstLine="656"/>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656"/>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00" w:firstLine="656"/>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460" w:firstLine="645"/>
        <w:spacing w:after="0" w:line="264" w:lineRule="auto"/>
        <w:tabs>
          <w:tab w:leader="none" w:pos="15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0" w:firstLine="645"/>
        <w:spacing w:after="0" w:line="342" w:lineRule="auto"/>
        <w:tabs>
          <w:tab w:leader="none" w:pos="1553"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300" w:firstLine="645"/>
        <w:spacing w:after="0" w:line="312" w:lineRule="auto"/>
        <w:tabs>
          <w:tab w:leader="none" w:pos="155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6" w:lineRule="exact"/>
        <w:rPr>
          <w:rFonts w:ascii="Arial" w:cs="Arial" w:eastAsia="Arial" w:hAnsi="Arial"/>
          <w:sz w:val="16"/>
          <w:szCs w:val="16"/>
          <w:color w:val="auto"/>
        </w:rPr>
      </w:pPr>
    </w:p>
    <w:p>
      <w:pPr>
        <w:ind w:right="60" w:firstLine="656"/>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40" w:firstLine="645"/>
        <w:spacing w:after="0" w:line="308" w:lineRule="auto"/>
        <w:tabs>
          <w:tab w:leader="none" w:pos="1556"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120" w:firstLine="645"/>
        <w:spacing w:after="0" w:line="277" w:lineRule="auto"/>
        <w:tabs>
          <w:tab w:leader="none" w:pos="15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2003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connection with the Quarterly Report of Hawkins, Inc. (the Company) on Form 10-Q for the period ended September 30, 2003 as filed with the Securities and Exchange Commission on the date hereof (the Report), I, John R. Hawkins, Chief Executive Officer of the Company, certify, pursuant to 18 U.S.C.</w:t>
      </w:r>
    </w:p>
    <w:p>
      <w:pPr>
        <w:ind w:left="140" w:hanging="132"/>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2003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920" w:hanging="264"/>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abstractNum>
  <w:abstractNum w:abstractNumId="8">
    <w:nsid w:val="1F16E9E8"/>
    <w:multiLevelType w:val="hybridMultilevel"/>
    <w:lvl w:ilvl="0">
      <w:lvlJc w:val="left"/>
      <w:lvlText w:val="(%1)"/>
      <w:numFmt w:val="lowerLetter"/>
      <w:start w:val="2"/>
    </w:lvl>
    <w:lvl w:ilvl="1">
      <w:lvlJc w:val="left"/>
      <w:lvlText w:val="%2"/>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lvl w:ilvl="1">
      <w:lvlJc w:val="left"/>
      <w:lvlText w:val="(%2)"/>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2019-12-12T09:35:07Z</dcterms:created>
  <dcterms:modified xsi:type="dcterms:W3CDTF">2019-12-12T09:35:07Z</dcterms:modified>
</cp:coreProperties>
</file>