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Matthews Steven D II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6"/>
        <w:spacing w:after="0"/>
        <w:rPr>
          <w:sz w:val="20"/>
          <w:szCs w:val="20"/>
          <w:color w:val="auto"/>
        </w:rPr>
      </w:pPr>
      <w:r>
        <w:rPr>
          <w:rFonts w:ascii="Arial" w:cs="Arial" w:eastAsia="Arial" w:hAnsi="Arial"/>
          <w:sz w:val="18"/>
          <w:szCs w:val="18"/>
          <w:color w:val="0000FF"/>
        </w:rPr>
        <w:t>VP of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Josuha L. Colburn, attorney-</w:t>
            </w:r>
          </w:p>
        </w:tc>
        <w:tc>
          <w:tcPr>
            <w:tcW w:w="2320" w:type="dxa"/>
            <w:vAlign w:val="bottom"/>
            <w:gridSpan w:val="4"/>
            <w:vMerge w:val="restart"/>
          </w:tcPr>
          <w:p>
            <w:pPr>
              <w:ind w:left="60"/>
              <w:spacing w:after="0"/>
              <w:rPr>
                <w:sz w:val="20"/>
                <w:szCs w:val="20"/>
                <w:color w:val="auto"/>
              </w:rPr>
            </w:pPr>
            <w:r>
              <w:rPr>
                <w:rFonts w:ascii="Arial" w:cs="Arial" w:eastAsia="Arial" w:hAnsi="Arial"/>
                <w:sz w:val="18"/>
                <w:szCs w:val="18"/>
                <w:color w:val="0000FF"/>
              </w:rPr>
              <w:t>12/18/2013</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80" w:type="dxa"/>
            <w:vAlign w:val="bottom"/>
            <w:gridSpan w:val="3"/>
          </w:tcPr>
          <w:p>
            <w:pPr>
              <w:spacing w:after="0"/>
              <w:rPr>
                <w:sz w:val="7"/>
                <w:szCs w:val="7"/>
                <w:color w:val="auto"/>
              </w:rPr>
            </w:pPr>
          </w:p>
        </w:tc>
        <w:tc>
          <w:tcPr>
            <w:tcW w:w="23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20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159" w:firstLine="527"/>
        <w:spacing w:after="0" w:line="279" w:lineRule="auto"/>
        <w:rPr>
          <w:sz w:val="20"/>
          <w:szCs w:val="20"/>
          <w:color w:val="auto"/>
        </w:rPr>
      </w:pPr>
      <w:r>
        <w:rPr>
          <w:rFonts w:ascii="Courier New" w:cs="Courier New" w:eastAsia="Courier New" w:hAnsi="Courier New"/>
          <w:sz w:val="16"/>
          <w:szCs w:val="16"/>
          <w:color w:val="auto"/>
        </w:rPr>
        <w:t>I, Steven D. Matthews, hereby authorize and designate each of Richard G. Erstad, Steven C. Kennedy, W. Morgan Burns and Joshua L. Colburn, signing singly, as my true and lawful attorney-in-fact to:</w:t>
      </w:r>
    </w:p>
    <w:p>
      <w:pPr>
        <w:spacing w:after="0" w:line="178" w:lineRule="exact"/>
        <w:rPr>
          <w:sz w:val="20"/>
          <w:szCs w:val="20"/>
          <w:color w:val="auto"/>
        </w:rPr>
      </w:pPr>
    </w:p>
    <w:p>
      <w:pPr>
        <w:ind w:right="3039" w:firstLine="1061"/>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my behalf, in my capacity as an officer and/or director of Hawkins, Inc. (the "Company"), a Form ID and Forms 3, 4 and 5 in accordance with Section 16(a) of the Securities Exchange Act of 1934 (the "Exchange Act") and the rules and regulations promulgated thereunder and other forms or reports on my behalf as may be required to be filed in connection with my ownership, acquisition, or disposition of securities of the Company, including Form 144;</w:t>
      </w:r>
    </w:p>
    <w:p>
      <w:pPr>
        <w:spacing w:after="0" w:line="212" w:lineRule="exact"/>
        <w:rPr>
          <w:rFonts w:ascii="Courier New" w:cs="Courier New" w:eastAsia="Courier New" w:hAnsi="Courier New"/>
          <w:sz w:val="18"/>
          <w:szCs w:val="18"/>
          <w:color w:val="auto"/>
        </w:rPr>
      </w:pPr>
    </w:p>
    <w:p>
      <w:pPr>
        <w:ind w:right="2939" w:firstLine="1061"/>
        <w:spacing w:after="0" w:line="273"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my behalf that may be necessary or desirable to complete and execute any such Form ID, Form 3, 4 or 5 or Form 144, and any amendments to any of the foregoing, and timely file any such form with the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2939" w:firstLine="1061"/>
        <w:spacing w:after="0" w:line="237"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firstLine="527"/>
        <w:spacing w:after="0" w:line="270"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 or Rule 144 under the Securities Act of 1933, as amended (the "Securities Act").</w:t>
      </w:r>
    </w:p>
    <w:p>
      <w:pPr>
        <w:spacing w:after="0" w:line="388" w:lineRule="exact"/>
        <w:rPr>
          <w:sz w:val="20"/>
          <w:szCs w:val="20"/>
          <w:color w:val="auto"/>
        </w:rPr>
      </w:pPr>
    </w:p>
    <w:p>
      <w:pPr>
        <w:ind w:right="2939" w:firstLine="527"/>
        <w:spacing w:after="0" w:line="238"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 ID or Forms 3, 4 and 5 or Form 144 with respect to my holdings of and transactions in securities issued by the Company, unless earlier revoked by me in a signed writing delivered to the foregoing attorneys-in-fact. Notwithstanding the foregoing, if any such attorney-in-fact hereafter ceases to be at least one of the following: (i) an employee of the Company, (ii) a partner of Faegre Baker Daniels LLP or (iii) an employee of Faegre Baker Daniels LLP, then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if any, under Section 16 of the Exchange Act and Rule 144 under the Securities Act with respect to my holdings of and transactions in securities issued by the Company.</w:t>
      </w:r>
    </w:p>
    <w:p>
      <w:pPr>
        <w:spacing w:after="0" w:line="209"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12th day of December, 2013.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Steven D. Matthews, II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4383"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2019-12-17T10:39:32Z</dcterms:created>
  <dcterms:modified xsi:type="dcterms:W3CDTF">2019-12-17T10:39:32Z</dcterms:modified>
</cp:coreProperties>
</file>