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800" w:right="140" w:hanging="792"/>
        <w:spacing w:after="0" w:line="262" w:lineRule="auto"/>
        <w:tabs>
          <w:tab w:leader="none" w:pos="8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2003</w:t>
      </w:r>
    </w:p>
    <w:p>
      <w:pPr>
        <w:spacing w:after="0" w:line="225"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800" w:right="120" w:hanging="792"/>
        <w:spacing w:after="0" w:line="262" w:lineRule="auto"/>
        <w:tabs>
          <w:tab w:leader="none" w:pos="8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79" w:right="219" w:bottom="0" w:gutter="0" w:footer="0" w:header="0"/>
        </w:sectPr>
      </w:pPr>
    </w:p>
    <w:p>
      <w:pPr>
        <w:spacing w:after="0" w:line="15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100" w:space="720"/>
            <w:col w:w="4620"/>
          </w:cols>
          <w:pgMar w:left="240" w:top="579" w:right="219" w:bottom="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0-7647</w:t>
      </w:r>
    </w:p>
    <w:p>
      <w:pPr>
        <w:sectPr>
          <w:pgSz w:w="11900" w:h="16838" w:orient="portrait"/>
          <w:cols w:equalWidth="0" w:num="1">
            <w:col w:w="11440"/>
          </w:cols>
          <w:pgMar w:left="240" w:top="579" w:right="219" w:bottom="0" w:gutter="0" w:footer="0" w:header="0"/>
          <w:type w:val="continuous"/>
        </w:sectPr>
      </w:pP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HAWKINS,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69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7"/>
              </w:rPr>
              <w:t>MINNESOTA</w:t>
            </w:r>
          </w:p>
        </w:tc>
        <w:tc>
          <w:tcPr>
            <w:tcW w:w="27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41-0771293</w:t>
            </w:r>
          </w:p>
        </w:tc>
      </w:tr>
      <w:tr>
        <w:trPr>
          <w:trHeight w:val="234"/>
        </w:trPr>
        <w:tc>
          <w:tcPr>
            <w:tcW w:w="69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69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3100 EAST HENNEPIN AVENUE, MINNEAPOLIS, MINNESOTA</w:t>
            </w:r>
          </w:p>
        </w:tc>
        <w:tc>
          <w:tcPr>
            <w:tcW w:w="27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55413</w:t>
            </w:r>
          </w:p>
        </w:tc>
      </w:tr>
      <w:tr>
        <w:trPr>
          <w:trHeight w:val="234"/>
        </w:trPr>
        <w:tc>
          <w:tcPr>
            <w:tcW w:w="696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96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(612) 331-6910</w:t>
            </w:r>
          </w:p>
        </w:tc>
        <w:tc>
          <w:tcPr>
            <w:tcW w:w="2780" w:type="dxa"/>
            <w:vAlign w:val="bottom"/>
          </w:tcPr>
          <w:p>
            <w:pPr>
              <w:spacing w:after="0"/>
              <w:rPr>
                <w:sz w:val="24"/>
                <w:szCs w:val="24"/>
                <w:color w:val="auto"/>
              </w:rPr>
            </w:pPr>
          </w:p>
        </w:tc>
      </w:tr>
      <w:tr>
        <w:trPr>
          <w:trHeight w:val="234"/>
        </w:trPr>
        <w:tc>
          <w:tcPr>
            <w:tcW w:w="6960" w:type="dxa"/>
            <w:vAlign w:val="bottom"/>
          </w:tcPr>
          <w:p>
            <w:pPr>
              <w:jc w:val="center"/>
              <w:ind w:left="27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20"/>
                <w:szCs w:val="20"/>
                <w:color w:val="auto"/>
              </w:rPr>
            </w:pPr>
          </w:p>
        </w:tc>
      </w:tr>
    </w:tbl>
    <w:p>
      <w:pPr>
        <w:spacing w:after="0" w:line="198"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ind w:left="4600"/>
        <w:spacing w:after="0" w:line="207" w:lineRule="exact"/>
        <w:tabs>
          <w:tab w:leader="none" w:pos="5320" w:val="left"/>
          <w:tab w:leader="none" w:pos="6020" w:val="left"/>
          <w:tab w:leader="none" w:pos="67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w:t>
      </w:r>
    </w:p>
    <w:p>
      <w:pPr>
        <w:spacing w:after="0" w:line="197" w:lineRule="exact"/>
        <w:rPr>
          <w:sz w:val="24"/>
          <w:szCs w:val="24"/>
          <w:color w:val="auto"/>
        </w:rPr>
      </w:pPr>
    </w:p>
    <w:p>
      <w:pPr>
        <w:ind w:left="4600"/>
        <w:spacing w:after="0" w:line="207" w:lineRule="exact"/>
        <w:tabs>
          <w:tab w:leader="none" w:pos="5320" w:val="left"/>
          <w:tab w:leader="none" w:pos="5940" w:val="left"/>
          <w:tab w:leader="none" w:pos="66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AUGUST 8, 2003</w:t>
            </w:r>
          </w:p>
        </w:tc>
        <w:tc>
          <w:tcPr>
            <w:tcW w:w="20" w:type="dxa"/>
            <w:vAlign w:val="bottom"/>
          </w:tcPr>
          <w:p>
            <w:pPr>
              <w:spacing w:after="0"/>
              <w:rPr>
                <w:sz w:val="15"/>
                <w:szCs w:val="15"/>
                <w:color w:val="auto"/>
              </w:rPr>
            </w:pPr>
          </w:p>
        </w:tc>
      </w:tr>
      <w:tr>
        <w:trPr>
          <w:trHeight w:val="228"/>
        </w:trPr>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$.05 per share</w:t>
            </w:r>
          </w:p>
        </w:tc>
        <w:tc>
          <w:tcPr>
            <w:tcW w:w="280" w:type="dxa"/>
            <w:vAlign w:val="bottom"/>
          </w:tcPr>
          <w:p>
            <w:pPr>
              <w:spacing w:after="0"/>
              <w:rPr>
                <w:sz w:val="19"/>
                <w:szCs w:val="19"/>
                <w:color w:val="auto"/>
              </w:rPr>
            </w:pPr>
          </w:p>
        </w:tc>
        <w:tc>
          <w:tcPr>
            <w:tcW w:w="5560" w:type="dxa"/>
            <w:vAlign w:val="bottom"/>
            <w:tcBorders>
              <w:top w:val="single" w:sz="8" w:color="auto"/>
            </w:tcBorders>
          </w:tcPr>
          <w:p>
            <w:pPr>
              <w:jc w:val="right"/>
              <w:ind w:right="2299"/>
              <w:spacing w:after="0"/>
              <w:rPr>
                <w:sz w:val="20"/>
                <w:szCs w:val="20"/>
                <w:color w:val="auto"/>
              </w:rPr>
            </w:pPr>
            <w:r>
              <w:rPr>
                <w:rFonts w:ascii="Times New Roman" w:cs="Times New Roman" w:eastAsia="Times New Roman" w:hAnsi="Times New Roman"/>
                <w:sz w:val="18"/>
                <w:szCs w:val="18"/>
                <w:color w:val="auto"/>
              </w:rPr>
              <w:t>10,216,688</w:t>
            </w:r>
          </w:p>
        </w:tc>
        <w:tc>
          <w:tcPr>
            <w:tcW w:w="20" w:type="dxa"/>
            <w:vAlign w:val="bottom"/>
          </w:tcPr>
          <w:p>
            <w:pPr>
              <w:spacing w:after="0"/>
              <w:rPr>
                <w:sz w:val="19"/>
                <w:szCs w:val="19"/>
                <w:color w:val="auto"/>
              </w:rPr>
            </w:pPr>
          </w:p>
        </w:tc>
      </w:tr>
      <w:tr>
        <w:trPr>
          <w:trHeight w:val="232"/>
        </w:trPr>
        <w:tc>
          <w:tcPr>
            <w:tcW w:w="5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5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5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4"/>
          <w:szCs w:val="24"/>
          <w:color w:val="auto"/>
        </w:rPr>
      </w:pPr>
    </w:p>
    <w:p>
      <w:pPr>
        <w:ind w:left="20"/>
        <w:spacing w:after="0"/>
        <w:tabs>
          <w:tab w:leader="none" w:pos="1200" w:val="left"/>
        </w:tabs>
        <w:rPr>
          <w:rFonts w:ascii="Times New Roman" w:cs="Times New Roman" w:eastAsia="Times New Roman" w:hAnsi="Times New Roman"/>
          <w:sz w:val="17"/>
          <w:szCs w:val="17"/>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w:t>
        </w:r>
      </w:hyperlink>
      <w:r>
        <w:rPr>
          <w:rFonts w:ascii="Times New Roman" w:cs="Times New Roman" w:eastAsia="Times New Roman" w:hAnsi="Times New Roman"/>
          <w:sz w:val="18"/>
          <w:szCs w:val="18"/>
          <w:b w:val="1"/>
          <w:bCs w:val="1"/>
          <w:u w:val="single" w:color="auto"/>
          <w:color w:val="0000EE"/>
        </w:rPr>
        <w:tab/>
      </w:r>
      <w:hyperlink w:anchor="page2">
        <w:r>
          <w:rPr>
            <w:rFonts w:ascii="Times New Roman" w:cs="Times New Roman" w:eastAsia="Times New Roman" w:hAnsi="Times New Roman"/>
            <w:sz w:val="17"/>
            <w:szCs w:val="17"/>
            <w:b w:val="1"/>
            <w:bCs w:val="1"/>
            <w:u w:val="single" w:color="auto"/>
            <w:color w:val="0000EE"/>
          </w:rPr>
          <w:t>FINANCIAL INFORMATION</w:t>
        </w:r>
      </w:hyperlink>
    </w:p>
    <w:p>
      <w:pPr>
        <w:spacing w:after="0" w:line="229" w:lineRule="exact"/>
        <w:rPr>
          <w:sz w:val="20"/>
          <w:szCs w:val="20"/>
          <w:color w:val="auto"/>
        </w:rPr>
      </w:pPr>
    </w:p>
    <w:p>
      <w:pPr>
        <w:ind w:left="20"/>
        <w:spacing w:after="0"/>
        <w:tabs>
          <w:tab w:leader="none" w:pos="1200" w:val="left"/>
        </w:tabs>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Item 1.</w:t>
        </w:r>
      </w:hyperlink>
      <w:r>
        <w:rPr>
          <w:rFonts w:ascii="Times New Roman" w:cs="Times New Roman" w:eastAsia="Times New Roman" w:hAnsi="Times New Roman"/>
          <w:sz w:val="18"/>
          <w:szCs w:val="18"/>
          <w:u w:val="single" w:color="auto"/>
          <w:color w:val="0000EE"/>
        </w:rPr>
        <w:tab/>
      </w:r>
      <w:hyperlink w:anchor="page2">
        <w:r>
          <w:rPr>
            <w:rFonts w:ascii="Times New Roman" w:cs="Times New Roman" w:eastAsia="Times New Roman" w:hAnsi="Times New Roman"/>
            <w:sz w:val="18"/>
            <w:szCs w:val="18"/>
            <w:u w:val="single" w:color="auto"/>
            <w:color w:val="0000EE"/>
          </w:rPr>
          <w:t>Financial Statements:</w:t>
        </w:r>
      </w:hyperlink>
    </w:p>
    <w:p>
      <w:pPr>
        <w:spacing w:after="0" w:line="225"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Condensed Balance Sheets - June 30, 2003 and March 30, 2003</w:t>
        </w:r>
      </w:hyperlink>
    </w:p>
    <w:p>
      <w:pPr>
        <w:spacing w:after="0" w:line="225"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Condensed Statements of Income - Three Months Ended June 30, 2003 and 2002</w:t>
        </w:r>
      </w:hyperlink>
    </w:p>
    <w:p>
      <w:pPr>
        <w:spacing w:after="0" w:line="225"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Statements of Cash Flows - Three Months Ended June 30, 2003 and 2002</w:t>
        </w:r>
      </w:hyperlink>
    </w:p>
    <w:p>
      <w:pPr>
        <w:spacing w:after="0" w:line="225"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Notes to Condensed Financial Statements</w:t>
        </w:r>
      </w:hyperlink>
    </w:p>
    <w:p>
      <w:pPr>
        <w:spacing w:after="0" w:line="225" w:lineRule="exact"/>
        <w:rPr>
          <w:sz w:val="20"/>
          <w:szCs w:val="20"/>
          <w:color w:val="auto"/>
        </w:rPr>
      </w:pPr>
    </w:p>
    <w:p>
      <w:pPr>
        <w:ind w:left="20"/>
        <w:spacing w:after="0"/>
        <w:tabs>
          <w:tab w:leader="none" w:pos="120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Item 2.</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ectPr>
          <w:pgSz w:w="11900" w:h="16838" w:orient="portrait"/>
          <w:cols w:equalWidth="0" w:num="1">
            <w:col w:w="11440"/>
          </w:cols>
          <w:pgMar w:left="240" w:top="579"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3.</w:t>
              </w:r>
            </w:hyperlink>
          </w:p>
        </w:tc>
        <w:tc>
          <w:tcPr>
            <w:tcW w:w="5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4.</w:t>
              </w:r>
            </w:hyperlink>
          </w:p>
        </w:tc>
        <w:tc>
          <w:tcPr>
            <w:tcW w:w="5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Controls and Procedures</w:t>
              </w:r>
            </w:hyperlink>
          </w:p>
        </w:tc>
        <w:tc>
          <w:tcPr>
            <w:tcW w:w="460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gridSpan w:val="4"/>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PART II.</w:t>
              </w:r>
            </w:hyperlink>
          </w:p>
        </w:tc>
        <w:tc>
          <w:tcPr>
            <w:tcW w:w="6480" w:type="dxa"/>
            <w:vAlign w:val="bottom"/>
            <w:gridSpan w:val="6"/>
          </w:tcPr>
          <w:p>
            <w:pPr>
              <w:ind w:left="100"/>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OTHER INFORMATION</w:t>
              </w:r>
            </w:hyperlink>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6.</w:t>
              </w:r>
            </w:hyperlink>
          </w:p>
        </w:tc>
        <w:tc>
          <w:tcPr>
            <w:tcW w:w="18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Exhibits and Reports on Form 8-K</w:t>
              </w:r>
            </w:hyperlink>
          </w:p>
        </w:tc>
        <w:tc>
          <w:tcPr>
            <w:tcW w:w="38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gridSpan w:val="4"/>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Signatures</w:t>
              </w:r>
            </w:hyperlink>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80" w:type="dxa"/>
            <w:vAlign w:val="bottom"/>
            <w:gridSpan w:val="6"/>
          </w:tcPr>
          <w:p>
            <w:pPr>
              <w:jc w:val="right"/>
              <w:ind w:right="18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HAWKINS,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CONDENSED BALANCE SHEETS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2,760,432</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available-for-sale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21,887,165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22,902,561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Trade receivables -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11,400,837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11,253,571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9,398,338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CEEFF"/>
            </w:tcBorders>
            <w:gridSpan w:val="10"/>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2,077,098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2,502,496</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47,781,935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47,410,686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27,753,580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27,466,519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less accumulated amortization of $ 1,372,258 and $1,301,386, respectively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3,061,663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3,159,871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81,514,801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81,098,739</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Accounts payable - trade</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5,923,780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5,854,720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1,839,004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CEEFF"/>
            </w:tcBorders>
            <w:gridSpan w:val="10"/>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5,519,666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6,210,526</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13,904,250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1,254,649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226,336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Common stock, par value $.05 per share; 10,216,688 shares issued and outstanding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37,747,492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0"/>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30,168,131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27,376,115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gridSpan w:val="10"/>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68,579,620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65,713,504</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81,514,801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81,098,739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-7018655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-7018655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ectPr>
          <w:pgSz w:w="11900" w:h="16838" w:orient="portrait"/>
          <w:cols w:equalWidth="0" w:num="1">
            <w:col w:w="11440"/>
          </w:cols>
          <w:pgMar w:left="240" w:top="108" w:right="219" w:bottom="0" w:gutter="0" w:footer="0" w:header="0"/>
        </w:sectPr>
      </w:pPr>
    </w:p>
    <w:p>
      <w:pPr>
        <w:spacing w:after="0" w:line="200"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7620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88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2003</w:t>
      </w:r>
      <w:r>
        <w:rPr>
          <w:sz w:val="20"/>
          <w:szCs w:val="20"/>
          <w:color w:val="auto"/>
        </w:rPr>
        <w:tab/>
      </w:r>
      <w:r>
        <w:rPr>
          <w:rFonts w:ascii="Times New Roman" w:cs="Times New Roman" w:eastAsia="Times New Roman" w:hAnsi="Times New Roman"/>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40"/>
          </w:cols>
          <w:pgMar w:left="240" w:top="108" w:right="21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29,066,867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27,282,901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20,630,734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19,531,775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8,436,133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4,192,655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3,795,835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4,243,478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222,538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4,466,016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4,086,395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1,674,000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2,792,016</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3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10,216,688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3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3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3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00"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2,792,016</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Reconciliation to cash flows: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719,182</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accounts providing (requiring) cash:</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Trade receivables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(147,266)</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(258,065)</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69,060</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(724,110)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450,081</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2,900,898</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(935,371)</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(779,029)</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(7,245,973)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2,012,525</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received on notes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46,693</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344,818</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(5,384,136)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(1,839,004)</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(1,839,004)</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1,406,712</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(2,034,137)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1,353,720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2,760,432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180,998</w:t>
            </w:r>
          </w:p>
        </w:tc>
        <w:tc>
          <w:tcPr>
            <w:tcW w:w="2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14" w:right="21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7" w:lineRule="exact"/>
        <w:rPr>
          <w:sz w:val="20"/>
          <w:szCs w:val="20"/>
          <w:color w:val="auto"/>
        </w:rPr>
      </w:pPr>
    </w:p>
    <w:p>
      <w:pPr>
        <w:ind w:left="660" w:right="60" w:hanging="652"/>
        <w:spacing w:after="0" w:line="255" w:lineRule="auto"/>
        <w:tabs>
          <w:tab w:leader="none" w:pos="6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30, 2003, previously filed with the Securities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policies followed by the Company are set forth in Note 1 to the Company’s financial statements in the Company’s Annual Report on Form 10-K for the fiscal year ended March 30, 2003 filed with the Commission on June 27, 2003.</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for the period ended June 30, 2003 are not necessarily indicative of the results that may be expected for the full year.</w:t>
      </w:r>
    </w:p>
    <w:p>
      <w:pPr>
        <w:spacing w:after="0" w:line="225" w:lineRule="exact"/>
        <w:rPr>
          <w:rFonts w:ascii="Times New Roman" w:cs="Times New Roman" w:eastAsia="Times New Roman" w:hAnsi="Times New Roman"/>
          <w:sz w:val="18"/>
          <w:szCs w:val="18"/>
          <w:color w:val="auto"/>
        </w:rPr>
      </w:pPr>
    </w:p>
    <w:p>
      <w:pPr>
        <w:ind w:left="660" w:right="500" w:hanging="652"/>
        <w:spacing w:after="0" w:line="282" w:lineRule="auto"/>
        <w:tabs>
          <w:tab w:leader="none" w:pos="6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principally valued by the LIFO method, are less than current cost by approximately $528,000 at June 30, 2003. Inventory consists principally of finished goods.</w:t>
      </w:r>
    </w:p>
    <w:p>
      <w:pPr>
        <w:spacing w:after="0" w:line="161" w:lineRule="exact"/>
        <w:rPr>
          <w:rFonts w:ascii="Times New Roman" w:cs="Times New Roman" w:eastAsia="Times New Roman" w:hAnsi="Times New Roman"/>
          <w:sz w:val="18"/>
          <w:szCs w:val="18"/>
          <w:color w:val="auto"/>
        </w:rPr>
      </w:pPr>
    </w:p>
    <w:p>
      <w:pPr>
        <w:ind w:left="660" w:right="200" w:hanging="652"/>
        <w:spacing w:after="0" w:line="254" w:lineRule="auto"/>
        <w:tabs>
          <w:tab w:leader="none" w:pos="6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2001, the Financial Accounting Standards Board (FASB) issued Statement of Financial Accounting Standards (SFAS) No. 142, “Goodwill and Other Intangible Assets.” The Company adopted the provisions of SFAS No. 142 for other intangibles and goodwill acquired before June 30, 2001 on April 1, 2002. Under SFAS No. 142, goodwill as well as other intangibles determined to have an infinite life will no longer be amortized; however, these assets will be reviewed for impairment on a periodic basis. SFAS No.142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 The implementation of SFAS No. 142 did not impact the Company’s financial statements since the Company does not have any goodwill recorded. As of June 30, 2003 the Company had net intangible assets of $2,990,791 and amortization expense during the quarter ended June 30, 2003 was approximately $71,000. The estimated amortization expense for each of the next five years is approximately $284,000 per year.</w:t>
      </w:r>
    </w:p>
    <w:p>
      <w:pPr>
        <w:spacing w:after="0" w:line="189" w:lineRule="exact"/>
        <w:rPr>
          <w:rFonts w:ascii="Times New Roman" w:cs="Times New Roman" w:eastAsia="Times New Roman" w:hAnsi="Times New Roman"/>
          <w:sz w:val="18"/>
          <w:szCs w:val="18"/>
          <w:color w:val="auto"/>
        </w:rPr>
      </w:pPr>
    </w:p>
    <w:p>
      <w:pPr>
        <w:ind w:left="660" w:right="2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2002, the FASB issued Interpretation No. 45, “Guarantor’s Accounting and Disclosure Requirements for Guarantees, Including Indirect Guarantees of Indebtedness of Others” (Interpretation No. 45). Interpretation No. 45 clarifies the disclosures to be made by a guarantor in its interim and annual financial statements about its obligations under certain guarantees that it has issued. Interpretation No. 45 also requires a guarantor to recognize, at the inception of a guarantee, a liability for the fair value of the obligation undertaken in issuing certain types of guarantees. The disclosure requirements in Interpretation No. 45 are effective for interim or annual financial statements for periods ended after December 15, 2002. The adoption of Interpretation No. 45 did not have an impact on the Company’s results of operations or financial position.</w:t>
      </w:r>
    </w:p>
    <w:p>
      <w:pPr>
        <w:spacing w:after="0" w:line="187" w:lineRule="exact"/>
        <w:rPr>
          <w:rFonts w:ascii="Times New Roman" w:cs="Times New Roman" w:eastAsia="Times New Roman" w:hAnsi="Times New Roman"/>
          <w:sz w:val="18"/>
          <w:szCs w:val="18"/>
          <w:color w:val="auto"/>
        </w:rPr>
      </w:pPr>
    </w:p>
    <w:p>
      <w:pPr>
        <w:ind w:left="6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2003, the FASB issued Interpretation No. 46, “Consolidation of Variable Interest Entities (VIE), an Interpretation of ARB No. 51,” which requires all VIEs to be consolidated by the primary beneficiary. The primary beneficiary is the entity that holds the majority of the beneficial interests in the VIE. In addition, the interpretation expands disclosure requirements for both VIEs that are consolidated as well as VIEs from which the entity is the holder of a significant amount of the beneficial interests, but not the majority. The disclosure requirements of this interpretation are effective for all financial statements issued after January 31, 2003. The consolidation requirements of this interpretation are effective for all periods beginning after June 15, 2003. The adoption of Interpretation No. 45 did not have an impact on the Company’s results of operations or financial position.</w:t>
      </w:r>
    </w:p>
    <w:p>
      <w:pPr>
        <w:spacing w:after="0" w:line="189"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two reportable segments: Industrial and Water Treatment. Reportable segments are defined by product and type of customer. Each segment is responsible for the sales, marketing and development of their products and services. The segments do not have separate accounting, administration, customer service or purchasing functions.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180" w:type="dxa"/>
            <w:vAlign w:val="bottom"/>
          </w:tcPr>
          <w:p>
            <w:pPr>
              <w:spacing w:after="0"/>
              <w:rPr>
                <w:sz w:val="13"/>
                <w:szCs w:val="13"/>
                <w:color w:val="auto"/>
              </w:rPr>
            </w:pPr>
          </w:p>
        </w:tc>
        <w:tc>
          <w:tcPr>
            <w:tcW w:w="13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WATER</w:t>
            </w:r>
          </w:p>
        </w:tc>
        <w:tc>
          <w:tcPr>
            <w:tcW w:w="260" w:type="dxa"/>
            <w:vAlign w:val="bottom"/>
          </w:tcPr>
          <w:p>
            <w:pPr>
              <w:spacing w:after="0"/>
              <w:rPr>
                <w:sz w:val="13"/>
                <w:szCs w:val="13"/>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7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JUNE 30, 2003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17,836,741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11,230,126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29,066,867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4,424,418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2,525,511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JUNE 30, 2002</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17,118,450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10,164,451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3,610,529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3,955,291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0"/>
        <w:spacing w:after="0" w:line="532" w:lineRule="auto"/>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 FORWARD-LOOKING INFORMATION</w:t>
      </w:r>
    </w:p>
    <w:p>
      <w:pPr>
        <w:sectPr>
          <w:pgSz w:w="11900" w:h="16838" w:orient="portrait"/>
          <w:cols w:equalWidth="0" w:num="1">
            <w:col w:w="11420"/>
          </w:cols>
          <w:pgMar w:left="240" w:top="337" w:right="239" w:bottom="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Quarterly Report on Form 10-Q for the period ended June 30, 2003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“expected,”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such factors and should not consider the following list to be a complete statement of all potential risks and uncertainties.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89" w:lineRule="exact"/>
        <w:rPr>
          <w:sz w:val="20"/>
          <w:szCs w:val="20"/>
          <w:color w:val="auto"/>
        </w:rPr>
      </w:pPr>
    </w:p>
    <w:p>
      <w:pPr>
        <w:ind w:left="1620" w:hanging="315"/>
        <w:spacing w:after="0" w:line="243" w:lineRule="auto"/>
        <w:tabs>
          <w:tab w:leader="none" w:pos="161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hence lower prices.</w:t>
      </w:r>
    </w:p>
    <w:p>
      <w:pPr>
        <w:spacing w:after="0" w:line="222" w:lineRule="exact"/>
        <w:rPr>
          <w:rFonts w:ascii="Times New Roman" w:cs="Times New Roman" w:eastAsia="Times New Roman" w:hAnsi="Times New Roman"/>
          <w:sz w:val="22"/>
          <w:szCs w:val="22"/>
          <w:color w:val="auto"/>
        </w:rPr>
      </w:pPr>
    </w:p>
    <w:p>
      <w:pPr>
        <w:ind w:left="1620" w:right="260" w:hanging="315"/>
        <w:spacing w:after="0" w:line="239" w:lineRule="auto"/>
        <w:tabs>
          <w:tab w:leader="none" w:pos="161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227" w:lineRule="exact"/>
        <w:rPr>
          <w:rFonts w:ascii="Times New Roman" w:cs="Times New Roman" w:eastAsia="Times New Roman" w:hAnsi="Times New Roman"/>
          <w:sz w:val="22"/>
          <w:szCs w:val="22"/>
          <w:color w:val="auto"/>
        </w:rPr>
      </w:pPr>
    </w:p>
    <w:p>
      <w:pPr>
        <w:ind w:left="1620" w:right="300" w:hanging="315"/>
        <w:spacing w:after="0" w:line="235" w:lineRule="auto"/>
        <w:tabs>
          <w:tab w:leader="none" w:pos="161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6"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competition which could affect our ability to raise prices or successfully enter certain markets.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hanging="315"/>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customer demand which may significantly reduce revenues and income.</w:t>
      </w:r>
    </w:p>
    <w:p>
      <w:pPr>
        <w:spacing w:after="0" w:line="206"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product costs or operating expenses which may reduce our operating margins.</w:t>
      </w:r>
    </w:p>
    <w:p>
      <w:pPr>
        <w:spacing w:after="0" w:line="206"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financial condition of our customers and their ability to purchase our products at comparable prices.</w:t>
      </w:r>
    </w:p>
    <w:p>
      <w:pPr>
        <w:spacing w:after="0" w:line="206"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Unforeseen problems in our ability to develop, introduce and gain market acceptance for new products.</w:t>
      </w:r>
    </w:p>
    <w:p>
      <w:pPr>
        <w:spacing w:after="0" w:line="224" w:lineRule="exact"/>
        <w:rPr>
          <w:rFonts w:ascii="Times New Roman" w:cs="Times New Roman" w:eastAsia="Times New Roman" w:hAnsi="Times New Roman"/>
          <w:sz w:val="22"/>
          <w:szCs w:val="22"/>
          <w:color w:val="auto"/>
        </w:rPr>
      </w:pPr>
    </w:p>
    <w:p>
      <w:pPr>
        <w:ind w:left="1620" w:right="20" w:hanging="315"/>
        <w:spacing w:after="0" w:line="235" w:lineRule="auto"/>
        <w:tabs>
          <w:tab w:leader="none" w:pos="161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changes in our business strategies, including acquisition, divestiture and restructuring activities which may affect our ability to focus on operating activities or increase costs.</w:t>
      </w:r>
    </w:p>
    <w:p>
      <w:pPr>
        <w:spacing w:after="0" w:line="224" w:lineRule="exact"/>
        <w:rPr>
          <w:rFonts w:ascii="Times New Roman" w:cs="Times New Roman" w:eastAsia="Times New Roman" w:hAnsi="Times New Roman"/>
          <w:sz w:val="22"/>
          <w:szCs w:val="22"/>
          <w:color w:val="auto"/>
        </w:rPr>
      </w:pPr>
    </w:p>
    <w:p>
      <w:pPr>
        <w:ind w:left="1620" w:right="240" w:hanging="315"/>
        <w:spacing w:after="0" w:line="235" w:lineRule="auto"/>
        <w:tabs>
          <w:tab w:leader="none" w:pos="161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economic and political conditions, such as political instability or the rate of economic growth in our principal geographic or product markets.</w:t>
      </w:r>
    </w:p>
    <w:p>
      <w:pPr>
        <w:spacing w:after="0" w:line="224" w:lineRule="exact"/>
        <w:rPr>
          <w:rFonts w:ascii="Times New Roman" w:cs="Times New Roman" w:eastAsia="Times New Roman" w:hAnsi="Times New Roman"/>
          <w:sz w:val="22"/>
          <w:szCs w:val="22"/>
          <w:color w:val="auto"/>
        </w:rPr>
      </w:pPr>
    </w:p>
    <w:p>
      <w:pPr>
        <w:ind w:left="1620" w:right="20" w:hanging="315"/>
        <w:spacing w:after="0" w:line="235" w:lineRule="auto"/>
        <w:tabs>
          <w:tab w:leader="none" w:pos="161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operating factors, such as our ability to make continued improvements in distribution efficiencies and inventory risks due to shifts in market demand.</w:t>
      </w:r>
    </w:p>
    <w:p>
      <w:pPr>
        <w:spacing w:after="0" w:line="224" w:lineRule="exact"/>
        <w:rPr>
          <w:rFonts w:ascii="Times New Roman" w:cs="Times New Roman" w:eastAsia="Times New Roman" w:hAnsi="Times New Roman"/>
          <w:sz w:val="22"/>
          <w:szCs w:val="22"/>
          <w:color w:val="auto"/>
        </w:rPr>
      </w:pPr>
    </w:p>
    <w:p>
      <w:pPr>
        <w:ind w:left="1620" w:right="420" w:hanging="315"/>
        <w:spacing w:after="0" w:line="235" w:lineRule="auto"/>
        <w:tabs>
          <w:tab w:leader="none" w:pos="161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Unforeseen or recurring operational problems or natural disasters at any of our facilities causing significant lost production and/or increased costs.</w:t>
      </w:r>
    </w:p>
    <w:p>
      <w:pPr>
        <w:spacing w:after="0" w:line="224" w:lineRule="exact"/>
        <w:rPr>
          <w:rFonts w:ascii="Times New Roman" w:cs="Times New Roman" w:eastAsia="Times New Roman" w:hAnsi="Times New Roman"/>
          <w:sz w:val="22"/>
          <w:szCs w:val="22"/>
          <w:color w:val="auto"/>
        </w:rPr>
      </w:pPr>
    </w:p>
    <w:p>
      <w:pPr>
        <w:ind w:left="1620" w:right="980" w:hanging="315"/>
        <w:spacing w:after="0" w:line="235" w:lineRule="auto"/>
        <w:tabs>
          <w:tab w:leader="none" w:pos="161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Technology risks, such as the failure to successfully implement new technology, or the failure to continue to make process improvements to reduce costs or to analyze our business.</w:t>
      </w:r>
    </w:p>
    <w:p>
      <w:pPr>
        <w:spacing w:after="0" w:line="206"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Loss of senior management or other key personnel and our ability to hire suitable replacements in a timely manner.</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Sales increased $1,783,966, or 6.5%, in the three months ended June 30, 2003 as compared to the three months ended June 30, 2002. Of this increase, the Industrial segment increase was $718,291 and the Water Treatment segment increase was $1,065,675. The Industrial segment’s increase was mainly attributable to selling price increases of a single, large-volume product (caustic soda) and to volume increases in some of the other product lines. The Water Treatment segment’s increase was mainly attributable to volume increases, due in part to the geographic expansion into Illinois and Nebraska, and to a lesser extent, selling price increases.</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gross margin, as a percentage of sales, for the three months ended June 30, 2003 was 29.0% compared to 28.4% for the three months ended June 30, 2002. For the Industrial segment, gross margin, as a percentage of sales, was 24.8% for the three months ended June 30, 2003 compared to 24.2% for the</w:t>
      </w:r>
    </w:p>
    <w:p>
      <w:pPr>
        <w:sectPr>
          <w:pgSz w:w="11900" w:h="16838" w:orient="portrait"/>
          <w:cols w:equalWidth="0" w:num="1">
            <w:col w:w="11400"/>
          </w:cols>
          <w:pgMar w:left="240" w:top="121" w:right="259" w:bottom="0" w:gutter="0" w:footer="0" w:header="0"/>
        </w:sectPr>
      </w:pPr>
    </w:p>
    <w:bookmarkStart w:id="5" w:name="page6"/>
    <w:bookmarkEnd w:id="5"/>
    <w:p>
      <w:pPr>
        <w:ind w:right="40"/>
        <w:spacing w:after="0" w:line="255" w:lineRule="auto"/>
        <w:rPr>
          <w:sz w:val="20"/>
          <w:szCs w:val="20"/>
          <w:color w:val="auto"/>
        </w:rPr>
      </w:pPr>
      <w:r>
        <w:rPr>
          <w:rFonts w:ascii="Times New Roman" w:cs="Times New Roman" w:eastAsia="Times New Roman" w:hAnsi="Times New Roman"/>
          <w:sz w:val="18"/>
          <w:szCs w:val="18"/>
          <w:color w:val="auto"/>
        </w:rPr>
        <w:t>comparable period ended June 30, 2002. This increase was partially due to the rising cost and selling price of caustic soda at a time when the Company had sufficient stock on hand. The increase was also due to volume increases in product lines that typically have a higher gross margin percentage and to certain fixed costs included in cost of sales that do not fluctuate with sales volumes. The Company attempts to maintain relatively constant dollar margins as the cost of caustic soda increases or decreases. The cost of this product is normally subject to fluctuations, which are expected to continue in future periods. The Company has also generally been able to, and expects to continue to, adjust its selling price as the cost of materials and other expenses changes. Gross margin, as a percentage of sales, for the Water Treatment segment was 35.7% in the three months ended June 30, 2003 compared to 35.5% for the three months ended June 30, 2002. The increase is primarily attributable to increased sales volumes and to some fixed costs included in cost of sales that do not fluctuate with volume changes.</w:t>
      </w:r>
    </w:p>
    <w:p>
      <w:pPr>
        <w:spacing w:after="0" w:line="18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sales, were 14.4% for the quarter ended June 30, 2003 compared to 13.9% for the same period one year ago, representing an increase of $396,820 over the prior period. The increases were mainly due to increased employee compensation and benefits within both the Industrial and Water Treatment segments and increased insurance and other operating costs. Employee compensation and benefits compromise the majority of the selling, general and administrative expenditures.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Investment income increased by $89,390 for the quarter ended June 30, 2003, compared to the same period one year ago. The increase was primarily due to increased amounts of cash available for investment and higher returns on the Company’s cash equivalents and available for sale securities, which consist primarily of money market accounts, municipal bonds, U.S. Government agency securities, mutual funds, and investment contracts with high-rated, stable insurance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income tax rate was 37.5% for the quarter ended June 30, 2003 and was 37.0% for the quarter ended June 30,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three-month period ended June 30, 2003, cash provided by operations was $2,900,898 compared to $4,882,689 for the same period one year ago. This decrease was primarily due to fluctuations in inventory values and quantities and timing of retirement plan payments due to the Company’s change in fiscal year end, which resulted in the six-month transitional period ended March 31, 2002. These decreases were partially offset by an increase in net income.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increased by $5,728,954 primarily due to a $6,466,944 decrease in purchases of investments as the Company was in the process of transitioning investments into higher rate of return investments during the quarter ended June 30, 2002. This decrease was partially offset by a $707,990 increase in property and equipment additions during the quarter ended June 30, 2003 in comparison to the quarter ended June 30, 2002.</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and investments available-for-sale increased by $391,316 from March 30, 2003 to $24,647,597 as of June 30, 2003. The increase was primarily attributable to cash generated by operations in excess of capital expenditures and financing uses. Cash equivalents consist of money market accounts at a financial institution. Investments consist of investment contracts with high-rated, stable insurance companies, marketable securities consisting of variable rate municipal bonds, U.S. Government agency securities and mutual funds carried at fair value. Investments are highly liquid and are available upon demand generally with only a minor penalty.</w:t>
      </w:r>
    </w:p>
    <w:p>
      <w:pPr>
        <w:spacing w:after="0" w:line="184"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18"/>
          <w:szCs w:val="18"/>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 capital does arise, however, management is confident that the Company’s total debt to capital ratio puts it in a position to obtain debt financing on favorable terms.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and money market accounts) purchased with an original maturity of three months or less. Investments classified as available-for-sale securities consist of investment contracts with high-rated, stable insurance companies, marketable securities consisting of municipal bonds, and mutual funds carried at fair value.</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as discussed above, management is not aware of any matters that have materially affected the three months ended June 30, 2003, or are expected to materially affect future periods, nor is management aware of other matters not affecting this period that are expected to materially affect future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June 30, 2003, the Company had an investment portfolio of fixed income securities of $14,719,118 and mutual funds of $6,847,823, excluding $4,073,435 of those classified as cash and cash equivalents and variable rate securities. The fixed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w:t>
      </w:r>
    </w:p>
    <w:p>
      <w:pPr>
        <w:sectPr>
          <w:pgSz w:w="11900" w:h="16838" w:orient="portrait"/>
          <w:cols w:equalWidth="0" w:num="1">
            <w:col w:w="11420"/>
          </w:cols>
          <w:pgMar w:left="240" w:top="121" w:right="239" w:bottom="0" w:gutter="0" w:footer="0" w:header="0"/>
        </w:sectPr>
      </w:pPr>
    </w:p>
    <w:bookmarkStart w:id="6" w:name="page7"/>
    <w:bookmarkEnd w:id="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Accounting policies whose application may have a significant effect on the reported results of operations and financial position of the Company, and that can require judgments by management that affect their application, include SFAS No. 5, “Accounting for Contingencies,” and SFAS No. 144, “Accounting for the Impairment of Long-Lived Assets and for Long-Lived Assets to be Disposed Of.”</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SFAS No. 5 requires management judgments regarding the probability and estimated amount of possible future contingent liabilities, including legal matters. SFAS No. 144 requires judgments regarding future operating or disposition plans for marginally performing assets and estimates of expected realizable values for assets to be sold. Other accounting policies that are significant to the Company include the following: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Recognition - The Company recognizes revenue when the product has been shipped to the customer if there is evidence that the customer has agreed to purchase the products, delivery and performance has occurred, the price and terms of sale are fixed, and collection of the receivable is expected.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Property, Plant and Equipment - Property, plant and equipment are stated at cost and depreciated over the lives of the assets using both the straight-line and 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policies for these matters, which are described in Note 1 to the financial statements in the Company’s Report on Form 10-K for the period ended March 30, 2003 filed with the Securities and Exchange Commission on June 27, 2003, are in accordance with generally accepted accounting principles. Management believes that their application results in a fair presentation in the financial statements of the Company’s operating results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conducted an evaluation, under the supervision and with the participation of its management, including the principal executive officer and principal financial officer, of the Company’s disclosure controls and procedures (as defined in Rules 13a-15(e) and 15d-15(e) under the Securities Exchange Act of 1934 (the “Exchange Act”)). Based on this evaluation, the principal executive officer and principal financial officer concluded that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There was no change in the Company’s internal control over financial reporting during the Company’s most recently completed fiscal quarter that has materially affected, or is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6.</w:t>
        <w:tab/>
        <w:t>Exhibits and Reports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Exhibit Index</w:t>
            </w:r>
          </w:p>
        </w:tc>
        <w:tc>
          <w:tcPr>
            <w:tcW w:w="332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10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191"/>
        </w:trPr>
        <w:tc>
          <w:tcPr>
            <w:tcW w:w="660" w:type="dxa"/>
            <w:vAlign w:val="bottom"/>
          </w:tcPr>
          <w:p>
            <w:pPr>
              <w:spacing w:after="0"/>
              <w:rPr>
                <w:sz w:val="16"/>
                <w:szCs w:val="16"/>
                <w:color w:val="auto"/>
              </w:rPr>
            </w:pP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6"/>
                <w:szCs w:val="16"/>
                <w:color w:val="auto"/>
              </w:rPr>
            </w:pPr>
          </w:p>
        </w:tc>
        <w:tc>
          <w:tcPr>
            <w:tcW w:w="59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Amended and Second Restated Articles of Incorporation as amended through</w:t>
            </w:r>
          </w:p>
        </w:tc>
        <w:tc>
          <w:tcPr>
            <w:tcW w:w="180" w:type="dxa"/>
            <w:vAlign w:val="bottom"/>
          </w:tcPr>
          <w:p>
            <w:pPr>
              <w:spacing w:after="0"/>
              <w:rPr>
                <w:sz w:val="16"/>
                <w:szCs w:val="16"/>
                <w:color w:val="auto"/>
              </w:rPr>
            </w:pPr>
          </w:p>
        </w:tc>
        <w:tc>
          <w:tcPr>
            <w:tcW w:w="3320" w:type="dxa"/>
            <w:vAlign w:val="bottom"/>
            <w:tcBorders>
              <w:top w:val="single" w:sz="8" w:color="auto"/>
            </w:tcBorders>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27, 2001.(1)</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r>
      <w:tr>
        <w:trPr>
          <w:trHeight w:val="216"/>
        </w:trPr>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Superseding By-Laws as amended through February 15, 1995. (2)</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r>
      <w:tr>
        <w:trPr>
          <w:trHeight w:val="216"/>
        </w:trPr>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by Chief Executive Officer pursuant to Rule 13a-14(a) of the</w:t>
            </w:r>
          </w:p>
        </w:tc>
        <w:tc>
          <w:tcPr>
            <w:tcW w:w="33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Electronically</w:t>
            </w:r>
          </w:p>
        </w:tc>
      </w:tr>
      <w:tr>
        <w:trPr>
          <w:trHeight w:val="216"/>
        </w:trPr>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by Chief Financial Officer pursuant to Rule 13a-14(a) of the</w:t>
            </w:r>
          </w:p>
        </w:tc>
        <w:tc>
          <w:tcPr>
            <w:tcW w:w="33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Electronically</w:t>
            </w:r>
          </w:p>
        </w:tc>
      </w:tr>
      <w:tr>
        <w:trPr>
          <w:trHeight w:val="216"/>
        </w:trPr>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by Chief Executive Officer pursuant to Rule 13a-14(b) of the</w:t>
            </w:r>
          </w:p>
        </w:tc>
        <w:tc>
          <w:tcPr>
            <w:tcW w:w="33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Electronically</w:t>
            </w:r>
          </w:p>
        </w:tc>
      </w:tr>
      <w:tr>
        <w:trPr>
          <w:trHeight w:val="216"/>
        </w:trPr>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by Chief Financial Officer pursuant to Rule 13a-14(b) of the</w:t>
            </w:r>
          </w:p>
        </w:tc>
        <w:tc>
          <w:tcPr>
            <w:tcW w:w="332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1000" w:hanging="344"/>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Annual Report on Form 10-K for the year ended September 30, 2001.</w:t>
      </w:r>
    </w:p>
    <w:p>
      <w:pPr>
        <w:spacing w:after="0" w:line="2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to the Company’s Annual Report on Form 10-K for the year ended October 1, 1995.</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8-K.</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13, 2003, we furnished a Current Report on Form 8-K to the SEC, including the Company’s press release announcing financial results for the quarter ended June 30, 2003.</w:t>
      </w:r>
    </w:p>
    <w:p>
      <w:pPr>
        <w:sectPr>
          <w:pgSz w:w="11900" w:h="16838"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512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HAWKINS, INC.</w:t>
            </w:r>
          </w:p>
        </w:tc>
        <w:tc>
          <w:tcPr>
            <w:tcW w:w="4620" w:type="dxa"/>
            <w:vAlign w:val="bottom"/>
          </w:tcPr>
          <w:p>
            <w:pPr>
              <w:spacing w:after="0"/>
              <w:rPr>
                <w:sz w:val="20"/>
                <w:szCs w:val="20"/>
                <w:color w:val="auto"/>
              </w:rPr>
            </w:pPr>
          </w:p>
        </w:tc>
      </w:tr>
      <w:tr>
        <w:trPr>
          <w:trHeight w:val="432"/>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 Marvin E. Dee</w:t>
            </w:r>
          </w:p>
        </w:tc>
      </w:tr>
      <w:tr>
        <w:trPr>
          <w:trHeight w:val="228"/>
        </w:trPr>
        <w:tc>
          <w:tcPr>
            <w:tcW w:w="4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Marvin E. Dee</w:t>
            </w:r>
          </w:p>
        </w:tc>
      </w:tr>
    </w:tbl>
    <w:p>
      <w:pPr>
        <w:spacing w:after="0" w:line="166"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Vice President, Chief Financial Officer, Secretary and Treasurer</w:t>
      </w:r>
    </w:p>
    <w:p>
      <w:pPr>
        <w:spacing w:after="0" w:line="27"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Hawkins, Chief Executive Officer of Hawkins, Inc., certify that:</w:t>
      </w:r>
    </w:p>
    <w:p>
      <w:pPr>
        <w:spacing w:after="0" w:line="225" w:lineRule="exact"/>
        <w:rPr>
          <w:sz w:val="20"/>
          <w:szCs w:val="20"/>
          <w:color w:val="auto"/>
        </w:rPr>
      </w:pPr>
    </w:p>
    <w:p>
      <w:pPr>
        <w:ind w:left="1380" w:hanging="724"/>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Hawkins, Inc.;</w:t>
      </w:r>
    </w:p>
    <w:p>
      <w:pPr>
        <w:spacing w:after="0" w:line="225"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1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420" w:firstLine="656"/>
        <w:spacing w:after="0" w:line="282" w:lineRule="auto"/>
        <w:tabs>
          <w:tab w:leader="none" w:pos="1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61" w:lineRule="exact"/>
        <w:rPr>
          <w:rFonts w:ascii="Times New Roman" w:cs="Times New Roman" w:eastAsia="Times New Roman" w:hAnsi="Times New Roman"/>
          <w:sz w:val="18"/>
          <w:szCs w:val="18"/>
          <w:color w:val="auto"/>
        </w:rPr>
      </w:pPr>
    </w:p>
    <w:p>
      <w:pPr>
        <w:ind w:left="680" w:right="340" w:firstLine="650"/>
        <w:spacing w:after="0" w:line="266" w:lineRule="auto"/>
        <w:tabs>
          <w:tab w:leader="none" w:pos="20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80" w:right="300" w:firstLine="650"/>
        <w:spacing w:after="0" w:line="313" w:lineRule="auto"/>
        <w:tabs>
          <w:tab w:leader="none" w:pos="201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680" w:right="100" w:firstLine="650"/>
        <w:spacing w:after="0" w:line="266" w:lineRule="auto"/>
        <w:tabs>
          <w:tab w:leader="none" w:pos="20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660" w:firstLine="656"/>
        <w:spacing w:after="0" w:line="313" w:lineRule="auto"/>
        <w:tabs>
          <w:tab w:leader="none" w:pos="136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680" w:right="240" w:firstLine="650"/>
        <w:spacing w:after="0" w:line="282" w:lineRule="auto"/>
        <w:tabs>
          <w:tab w:leader="none" w:pos="20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40" w:firstLine="650"/>
        <w:spacing w:after="0" w:line="282" w:lineRule="auto"/>
        <w:tabs>
          <w:tab w:leader="none" w:pos="20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2003</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R. Hawkins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E. Dee, Chief Financial Officer of Hawkins, Inc., certify that:</w:t>
      </w:r>
    </w:p>
    <w:p>
      <w:pPr>
        <w:spacing w:after="0" w:line="225" w:lineRule="exact"/>
        <w:rPr>
          <w:sz w:val="20"/>
          <w:szCs w:val="20"/>
          <w:color w:val="auto"/>
        </w:rPr>
      </w:pPr>
    </w:p>
    <w:p>
      <w:pPr>
        <w:ind w:left="1380" w:hanging="724"/>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Hawkins, Inc.;</w:t>
      </w:r>
    </w:p>
    <w:p>
      <w:pPr>
        <w:spacing w:after="0" w:line="225"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1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420" w:firstLine="656"/>
        <w:spacing w:after="0" w:line="282" w:lineRule="auto"/>
        <w:tabs>
          <w:tab w:leader="none" w:pos="1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61" w:lineRule="exact"/>
        <w:rPr>
          <w:rFonts w:ascii="Times New Roman" w:cs="Times New Roman" w:eastAsia="Times New Roman" w:hAnsi="Times New Roman"/>
          <w:sz w:val="18"/>
          <w:szCs w:val="18"/>
          <w:color w:val="auto"/>
        </w:rPr>
      </w:pPr>
    </w:p>
    <w:p>
      <w:pPr>
        <w:ind w:left="680" w:right="340" w:firstLine="650"/>
        <w:spacing w:after="0" w:line="266" w:lineRule="auto"/>
        <w:tabs>
          <w:tab w:leader="none" w:pos="20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80" w:right="300" w:firstLine="650"/>
        <w:spacing w:after="0" w:line="313" w:lineRule="auto"/>
        <w:tabs>
          <w:tab w:leader="none" w:pos="201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680" w:right="100" w:firstLine="650"/>
        <w:spacing w:after="0" w:line="266" w:lineRule="auto"/>
        <w:tabs>
          <w:tab w:leader="none" w:pos="20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660" w:firstLine="656"/>
        <w:spacing w:after="0" w:line="313" w:lineRule="auto"/>
        <w:tabs>
          <w:tab w:leader="none" w:pos="136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680" w:right="240" w:firstLine="650"/>
        <w:spacing w:after="0" w:line="282" w:lineRule="auto"/>
        <w:tabs>
          <w:tab w:leader="none" w:pos="20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40" w:firstLine="650"/>
        <w:spacing w:after="0" w:line="282" w:lineRule="auto"/>
        <w:tabs>
          <w:tab w:leader="none" w:pos="201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2003</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Marvin E. Dee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June 30, 2003 as filed with the Securities and Exchange Commission on the date hereof (the Report), I, John R. Hawkins, Chief Executive Officer of the Company, certify, pursuant to 18 U.S.C. § 1350, as adopted pursuant to §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 Hawkins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June 30, 2003 as filed with the Securities and Exchange Commission on the date hereof (the Report), I, Marvin E. Dee, Chief Financial Officer of the Company, certify, pursuant to 18 U.S.C. § 1350, as adopted pursuant to §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Marvin E. Dee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lvl w:ilvl="1">
      <w:lvlJc w:val="left"/>
      <w:lvlText w:val="(%2)"/>
      <w:numFmt w:val="decimal"/>
      <w:start w:val="1"/>
    </w:lvl>
  </w:abstractNum>
  <w:abstractNum w:abstractNumId="6">
    <w:nsid w:val="5BD062C2"/>
    <w:multiLevelType w:val="hybridMultilevel"/>
    <w:lvl w:ilvl="0">
      <w:lvlJc w:val="left"/>
      <w:lvlText w:val="(%1)"/>
      <w:numFmt w:val="lowerLetter"/>
      <w:start w:val="2"/>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2019-12-13T01:40:42Z</dcterms:created>
  <dcterms:modified xsi:type="dcterms:W3CDTF">2019-12-13T01:40:42Z</dcterms:modified>
</cp:coreProperties>
</file>