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18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w:t>
      </w:r>
    </w:p>
    <w:p>
      <w:pPr>
        <w:spacing w:after="0" w:line="3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4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July 29, 2021</w:t>
      </w:r>
    </w:p>
    <w:p>
      <w:pPr>
        <w:spacing w:after="0" w:line="36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Hawkins, Inc.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1035" w:right="339" w:bottom="1440" w:gutter="0" w:footer="0" w:header="0"/>
        </w:sectPr>
      </w:pPr>
    </w:p>
    <w:p>
      <w:pPr>
        <w:spacing w:after="0" w:line="28" w:lineRule="exact"/>
        <w:rPr>
          <w:sz w:val="24"/>
          <w:szCs w:val="24"/>
          <w:color w:val="auto"/>
        </w:rPr>
      </w:pPr>
    </w:p>
    <w:p>
      <w:pPr>
        <w:ind w:left="1160"/>
        <w:spacing w:after="0"/>
        <w:rPr>
          <w:sz w:val="20"/>
          <w:szCs w:val="20"/>
          <w:color w:val="auto"/>
        </w:rPr>
      </w:pPr>
      <w:r>
        <w:rPr>
          <w:rFonts w:ascii="Arial" w:cs="Arial" w:eastAsia="Arial" w:hAnsi="Arial"/>
          <w:sz w:val="18"/>
          <w:szCs w:val="18"/>
          <w:b w:val="1"/>
          <w:bCs w:val="1"/>
          <w:color w:val="auto"/>
        </w:rPr>
        <w:t>Minnesota</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ind w:right="2240"/>
        <w:spacing w:after="0"/>
        <w:rPr>
          <w:sz w:val="20"/>
          <w:szCs w:val="20"/>
          <w:color w:val="auto"/>
        </w:rPr>
      </w:pPr>
      <w:r>
        <w:rPr>
          <w:rFonts w:ascii="Arial" w:cs="Arial" w:eastAsia="Arial" w:hAnsi="Arial"/>
          <w:sz w:val="17"/>
          <w:szCs w:val="17"/>
          <w:b w:val="1"/>
          <w:bCs w:val="1"/>
          <w:color w:val="auto"/>
        </w:rPr>
        <w:t>0-7647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41-0771293</w:t>
      </w:r>
    </w:p>
    <w:p>
      <w:pPr>
        <w:spacing w:after="0" w:line="43" w:lineRule="exact"/>
        <w:rPr>
          <w:sz w:val="24"/>
          <w:szCs w:val="24"/>
          <w:color w:val="auto"/>
        </w:rPr>
      </w:pPr>
    </w:p>
    <w:p>
      <w:pPr>
        <w:sectPr>
          <w:pgSz w:w="11900" w:h="16838" w:orient="portrait"/>
          <w:cols w:equalWidth="0" w:num="3">
            <w:col w:w="4520" w:space="720"/>
            <w:col w:w="2800" w:space="720"/>
            <w:col w:w="2480"/>
          </w:cols>
          <w:pgMar w:left="320" w:top="1035" w:right="339" w:bottom="1440" w:gutter="0" w:footer="0" w:header="0"/>
          <w:type w:val="continuous"/>
        </w:sectPr>
      </w:pPr>
    </w:p>
    <w:p>
      <w:pPr>
        <w:ind w:left="10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(IRS Employer Identification No.)</w:t>
      </w:r>
    </w:p>
    <w:p>
      <w:pPr>
        <w:spacing w:after="0" w:line="194" w:lineRule="exact"/>
        <w:rPr>
          <w:sz w:val="24"/>
          <w:szCs w:val="24"/>
          <w:color w:val="auto"/>
        </w:rPr>
      </w:pPr>
    </w:p>
    <w:p>
      <w:pPr>
        <w:sectPr>
          <w:pgSz w:w="11900" w:h="16838" w:orient="portrait"/>
          <w:cols w:equalWidth="0" w:num="3">
            <w:col w:w="3880" w:space="720"/>
            <w:col w:w="2800" w:space="720"/>
            <w:col w:w="3120"/>
          </w:cols>
          <w:pgMar w:left="320" w:top="1035" w:right="339" w:bottom="1440" w:gutter="0" w:footer="0" w:header="0"/>
          <w:type w:val="continuous"/>
        </w:sectPr>
      </w:pPr>
    </w:p>
    <w:p>
      <w:pPr>
        <w:ind w:left="700"/>
        <w:spacing w:after="0"/>
        <w:tabs>
          <w:tab w:leader="none" w:pos="3100" w:val="left"/>
        </w:tabs>
        <w:rPr>
          <w:sz w:val="20"/>
          <w:szCs w:val="20"/>
          <w:color w:val="auto"/>
        </w:rPr>
      </w:pPr>
      <w:r>
        <w:rPr>
          <w:rFonts w:ascii="Arial" w:cs="Arial" w:eastAsia="Arial" w:hAnsi="Arial"/>
          <w:sz w:val="18"/>
          <w:szCs w:val="18"/>
          <w:b w:val="1"/>
          <w:bCs w:val="1"/>
          <w:color w:val="auto"/>
        </w:rPr>
        <w:t>2381 Rosegate, Roseville,</w:t>
        <w:tab/>
        <w:t>Minnesota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b w:val="1"/>
          <w:bCs w:val="1"/>
          <w:color w:val="auto"/>
        </w:rPr>
        <w:t>55113</w:t>
      </w:r>
    </w:p>
    <w:p>
      <w:pPr>
        <w:spacing w:after="0" w:line="43" w:lineRule="exact"/>
        <w:rPr>
          <w:sz w:val="24"/>
          <w:szCs w:val="24"/>
          <w:color w:val="auto"/>
        </w:rPr>
      </w:pPr>
    </w:p>
    <w:p>
      <w:pPr>
        <w:sectPr>
          <w:pgSz w:w="11900" w:h="16838" w:orient="portrait"/>
          <w:cols w:equalWidth="0" w:num="2">
            <w:col w:w="8580" w:space="720"/>
            <w:col w:w="1940"/>
          </w:cols>
          <w:pgMar w:left="320" w:top="1035" w:right="339" w:bottom="1440" w:gutter="0" w:footer="0" w:header="0"/>
          <w:type w:val="continuous"/>
        </w:sectPr>
      </w:pPr>
    </w:p>
    <w:p>
      <w:pPr>
        <w:ind w:left="1000"/>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(Zip Code)</w:t>
      </w:r>
    </w:p>
    <w:p>
      <w:pPr>
        <w:spacing w:after="0" w:line="200" w:lineRule="exact"/>
        <w:rPr>
          <w:sz w:val="24"/>
          <w:szCs w:val="24"/>
          <w:color w:val="auto"/>
        </w:rPr>
      </w:pPr>
    </w:p>
    <w:p>
      <w:pPr>
        <w:sectPr>
          <w:pgSz w:w="11900" w:h="16838" w:orient="portrait"/>
          <w:cols w:equalWidth="0" w:num="2">
            <w:col w:w="8480" w:space="720"/>
            <w:col w:w="2040"/>
          </w:cols>
          <w:pgMar w:left="320" w:top="1035" w:right="339" w:bottom="1440" w:gutter="0" w:footer="0" w:header="0"/>
          <w:type w:val="continuous"/>
        </w:sectPr>
      </w:pPr>
    </w:p>
    <w:p>
      <w:pPr>
        <w:spacing w:after="0" w:line="29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355" w:lineRule="exact"/>
        <w:rPr>
          <w:sz w:val="24"/>
          <w:szCs w:val="24"/>
          <w:color w:val="auto"/>
        </w:rPr>
      </w:pPr>
    </w:p>
    <w:p>
      <w:pPr>
        <w:ind w:right="220" w:firstLine="445"/>
        <w:spacing w:after="0" w:line="250"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41" w:lineRule="exact"/>
        <w:rPr>
          <w:sz w:val="24"/>
          <w:szCs w:val="24"/>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76" w:lineRule="exact"/>
        <w:rPr>
          <w:rFonts w:ascii="MS PGothic" w:cs="MS PGothic" w:eastAsia="MS PGothic" w:hAnsi="MS PGothic"/>
          <w:sz w:val="18"/>
          <w:szCs w:val="18"/>
          <w:color w:val="auto"/>
        </w:rPr>
      </w:pPr>
    </w:p>
    <w:p>
      <w:pPr>
        <w:ind w:left="1120" w:hanging="649"/>
        <w:spacing w:after="0"/>
        <w:tabs>
          <w:tab w:leader="none" w:pos="11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66"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9"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3800" w:type="dxa"/>
            <w:vAlign w:val="bottom"/>
            <w:tcBorders>
              <w:bottom w:val="single" w:sz="8" w:color="auto"/>
            </w:tcBorders>
          </w:tcPr>
          <w:p>
            <w:pPr>
              <w:ind w:left="1040"/>
              <w:spacing w:after="0"/>
              <w:rPr>
                <w:sz w:val="20"/>
                <w:szCs w:val="20"/>
                <w:color w:val="auto"/>
              </w:rPr>
            </w:pPr>
            <w:r>
              <w:rPr>
                <w:rFonts w:ascii="Arial" w:cs="Arial" w:eastAsia="Arial" w:hAnsi="Arial"/>
                <w:sz w:val="16"/>
                <w:szCs w:val="16"/>
                <w:b w:val="1"/>
                <w:bCs w:val="1"/>
                <w:color w:val="auto"/>
              </w:rPr>
              <w:t>Title of each class</w:t>
            </w:r>
          </w:p>
        </w:tc>
        <w:tc>
          <w:tcPr>
            <w:tcW w:w="29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rPr>
              <w:t>Trading Symbol(s)</w:t>
            </w:r>
          </w:p>
        </w:tc>
        <w:tc>
          <w:tcPr>
            <w:tcW w:w="4320" w:type="dxa"/>
            <w:vAlign w:val="bottom"/>
            <w:tcBorders>
              <w:bottom w:val="single" w:sz="8" w:color="auto"/>
            </w:tcBorders>
          </w:tcPr>
          <w:p>
            <w:pPr>
              <w:jc w:val="center"/>
              <w:ind w:left="379"/>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10"/>
        </w:trPr>
        <w:tc>
          <w:tcPr>
            <w:tcW w:w="3800" w:type="dxa"/>
            <w:vAlign w:val="bottom"/>
          </w:tcPr>
          <w:p>
            <w:pPr>
              <w:ind w:left="20"/>
              <w:spacing w:after="0"/>
              <w:rPr>
                <w:sz w:val="20"/>
                <w:szCs w:val="20"/>
                <w:color w:val="auto"/>
              </w:rPr>
            </w:pPr>
            <w:r>
              <w:rPr>
                <w:rFonts w:ascii="Arial" w:cs="Arial" w:eastAsia="Arial" w:hAnsi="Arial"/>
                <w:sz w:val="16"/>
                <w:szCs w:val="16"/>
                <w:color w:val="auto"/>
              </w:rPr>
              <w:t>Common Stock, par value $.01 per share</w:t>
            </w:r>
          </w:p>
        </w:tc>
        <w:tc>
          <w:tcPr>
            <w:tcW w:w="2900" w:type="dxa"/>
            <w:vAlign w:val="bottom"/>
          </w:tcPr>
          <w:p>
            <w:pPr>
              <w:jc w:val="center"/>
              <w:ind w:left="79"/>
              <w:spacing w:after="0"/>
              <w:rPr>
                <w:sz w:val="20"/>
                <w:szCs w:val="20"/>
                <w:color w:val="auto"/>
              </w:rPr>
            </w:pPr>
            <w:r>
              <w:rPr>
                <w:rFonts w:ascii="Arial" w:cs="Arial" w:eastAsia="Arial" w:hAnsi="Arial"/>
                <w:sz w:val="16"/>
                <w:szCs w:val="16"/>
                <w:color w:val="auto"/>
              </w:rPr>
              <w:t>HWKN</w:t>
            </w:r>
          </w:p>
        </w:tc>
        <w:tc>
          <w:tcPr>
            <w:tcW w:w="4320" w:type="dxa"/>
            <w:vAlign w:val="bottom"/>
          </w:tcPr>
          <w:p>
            <w:pPr>
              <w:jc w:val="center"/>
              <w:ind w:left="379"/>
              <w:spacing w:after="0"/>
              <w:rPr>
                <w:sz w:val="20"/>
                <w:szCs w:val="20"/>
                <w:color w:val="auto"/>
              </w:rPr>
            </w:pPr>
            <w:r>
              <w:rPr>
                <w:rFonts w:ascii="Arial" w:cs="Arial" w:eastAsia="Arial" w:hAnsi="Arial"/>
                <w:sz w:val="16"/>
                <w:szCs w:val="16"/>
                <w:color w:val="auto"/>
              </w:rPr>
              <w:t>Nasdaq Stock Market LLC</w:t>
            </w:r>
          </w:p>
        </w:tc>
      </w:tr>
    </w:tbl>
    <w:p>
      <w:pPr>
        <w:spacing w:after="0" w:line="356" w:lineRule="exact"/>
        <w:rPr>
          <w:sz w:val="24"/>
          <w:szCs w:val="24"/>
          <w:color w:val="auto"/>
        </w:rPr>
      </w:pPr>
    </w:p>
    <w:p>
      <w:pPr>
        <w:ind w:right="140"/>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89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188" w:lineRule="exact"/>
        <w:rPr>
          <w:sz w:val="24"/>
          <w:szCs w:val="24"/>
          <w:color w:val="auto"/>
        </w:rPr>
      </w:pPr>
    </w:p>
    <w:p>
      <w:pPr>
        <w:ind w:right="20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5"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39" w:lineRule="exact"/>
        <w:rPr>
          <w:sz w:val="20"/>
          <w:szCs w:val="20"/>
          <w:color w:val="auto"/>
        </w:rPr>
      </w:pPr>
    </w:p>
    <w:p>
      <w:pPr>
        <w:ind w:right="40" w:firstLine="648"/>
        <w:spacing w:after="0" w:line="261" w:lineRule="auto"/>
        <w:rPr>
          <w:rFonts w:ascii="Arial" w:cs="Arial" w:eastAsia="Arial" w:hAnsi="Arial"/>
          <w:sz w:val="18"/>
          <w:szCs w:val="18"/>
          <w:color w:val="0000FF"/>
        </w:rPr>
      </w:pPr>
      <w:hyperlink r:id="rId9">
        <w:r>
          <w:rPr>
            <w:rFonts w:ascii="Arial" w:cs="Arial" w:eastAsia="Arial" w:hAnsi="Arial"/>
            <w:sz w:val="18"/>
            <w:szCs w:val="18"/>
            <w:color w:val="auto"/>
          </w:rPr>
          <w:t xml:space="preserve">At our annual meeting of shareholders held July 29, 2021, the following proposals, each as described in further detail in the </w:t>
        </w:r>
        <w:r>
          <w:rPr>
            <w:rFonts w:ascii="Arial" w:cs="Arial" w:eastAsia="Arial" w:hAnsi="Arial"/>
            <w:sz w:val="18"/>
            <w:szCs w:val="18"/>
            <w:u w:val="single" w:color="auto"/>
            <w:color w:val="0000FF"/>
          </w:rPr>
          <w:t>definitive</w:t>
        </w:r>
      </w:hyperlink>
      <w:r>
        <w:rPr>
          <w:rFonts w:ascii="Arial" w:cs="Arial" w:eastAsia="Arial" w:hAnsi="Arial"/>
          <w:sz w:val="18"/>
          <w:szCs w:val="18"/>
          <w:color w:val="auto"/>
        </w:rPr>
        <w:t xml:space="preserve"> </w:t>
      </w:r>
      <w:hyperlink r:id="rId9">
        <w:r>
          <w:rPr>
            <w:rFonts w:ascii="Arial" w:cs="Arial" w:eastAsia="Arial" w:hAnsi="Arial"/>
            <w:sz w:val="18"/>
            <w:szCs w:val="18"/>
            <w:u w:val="single" w:color="auto"/>
            <w:color w:val="0000FF"/>
          </w:rPr>
          <w:t>proxy statement filed by our company on June 25, 2021</w:t>
        </w:r>
        <w:r>
          <w:rPr>
            <w:rFonts w:ascii="Arial" w:cs="Arial" w:eastAsia="Arial" w:hAnsi="Arial"/>
            <w:sz w:val="18"/>
            <w:szCs w:val="18"/>
            <w:color w:val="000000"/>
          </w:rPr>
          <w:t>, were voted upon by our shareholders as set forth below:</w:t>
        </w:r>
      </w:hyperlink>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One – Election of Directors</w:t>
      </w:r>
    </w:p>
    <w:p>
      <w:pPr>
        <w:spacing w:after="0" w:line="13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shareholders elected each of the seven nominees to our Board of Directors, based on the following votes: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700" w:type="dxa"/>
            <w:vAlign w:val="bottom"/>
            <w:tcBorders>
              <w:bottom w:val="single" w:sz="8" w:color="auto"/>
            </w:tcBorders>
          </w:tcPr>
          <w:p>
            <w:pPr>
              <w:ind w:left="600"/>
              <w:spacing w:after="0"/>
              <w:rPr>
                <w:sz w:val="20"/>
                <w:szCs w:val="20"/>
                <w:color w:val="auto"/>
              </w:rPr>
            </w:pPr>
            <w:r>
              <w:rPr>
                <w:rFonts w:ascii="Arial" w:cs="Arial" w:eastAsia="Arial" w:hAnsi="Arial"/>
                <w:sz w:val="18"/>
                <w:szCs w:val="18"/>
                <w:b w:val="1"/>
                <w:bCs w:val="1"/>
                <w:color w:val="auto"/>
              </w:rPr>
              <w:t>Director Nominee</w:t>
            </w:r>
          </w:p>
        </w:tc>
        <w:tc>
          <w:tcPr>
            <w:tcW w:w="12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Withheld</w:t>
            </w:r>
          </w:p>
        </w:tc>
        <w:tc>
          <w:tcPr>
            <w:tcW w:w="12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w:t>
            </w:r>
          </w:p>
        </w:tc>
      </w:tr>
      <w:tr>
        <w:trPr>
          <w:trHeight w:val="223"/>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James A. Faulconbridge</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14,750,758</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661,305</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Patrick H. Hawkins</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15,088,681</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323,382</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Mary J. Schumacher</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14,765,118</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646,945</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Daniel J. Stauber</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14,804,374</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607,689</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Yi "Faith" Tang</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15,245,262</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166,801</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29"/>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James T. Thompson</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14,897,691</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514,372</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30"/>
        </w:trPr>
        <w:tc>
          <w:tcPr>
            <w:tcW w:w="2820" w:type="dxa"/>
            <w:vAlign w:val="bottom"/>
            <w:gridSpan w:val="2"/>
          </w:tcPr>
          <w:p>
            <w:pPr>
              <w:ind w:left="20"/>
              <w:spacing w:after="0"/>
              <w:rPr>
                <w:sz w:val="20"/>
                <w:szCs w:val="20"/>
                <w:color w:val="auto"/>
              </w:rPr>
            </w:pPr>
            <w:r>
              <w:rPr>
                <w:rFonts w:ascii="Arial" w:cs="Arial" w:eastAsia="Arial" w:hAnsi="Arial"/>
                <w:sz w:val="18"/>
                <w:szCs w:val="18"/>
                <w:color w:val="auto"/>
              </w:rPr>
              <w:t>Jeffrey L. Wright</w:t>
            </w: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14,476,999</w:t>
            </w:r>
          </w:p>
        </w:tc>
        <w:tc>
          <w:tcPr>
            <w:tcW w:w="14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8"/>
              </w:rPr>
              <w:t>935,064</w:t>
            </w:r>
          </w:p>
        </w:tc>
        <w:tc>
          <w:tcPr>
            <w:tcW w:w="120" w:type="dxa"/>
            <w:vAlign w:val="bottom"/>
          </w:tcPr>
          <w:p>
            <w:pPr>
              <w:spacing w:after="0"/>
              <w:rPr>
                <w:sz w:val="19"/>
                <w:szCs w:val="19"/>
                <w:color w:val="auto"/>
              </w:rPr>
            </w:pPr>
          </w:p>
        </w:tc>
        <w:tc>
          <w:tcPr>
            <w:tcW w:w="270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 Two – Advisory Vote to Approve Executive Compensation</w:t>
      </w:r>
    </w:p>
    <w:p>
      <w:pPr>
        <w:spacing w:after="0" w:line="139" w:lineRule="exact"/>
        <w:rPr>
          <w:sz w:val="20"/>
          <w:szCs w:val="20"/>
          <w:color w:val="auto"/>
        </w:rPr>
      </w:pPr>
    </w:p>
    <w:p>
      <w:pPr>
        <w:ind w:right="200" w:firstLine="648"/>
        <w:spacing w:after="0" w:line="261" w:lineRule="auto"/>
        <w:rPr>
          <w:sz w:val="20"/>
          <w:szCs w:val="20"/>
          <w:color w:val="auto"/>
        </w:rPr>
      </w:pPr>
      <w:r>
        <w:rPr>
          <w:rFonts w:ascii="Arial" w:cs="Arial" w:eastAsia="Arial" w:hAnsi="Arial"/>
          <w:sz w:val="18"/>
          <w:szCs w:val="18"/>
          <w:color w:val="auto"/>
        </w:rPr>
        <w:t>Our shareholders approved, on an advisory basis, the compensation of our executive officers as disclosed in the above-referenced proxy statement, based on the votes listed below:</w:t>
      </w:r>
    </w:p>
    <w:tbl>
      <w:tblPr>
        <w:tblLayout w:type="fixed"/>
        <w:tblInd w:w="0" w:type="dxa"/>
        <w:tblCellMar>
          <w:top w:w="0" w:type="dxa"/>
          <w:left w:w="0" w:type="dxa"/>
          <w:bottom w:w="0" w:type="dxa"/>
          <w:right w:w="0" w:type="dxa"/>
        </w:tblCellMar>
      </w:tblPr>
      <w:tr>
        <w:trPr>
          <w:trHeight w:val="239"/>
        </w:trPr>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w:t>
            </w:r>
          </w:p>
        </w:tc>
        <w:tc>
          <w:tcPr>
            <w:tcW w:w="120" w:type="dxa"/>
            <w:vAlign w:val="bottom"/>
          </w:tcPr>
          <w:p>
            <w:pPr>
              <w:spacing w:after="0"/>
              <w:rPr>
                <w:sz w:val="20"/>
                <w:szCs w:val="20"/>
                <w:color w:val="auto"/>
              </w:rPr>
            </w:pPr>
          </w:p>
        </w:tc>
        <w:tc>
          <w:tcPr>
            <w:tcW w:w="2700" w:type="dxa"/>
            <w:vAlign w:val="bottom"/>
            <w:tcBorders>
              <w:bottom w:val="single" w:sz="8" w:color="auto"/>
            </w:tcBorders>
          </w:tcPr>
          <w:p>
            <w:pPr>
              <w:ind w:left="1020"/>
              <w:spacing w:after="0"/>
              <w:rPr>
                <w:sz w:val="20"/>
                <w:szCs w:val="20"/>
                <w:color w:val="auto"/>
              </w:rPr>
            </w:pPr>
            <w:r>
              <w:rPr>
                <w:rFonts w:ascii="Arial" w:cs="Arial" w:eastAsia="Arial" w:hAnsi="Arial"/>
                <w:sz w:val="18"/>
                <w:szCs w:val="18"/>
                <w:b w:val="1"/>
                <w:bCs w:val="1"/>
                <w:color w:val="auto"/>
              </w:rPr>
              <w:t>Against</w:t>
            </w:r>
          </w:p>
        </w:tc>
        <w:tc>
          <w:tcPr>
            <w:tcW w:w="140" w:type="dxa"/>
            <w:vAlign w:val="bottom"/>
          </w:tcPr>
          <w:p>
            <w:pPr>
              <w:spacing w:after="0"/>
              <w:rPr>
                <w:sz w:val="20"/>
                <w:szCs w:val="20"/>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Abstain</w:t>
            </w:r>
          </w:p>
        </w:tc>
        <w:tc>
          <w:tcPr>
            <w:tcW w:w="140" w:type="dxa"/>
            <w:vAlign w:val="bottom"/>
          </w:tcPr>
          <w:p>
            <w:pPr>
              <w:spacing w:after="0"/>
              <w:rPr>
                <w:sz w:val="20"/>
                <w:szCs w:val="20"/>
                <w:color w:val="auto"/>
              </w:rPr>
            </w:pPr>
          </w:p>
        </w:tc>
        <w:tc>
          <w:tcPr>
            <w:tcW w:w="2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w:t>
            </w:r>
          </w:p>
        </w:tc>
        <w:tc>
          <w:tcPr>
            <w:tcW w:w="20" w:type="dxa"/>
            <w:vAlign w:val="bottom"/>
          </w:tcPr>
          <w:p>
            <w:pPr>
              <w:spacing w:after="0"/>
              <w:rPr>
                <w:sz w:val="20"/>
                <w:szCs w:val="20"/>
                <w:color w:val="auto"/>
              </w:rPr>
            </w:pPr>
          </w:p>
        </w:tc>
      </w:tr>
      <w:tr>
        <w:trPr>
          <w:trHeight w:val="223"/>
        </w:trPr>
        <w:tc>
          <w:tcPr>
            <w:tcW w:w="2700" w:type="dxa"/>
            <w:vAlign w:val="bottom"/>
          </w:tcPr>
          <w:p>
            <w:pPr>
              <w:jc w:val="right"/>
              <w:ind w:right="810"/>
              <w:spacing w:after="0"/>
              <w:rPr>
                <w:sz w:val="20"/>
                <w:szCs w:val="20"/>
                <w:color w:val="auto"/>
              </w:rPr>
            </w:pPr>
            <w:r>
              <w:rPr>
                <w:rFonts w:ascii="Arial" w:cs="Arial" w:eastAsia="Arial" w:hAnsi="Arial"/>
                <w:sz w:val="18"/>
                <w:szCs w:val="18"/>
                <w:color w:val="auto"/>
              </w:rPr>
              <w:t>14,954,345</w:t>
            </w:r>
          </w:p>
        </w:tc>
        <w:tc>
          <w:tcPr>
            <w:tcW w:w="120" w:type="dxa"/>
            <w:vAlign w:val="bottom"/>
          </w:tcPr>
          <w:p>
            <w:pPr>
              <w:spacing w:after="0"/>
              <w:rPr>
                <w:sz w:val="19"/>
                <w:szCs w:val="19"/>
                <w:color w:val="auto"/>
              </w:rPr>
            </w:pPr>
          </w:p>
        </w:tc>
        <w:tc>
          <w:tcPr>
            <w:tcW w:w="2700" w:type="dxa"/>
            <w:vAlign w:val="bottom"/>
          </w:tcPr>
          <w:p>
            <w:pPr>
              <w:ind w:left="1020"/>
              <w:spacing w:after="0"/>
              <w:rPr>
                <w:sz w:val="20"/>
                <w:szCs w:val="20"/>
                <w:color w:val="auto"/>
              </w:rPr>
            </w:pPr>
            <w:r>
              <w:rPr>
                <w:rFonts w:ascii="Arial" w:cs="Arial" w:eastAsia="Arial" w:hAnsi="Arial"/>
                <w:sz w:val="18"/>
                <w:szCs w:val="18"/>
                <w:color w:val="auto"/>
              </w:rPr>
              <w:t>420,503</w:t>
            </w:r>
          </w:p>
        </w:tc>
        <w:tc>
          <w:tcPr>
            <w:tcW w:w="140" w:type="dxa"/>
            <w:vAlign w:val="bottom"/>
          </w:tcPr>
          <w:p>
            <w:pPr>
              <w:spacing w:after="0"/>
              <w:rPr>
                <w:sz w:val="19"/>
                <w:szCs w:val="19"/>
                <w:color w:val="auto"/>
              </w:rPr>
            </w:pPr>
          </w:p>
        </w:tc>
        <w:tc>
          <w:tcPr>
            <w:tcW w:w="2720" w:type="dxa"/>
            <w:vAlign w:val="bottom"/>
          </w:tcPr>
          <w:p>
            <w:pPr>
              <w:jc w:val="right"/>
              <w:ind w:right="1010"/>
              <w:spacing w:after="0"/>
              <w:rPr>
                <w:sz w:val="20"/>
                <w:szCs w:val="20"/>
                <w:color w:val="auto"/>
              </w:rPr>
            </w:pPr>
            <w:r>
              <w:rPr>
                <w:rFonts w:ascii="Arial" w:cs="Arial" w:eastAsia="Arial" w:hAnsi="Arial"/>
                <w:sz w:val="18"/>
                <w:szCs w:val="18"/>
                <w:color w:val="auto"/>
              </w:rPr>
              <w:t>37,215</w:t>
            </w:r>
          </w:p>
        </w:tc>
        <w:tc>
          <w:tcPr>
            <w:tcW w:w="140" w:type="dxa"/>
            <w:vAlign w:val="bottom"/>
          </w:tcPr>
          <w:p>
            <w:pPr>
              <w:spacing w:after="0"/>
              <w:rPr>
                <w:sz w:val="19"/>
                <w:szCs w:val="19"/>
                <w:color w:val="auto"/>
              </w:rPr>
            </w:pPr>
          </w:p>
        </w:tc>
        <w:tc>
          <w:tcPr>
            <w:tcW w:w="272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r>
      <w:tr>
        <w:trPr>
          <w:trHeight w:val="1208"/>
        </w:trPr>
        <w:tc>
          <w:tcPr>
            <w:tcW w:w="2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93"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100" w:type="dxa"/>
            <w:vAlign w:val="bottom"/>
          </w:tcPr>
          <w:p>
            <w:pPr>
              <w:spacing w:after="0"/>
              <w:rPr>
                <w:sz w:val="18"/>
                <w:szCs w:val="18"/>
                <w:color w:val="auto"/>
              </w:rPr>
            </w:pPr>
          </w:p>
        </w:tc>
        <w:tc>
          <w:tcPr>
            <w:tcW w:w="2920" w:type="dxa"/>
            <w:vAlign w:val="bottom"/>
            <w:gridSpan w:val="2"/>
          </w:tcPr>
          <w:p>
            <w:pPr>
              <w:ind w:left="1400"/>
              <w:spacing w:after="0"/>
              <w:rPr>
                <w:sz w:val="20"/>
                <w:szCs w:val="20"/>
                <w:color w:val="auto"/>
              </w:rPr>
            </w:pPr>
            <w:r>
              <w:rPr>
                <w:rFonts w:ascii="Arial" w:cs="Arial" w:eastAsia="Arial" w:hAnsi="Arial"/>
                <w:sz w:val="18"/>
                <w:szCs w:val="18"/>
                <w:color w:val="auto"/>
              </w:rPr>
              <w:t>HAWKINS, INC.</w:t>
            </w:r>
          </w:p>
        </w:tc>
        <w:tc>
          <w:tcPr>
            <w:tcW w:w="5200" w:type="dxa"/>
            <w:vAlign w:val="bottom"/>
          </w:tcPr>
          <w:p>
            <w:pPr>
              <w:spacing w:after="0"/>
              <w:rPr>
                <w:sz w:val="18"/>
                <w:szCs w:val="18"/>
                <w:color w:val="auto"/>
              </w:rPr>
            </w:pPr>
          </w:p>
        </w:tc>
      </w:tr>
      <w:tr>
        <w:trPr>
          <w:trHeight w:val="283"/>
        </w:trPr>
        <w:tc>
          <w:tcPr>
            <w:tcW w:w="3100" w:type="dxa"/>
            <w:vAlign w:val="bottom"/>
          </w:tcPr>
          <w:p>
            <w:pPr>
              <w:spacing w:after="0"/>
              <w:rPr>
                <w:sz w:val="20"/>
                <w:szCs w:val="20"/>
                <w:color w:val="auto"/>
              </w:rPr>
            </w:pPr>
            <w:r>
              <w:rPr>
                <w:rFonts w:ascii="Arial" w:cs="Arial" w:eastAsia="Arial" w:hAnsi="Arial"/>
                <w:sz w:val="18"/>
                <w:szCs w:val="18"/>
                <w:color w:val="auto"/>
              </w:rPr>
              <w:t>Date: August 2, 2021</w:t>
            </w:r>
          </w:p>
        </w:tc>
        <w:tc>
          <w:tcPr>
            <w:tcW w:w="2920" w:type="dxa"/>
            <w:vAlign w:val="bottom"/>
            <w:gridSpan w:val="2"/>
          </w:tcPr>
          <w:p>
            <w:pPr>
              <w:ind w:left="1400"/>
              <w:spacing w:after="0"/>
              <w:rPr>
                <w:sz w:val="20"/>
                <w:szCs w:val="20"/>
                <w:color w:val="auto"/>
              </w:rPr>
            </w:pPr>
            <w:r>
              <w:rPr>
                <w:rFonts w:ascii="Arial" w:cs="Arial" w:eastAsia="Arial" w:hAnsi="Arial"/>
                <w:sz w:val="18"/>
                <w:szCs w:val="18"/>
                <w:color w:val="auto"/>
              </w:rPr>
              <w:t>By:</w:t>
            </w:r>
          </w:p>
        </w:tc>
        <w:tc>
          <w:tcPr>
            <w:tcW w:w="5200" w:type="dxa"/>
            <w:vAlign w:val="bottom"/>
          </w:tcPr>
          <w:p>
            <w:pPr>
              <w:jc w:val="center"/>
              <w:ind w:right="850"/>
              <w:spacing w:after="0"/>
              <w:rPr>
                <w:sz w:val="20"/>
                <w:szCs w:val="20"/>
                <w:color w:val="auto"/>
              </w:rPr>
            </w:pPr>
            <w:r>
              <w:rPr>
                <w:rFonts w:ascii="Arial" w:cs="Arial" w:eastAsia="Arial" w:hAnsi="Arial"/>
                <w:sz w:val="18"/>
                <w:szCs w:val="18"/>
                <w:color w:val="auto"/>
                <w:w w:val="99"/>
              </w:rPr>
              <w:t>/s/ Richard G. Erstad</w:t>
            </w:r>
          </w:p>
        </w:tc>
      </w:tr>
      <w:tr>
        <w:trPr>
          <w:trHeight w:val="223"/>
        </w:trPr>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5200" w:type="dxa"/>
            <w:vAlign w:val="bottom"/>
            <w:tcBorders>
              <w:top w:val="single" w:sz="8" w:color="auto"/>
            </w:tcBorders>
          </w:tcPr>
          <w:p>
            <w:pPr>
              <w:jc w:val="center"/>
              <w:ind w:right="850"/>
              <w:spacing w:after="0"/>
              <w:rPr>
                <w:sz w:val="20"/>
                <w:szCs w:val="20"/>
                <w:color w:val="auto"/>
              </w:rPr>
            </w:pPr>
            <w:r>
              <w:rPr>
                <w:rFonts w:ascii="Arial" w:cs="Arial" w:eastAsia="Arial" w:hAnsi="Arial"/>
                <w:sz w:val="18"/>
                <w:szCs w:val="18"/>
                <w:color w:val="auto"/>
                <w:w w:val="99"/>
              </w:rPr>
              <w:t>Richard G. Erstad</w:t>
            </w:r>
          </w:p>
        </w:tc>
      </w:tr>
      <w:tr>
        <w:trPr>
          <w:trHeight w:val="230"/>
        </w:trPr>
        <w:tc>
          <w:tcPr>
            <w:tcW w:w="3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200" w:type="dxa"/>
            <w:vAlign w:val="bottom"/>
          </w:tcPr>
          <w:p>
            <w:pPr>
              <w:jc w:val="center"/>
              <w:ind w:right="850"/>
              <w:spacing w:after="0"/>
              <w:rPr>
                <w:sz w:val="20"/>
                <w:szCs w:val="20"/>
                <w:color w:val="auto"/>
              </w:rPr>
            </w:pPr>
            <w:r>
              <w:rPr>
                <w:rFonts w:ascii="Arial" w:cs="Arial" w:eastAsia="Arial" w:hAnsi="Arial"/>
                <w:sz w:val="18"/>
                <w:szCs w:val="18"/>
                <w:color w:val="auto"/>
                <w:w w:val="99"/>
              </w:rPr>
              <w:t>Vice President, General Counsel and Secretary</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9" Type="http://schemas.openxmlformats.org/officeDocument/2006/relationships/hyperlink" Target="https://www.sec.gov/Archives/edgar/data/46250/000004625021000023/hawkins2021prox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2021-08-02T15:15:36Z</dcterms:created>
  <dcterms:modified xsi:type="dcterms:W3CDTF">2021-08-02T15:15:36Z</dcterms:modified>
</cp:coreProperties>
</file>