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Hawkins,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-130810</wp:posOffset>
            </wp:positionV>
            <wp:extent cx="2830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$.05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-130810</wp:posOffset>
            </wp:positionV>
            <wp:extent cx="28301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420261109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-130810</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-130175</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8"/>
          <w:szCs w:val="18"/>
          <w:color w:val="auto"/>
        </w:rPr>
        <w:t>Rule 13d-1(b)</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 Rule 13d-1(c)</w:t>
      </w:r>
    </w:p>
    <w:p>
      <w:pPr>
        <w:spacing w:after="0" w:line="225"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 Rule 13d-1(d)</w:t>
      </w:r>
    </w:p>
    <w:p>
      <w:pPr>
        <w:spacing w:after="0" w:line="225" w:lineRule="exact"/>
        <w:rPr>
          <w:sz w:val="24"/>
          <w:szCs w:val="24"/>
          <w:color w:val="auto"/>
        </w:rPr>
      </w:pPr>
    </w:p>
    <w:p>
      <w:pPr>
        <w:ind w:left="120" w:hanging="107"/>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617220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380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420261109</w:t>
            </w:r>
          </w:p>
        </w:tc>
        <w:tc>
          <w:tcPr>
            <w:tcW w:w="840" w:type="dxa"/>
            <w:vAlign w:val="bottom"/>
          </w:tcPr>
          <w:p>
            <w:pPr>
              <w:spacing w:after="0"/>
              <w:rPr>
                <w:sz w:val="23"/>
                <w:szCs w:val="23"/>
                <w:color w:val="auto"/>
              </w:rPr>
            </w:pPr>
          </w:p>
        </w:tc>
        <w:tc>
          <w:tcPr>
            <w:tcW w:w="3040" w:type="dxa"/>
            <w:vAlign w:val="bottom"/>
            <w:tcBorders>
              <w:right w:val="single" w:sz="8" w:color="auto"/>
            </w:tcBorders>
          </w:tcPr>
          <w:p>
            <w:pPr>
              <w:ind w:left="92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Page 2 of 5 Pages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720" w:type="dxa"/>
            <w:vAlign w:val="bottom"/>
            <w:tcBorders>
              <w:left w:val="single" w:sz="8" w:color="auto"/>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3040" w:type="dxa"/>
            <w:vAlign w:val="bottom"/>
            <w:tcBorders>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2"/>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w w:val="98"/>
              </w:rPr>
              <w:t>NAMES OF REPORTING PERSONS</w:t>
            </w: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37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Hawkins, Inc. Employee Stock Ownership Plan and Trust (Tax ID: 41-0771293)</w:t>
            </w:r>
          </w:p>
        </w:tc>
        <w:tc>
          <w:tcPr>
            <w:tcW w:w="3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7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(a) 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20" w:type="dxa"/>
            <w:vAlign w:val="bottom"/>
            <w:tcBorders>
              <w:left w:val="single" w:sz="8" w:color="auto"/>
              <w:right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(b) 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bottom w:val="single" w:sz="8" w:color="auto"/>
              <w:right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3080" w:type="dxa"/>
            <w:vAlign w:val="bottom"/>
            <w:tcBorders>
              <w:right w:val="single" w:sz="8" w:color="E5E5E5"/>
            </w:tcBorders>
            <w:gridSpan w:val="2"/>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840" w:type="dxa"/>
            <w:vAlign w:val="bottom"/>
            <w:tcBorders>
              <w:right w:val="single" w:sz="8" w:color="E5E5E5"/>
            </w:tcBorders>
            <w:shd w:val="clear" w:color="auto" w:fill="E5E5E5"/>
          </w:tcPr>
          <w:p>
            <w:pPr>
              <w:spacing w:after="0"/>
              <w:rPr>
                <w:sz w:val="24"/>
                <w:szCs w:val="24"/>
                <w:color w:val="auto"/>
              </w:rPr>
            </w:pPr>
          </w:p>
        </w:tc>
        <w:tc>
          <w:tcPr>
            <w:tcW w:w="3040" w:type="dxa"/>
            <w:vAlign w:val="bottom"/>
            <w:tcBorders>
              <w:right w:val="single" w:sz="8" w:color="E5E5E5"/>
            </w:tcBorders>
            <w:shd w:val="clear" w:color="auto" w:fill="E5E5E5"/>
          </w:tcPr>
          <w:p>
            <w:pPr>
              <w:spacing w:after="0"/>
              <w:rPr>
                <w:sz w:val="24"/>
                <w:szCs w:val="24"/>
                <w:color w:val="auto"/>
              </w:rPr>
            </w:pPr>
          </w:p>
        </w:tc>
        <w:tc>
          <w:tcPr>
            <w:tcW w:w="3740" w:type="dxa"/>
            <w:vAlign w:val="bottom"/>
            <w:tcBorders>
              <w:right w:val="single" w:sz="8" w:color="auto"/>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E5E5E5"/>
            </w:tcBorders>
            <w:shd w:val="clear" w:color="auto" w:fill="E5E5E5"/>
          </w:tcPr>
          <w:p>
            <w:pPr>
              <w:spacing w:after="0"/>
              <w:rPr>
                <w:sz w:val="24"/>
                <w:szCs w:val="24"/>
                <w:color w:val="auto"/>
              </w:rPr>
            </w:pPr>
          </w:p>
        </w:tc>
        <w:tc>
          <w:tcPr>
            <w:tcW w:w="1120" w:type="dxa"/>
            <w:vAlign w:val="bottom"/>
            <w:tcBorders>
              <w:bottom w:val="single" w:sz="8" w:color="auto"/>
              <w:right w:val="single" w:sz="8" w:color="E5E5E5"/>
            </w:tcBorders>
            <w:gridSpan w:val="2"/>
            <w:shd w:val="clear" w:color="auto" w:fill="E5E5E5"/>
          </w:tcPr>
          <w:p>
            <w:pPr>
              <w:spacing w:after="0"/>
              <w:rPr>
                <w:sz w:val="24"/>
                <w:szCs w:val="24"/>
                <w:color w:val="auto"/>
              </w:rPr>
            </w:pPr>
          </w:p>
        </w:tc>
        <w:tc>
          <w:tcPr>
            <w:tcW w:w="3040" w:type="dxa"/>
            <w:vAlign w:val="bottom"/>
            <w:tcBorders>
              <w:bottom w:val="single" w:sz="8" w:color="auto"/>
              <w:right w:val="single" w:sz="8" w:color="E5E5E5"/>
            </w:tcBorders>
            <w:shd w:val="clear" w:color="auto" w:fill="E5E5E5"/>
          </w:tcPr>
          <w:p>
            <w:pPr>
              <w:spacing w:after="0"/>
              <w:rPr>
                <w:sz w:val="24"/>
                <w:szCs w:val="24"/>
                <w:color w:val="auto"/>
              </w:rPr>
            </w:pPr>
          </w:p>
        </w:tc>
        <w:tc>
          <w:tcPr>
            <w:tcW w:w="3740" w:type="dxa"/>
            <w:vAlign w:val="bottom"/>
            <w:tcBorders>
              <w:bottom w:val="single" w:sz="8" w:color="auto"/>
              <w:right w:val="single" w:sz="8" w:color="auto"/>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3920" w:type="dxa"/>
            <w:vAlign w:val="bottom"/>
            <w:gridSpan w:val="3"/>
          </w:tcPr>
          <w:p>
            <w:pPr>
              <w:ind w:left="100"/>
              <w:spacing w:after="0"/>
              <w:rPr>
                <w:sz w:val="20"/>
                <w:szCs w:val="20"/>
                <w:color w:val="auto"/>
              </w:rPr>
            </w:pPr>
            <w:r>
              <w:rPr>
                <w:rFonts w:ascii="Arial" w:cs="Arial" w:eastAsia="Arial" w:hAnsi="Arial"/>
                <w:sz w:val="18"/>
                <w:szCs w:val="18"/>
                <w:color w:val="auto"/>
                <w:w w:val="99"/>
              </w:rPr>
              <w:t>CITIZENSHIP OR PLACE OF ORGANIZATION</w:t>
            </w: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Minnesota</w:t>
            </w: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w:t>
            </w:r>
          </w:p>
        </w:tc>
        <w:tc>
          <w:tcPr>
            <w:tcW w:w="30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20" w:type="dxa"/>
            <w:vAlign w:val="bottom"/>
            <w:tcBorders>
              <w:left w:val="single" w:sz="8" w:color="auto"/>
            </w:tcBorders>
          </w:tcPr>
          <w:p>
            <w:pPr>
              <w:spacing w:after="0"/>
              <w:rPr>
                <w:sz w:val="7"/>
                <w:szCs w:val="7"/>
                <w:color w:val="auto"/>
              </w:rPr>
            </w:pPr>
          </w:p>
        </w:tc>
        <w:tc>
          <w:tcPr>
            <w:tcW w:w="280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3040" w:type="dxa"/>
            <w:vAlign w:val="bottom"/>
            <w:vMerge w:val="continue"/>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tcBorders>
          </w:tcPr>
          <w:p>
            <w:pPr>
              <w:spacing w:after="0"/>
              <w:rPr>
                <w:sz w:val="5"/>
                <w:szCs w:val="5"/>
                <w:color w:val="auto"/>
              </w:rPr>
            </w:pPr>
          </w:p>
        </w:tc>
        <w:tc>
          <w:tcPr>
            <w:tcW w:w="2800" w:type="dxa"/>
            <w:vAlign w:val="bottom"/>
            <w:tcBorders>
              <w:right w:val="single" w:sz="8" w:color="auto"/>
            </w:tcBorders>
            <w:vMerge w:val="restart"/>
          </w:tcPr>
          <w:p>
            <w:pPr>
              <w:jc w:val="center"/>
              <w:ind w:right="630"/>
              <w:spacing w:after="0"/>
              <w:rPr>
                <w:sz w:val="20"/>
                <w:szCs w:val="20"/>
                <w:color w:val="auto"/>
              </w:rPr>
            </w:pPr>
            <w:r>
              <w:rPr>
                <w:rFonts w:ascii="Arial" w:cs="Arial" w:eastAsia="Arial" w:hAnsi="Arial"/>
                <w:sz w:val="18"/>
                <w:szCs w:val="18"/>
                <w:color w:val="auto"/>
                <w:w w:val="91"/>
              </w:rPr>
              <w:t>SHARES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tcBorders>
          </w:tcPr>
          <w:p>
            <w:pPr>
              <w:spacing w:after="0"/>
              <w:rPr>
                <w:sz w:val="15"/>
                <w:szCs w:val="15"/>
                <w:color w:val="auto"/>
              </w:rPr>
            </w:pPr>
          </w:p>
        </w:tc>
        <w:tc>
          <w:tcPr>
            <w:tcW w:w="2800" w:type="dxa"/>
            <w:vAlign w:val="bottom"/>
            <w:tcBorders>
              <w:right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Borders>
              <w:right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6</w:t>
            </w:r>
          </w:p>
        </w:tc>
        <w:tc>
          <w:tcPr>
            <w:tcW w:w="30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37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720" w:type="dxa"/>
            <w:vAlign w:val="bottom"/>
            <w:tcBorders>
              <w:lef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3040" w:type="dxa"/>
            <w:vAlign w:val="bottom"/>
            <w:vMerge w:val="continue"/>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tcBorders>
          </w:tcPr>
          <w:p>
            <w:pPr>
              <w:spacing w:after="0"/>
              <w:rPr>
                <w:sz w:val="18"/>
                <w:szCs w:val="18"/>
                <w:color w:val="auto"/>
              </w:rPr>
            </w:pPr>
          </w:p>
        </w:tc>
        <w:tc>
          <w:tcPr>
            <w:tcW w:w="2800" w:type="dxa"/>
            <w:vAlign w:val="bottom"/>
            <w:tcBorders>
              <w:right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0" w:type="dxa"/>
            <w:vAlign w:val="bottom"/>
            <w:tcBorders>
              <w:left w:val="single" w:sz="8" w:color="auto"/>
            </w:tcBorders>
          </w:tcPr>
          <w:p>
            <w:pPr>
              <w:spacing w:after="0"/>
              <w:rPr>
                <w:sz w:val="23"/>
                <w:szCs w:val="23"/>
                <w:color w:val="auto"/>
              </w:rPr>
            </w:pPr>
          </w:p>
        </w:tc>
        <w:tc>
          <w:tcPr>
            <w:tcW w:w="280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1,623,906</w:t>
            </w:r>
          </w:p>
        </w:tc>
        <w:tc>
          <w:tcPr>
            <w:tcW w:w="374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720" w:type="dxa"/>
            <w:vAlign w:val="bottom"/>
            <w:tcBorders>
              <w:left w:val="single" w:sz="8" w:color="auto"/>
            </w:tcBorders>
          </w:tcPr>
          <w:p>
            <w:pPr>
              <w:spacing w:after="0"/>
              <w:rPr>
                <w:sz w:val="3"/>
                <w:szCs w:val="3"/>
                <w:color w:val="auto"/>
              </w:rPr>
            </w:pPr>
          </w:p>
        </w:tc>
        <w:tc>
          <w:tcPr>
            <w:tcW w:w="280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24"/>
                <w:szCs w:val="24"/>
                <w:color w:val="auto"/>
              </w:rPr>
            </w:pPr>
          </w:p>
        </w:tc>
        <w:tc>
          <w:tcPr>
            <w:tcW w:w="8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7</w:t>
            </w:r>
          </w:p>
        </w:tc>
        <w:tc>
          <w:tcPr>
            <w:tcW w:w="30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1"/>
              </w:rPr>
              <w:t>REPORTING</w:t>
            </w:r>
          </w:p>
        </w:tc>
        <w:tc>
          <w:tcPr>
            <w:tcW w:w="2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0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20" w:type="dxa"/>
            <w:vAlign w:val="bottom"/>
            <w:tcBorders>
              <w:left w:val="single" w:sz="8" w:color="auto"/>
            </w:tcBorders>
          </w:tcPr>
          <w:p>
            <w:pPr>
              <w:spacing w:after="0"/>
              <w:rPr>
                <w:sz w:val="11"/>
                <w:szCs w:val="11"/>
                <w:color w:val="auto"/>
              </w:rPr>
            </w:pPr>
          </w:p>
        </w:tc>
        <w:tc>
          <w:tcPr>
            <w:tcW w:w="2800" w:type="dxa"/>
            <w:vAlign w:val="bottom"/>
            <w:tcBorders>
              <w:right w:val="single" w:sz="8" w:color="auto"/>
            </w:tcBorders>
            <w:vMerge w:val="restart"/>
          </w:tcPr>
          <w:p>
            <w:pPr>
              <w:jc w:val="center"/>
              <w:ind w:right="630"/>
              <w:spacing w:after="0" w:line="196" w:lineRule="exact"/>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3040" w:type="dxa"/>
            <w:vAlign w:val="bottom"/>
            <w:vMerge w:val="continue"/>
          </w:tcPr>
          <w:p>
            <w:pPr>
              <w:spacing w:after="0"/>
              <w:rPr>
                <w:sz w:val="11"/>
                <w:szCs w:val="11"/>
                <w:color w:val="auto"/>
              </w:rPr>
            </w:pPr>
          </w:p>
        </w:tc>
        <w:tc>
          <w:tcPr>
            <w:tcW w:w="37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tcBorders>
          </w:tcPr>
          <w:p>
            <w:pPr>
              <w:spacing w:after="0"/>
              <w:rPr>
                <w:sz w:val="5"/>
                <w:szCs w:val="5"/>
                <w:color w:val="auto"/>
              </w:rPr>
            </w:pPr>
          </w:p>
        </w:tc>
        <w:tc>
          <w:tcPr>
            <w:tcW w:w="2800" w:type="dxa"/>
            <w:vAlign w:val="bottom"/>
            <w:tcBorders>
              <w:right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72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tcPr>
          <w:p>
            <w:pPr>
              <w:jc w:val="center"/>
              <w:ind w:right="630"/>
              <w:spacing w:after="0"/>
              <w:rPr>
                <w:sz w:val="20"/>
                <w:szCs w:val="20"/>
                <w:color w:val="auto"/>
              </w:rPr>
            </w:pPr>
            <w:r>
              <w:rPr>
                <w:rFonts w:ascii="Arial" w:cs="Arial" w:eastAsia="Arial" w:hAnsi="Arial"/>
                <w:sz w:val="18"/>
                <w:szCs w:val="18"/>
                <w:color w:val="auto"/>
              </w:rPr>
              <w:t>WITH:</w:t>
            </w:r>
          </w:p>
        </w:tc>
        <w:tc>
          <w:tcPr>
            <w:tcW w:w="280" w:type="dxa"/>
            <w:vAlign w:val="bottom"/>
          </w:tcPr>
          <w:p>
            <w:pPr>
              <w:spacing w:after="0"/>
              <w:rPr>
                <w:sz w:val="24"/>
                <w:szCs w:val="24"/>
                <w:color w:val="auto"/>
              </w:rPr>
            </w:pPr>
          </w:p>
        </w:tc>
        <w:tc>
          <w:tcPr>
            <w:tcW w:w="8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8</w:t>
            </w:r>
          </w:p>
        </w:tc>
        <w:tc>
          <w:tcPr>
            <w:tcW w:w="3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tcBorders>
              <w:left w:val="single" w:sz="8" w:color="auto"/>
            </w:tcBorders>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1,623,906</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gridSpan w:val="2"/>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Borders>
              <w:left w:val="single" w:sz="8" w:color="auto"/>
              <w:right w:val="single" w:sz="8" w:color="auto"/>
            </w:tcBorders>
          </w:tcPr>
          <w:p>
            <w:pPr>
              <w:spacing w:after="0"/>
              <w:rPr>
                <w:sz w:val="24"/>
                <w:szCs w:val="24"/>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1,623,906</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10</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8"/>
              </w:rPr>
              <w:t>CHECK IF THE AGGREGATE AMOUNT IN ROW (9) EXCLUDES CERTAIN SHARES</w:t>
            </w:r>
          </w:p>
        </w:tc>
        <w:tc>
          <w:tcPr>
            <w:tcW w:w="37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Borders>
              <w:left w:val="single" w:sz="8" w:color="auto"/>
              <w:right w:val="single" w:sz="8" w:color="auto"/>
            </w:tcBorders>
          </w:tcPr>
          <w:p>
            <w:pPr>
              <w:spacing w:after="0"/>
              <w:rPr>
                <w:sz w:val="24"/>
                <w:szCs w:val="24"/>
                <w:color w:val="auto"/>
              </w:rPr>
            </w:pPr>
          </w:p>
        </w:tc>
        <w:tc>
          <w:tcPr>
            <w:tcW w:w="2800" w:type="dxa"/>
            <w:vAlign w:val="bottom"/>
          </w:tcPr>
          <w:p>
            <w:pPr>
              <w:ind w:left="10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12</w:t>
            </w: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Borders>
              <w:left w:val="single" w:sz="8" w:color="auto"/>
              <w:right w:val="single" w:sz="8" w:color="auto"/>
            </w:tcBorders>
          </w:tcPr>
          <w:p>
            <w:pPr>
              <w:spacing w:after="0"/>
              <w:rPr>
                <w:sz w:val="24"/>
                <w:szCs w:val="24"/>
                <w:color w:val="auto"/>
              </w:rPr>
            </w:pPr>
          </w:p>
        </w:tc>
        <w:tc>
          <w:tcPr>
            <w:tcW w:w="3080" w:type="dxa"/>
            <w:vAlign w:val="bottom"/>
            <w:gridSpan w:val="2"/>
          </w:tcPr>
          <w:p>
            <w:pPr>
              <w:ind w:left="100"/>
              <w:spacing w:after="0"/>
              <w:rPr>
                <w:sz w:val="20"/>
                <w:szCs w:val="20"/>
                <w:color w:val="auto"/>
              </w:rPr>
            </w:pPr>
            <w:r>
              <w:rPr>
                <w:rFonts w:ascii="Arial" w:cs="Arial" w:eastAsia="Arial" w:hAnsi="Arial"/>
                <w:sz w:val="18"/>
                <w:szCs w:val="18"/>
                <w:color w:val="auto"/>
              </w:rPr>
              <w:t>EP</w:t>
            </w: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bottom w:val="single" w:sz="8" w:color="auto"/>
              <w:right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2"/>
        </w:trPr>
        <w:tc>
          <w:tcPr>
            <w:tcW w:w="7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81" w:right="2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Name of Issuer:</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Hawkins, Inc.</w:t>
      </w:r>
    </w:p>
    <w:p>
      <w:pPr>
        <w:spacing w:after="0" w:line="200" w:lineRule="exact"/>
        <w:rPr>
          <w:sz w:val="20"/>
          <w:szCs w:val="20"/>
          <w:color w:val="auto"/>
        </w:rPr>
      </w:pPr>
    </w:p>
    <w:p>
      <w:pPr>
        <w:sectPr>
          <w:pgSz w:w="11900" w:h="16838" w:orient="portrait"/>
          <w:cols w:equalWidth="0" w:num="3">
            <w:col w:w="540" w:space="140"/>
            <w:col w:w="200" w:space="500"/>
            <w:col w:w="10020"/>
          </w:cols>
          <w:pgMar w:left="240" w:top="1121" w:right="259" w:bottom="1440" w:gutter="0" w:footer="0" w:header="0"/>
        </w:sectPr>
      </w:pPr>
    </w:p>
    <w:p>
      <w:pPr>
        <w:spacing w:after="0" w:line="22" w:lineRule="exact"/>
        <w:rPr>
          <w:sz w:val="20"/>
          <w:szCs w:val="20"/>
          <w:color w:val="auto"/>
        </w:rPr>
      </w:pPr>
    </w:p>
    <w:p>
      <w:pPr>
        <w:ind w:left="1620" w:right="6580" w:hanging="964"/>
        <w:spacing w:after="0" w:line="264" w:lineRule="auto"/>
        <w:tabs>
          <w:tab w:leader="none" w:pos="1353"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 Minneapolis, MN 55413</w:t>
      </w:r>
    </w:p>
    <w:p>
      <w:pPr>
        <w:spacing w:after="0" w:line="20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Name of Person Filing: </w:t>
      </w:r>
      <w:r>
        <w:rPr>
          <w:rFonts w:ascii="Arial" w:cs="Arial" w:eastAsia="Arial" w:hAnsi="Arial"/>
          <w:sz w:val="26"/>
          <w:szCs w:val="26"/>
          <w:color w:val="auto"/>
          <w:vertAlign w:val="superscript"/>
        </w:rPr>
        <w:t>1</w:t>
      </w:r>
    </w:p>
    <w:p>
      <w:pPr>
        <w:ind w:left="1620"/>
        <w:spacing w:after="0"/>
        <w:rPr>
          <w:sz w:val="20"/>
          <w:szCs w:val="20"/>
          <w:color w:val="auto"/>
        </w:rPr>
      </w:pPr>
      <w:r>
        <w:rPr>
          <w:rFonts w:ascii="Arial" w:cs="Arial" w:eastAsia="Arial" w:hAnsi="Arial"/>
          <w:sz w:val="18"/>
          <w:szCs w:val="18"/>
          <w:color w:val="auto"/>
        </w:rPr>
        <w:t>Hawkins, Inc. Employee Stock Ownership Plan and Trust</w:t>
      </w:r>
    </w:p>
    <w:p>
      <w:pPr>
        <w:spacing w:after="0" w:line="209" w:lineRule="exact"/>
        <w:rPr>
          <w:sz w:val="20"/>
          <w:szCs w:val="20"/>
          <w:color w:val="auto"/>
        </w:rPr>
      </w:pPr>
    </w:p>
    <w:p>
      <w:pPr>
        <w:ind w:left="1620" w:right="5720" w:hanging="964"/>
        <w:spacing w:after="0" w:line="258" w:lineRule="auto"/>
        <w:tabs>
          <w:tab w:leader="none" w:pos="1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1620" w:right="7720"/>
        <w:spacing w:after="0" w:line="323" w:lineRule="auto"/>
        <w:rPr>
          <w:rFonts w:ascii="Arial" w:cs="Arial" w:eastAsia="Arial" w:hAnsi="Arial"/>
          <w:sz w:val="18"/>
          <w:szCs w:val="18"/>
          <w:color w:val="auto"/>
        </w:rPr>
      </w:pPr>
      <w:r>
        <w:rPr>
          <w:rFonts w:ascii="Arial" w:cs="Arial" w:eastAsia="Arial" w:hAnsi="Arial"/>
          <w:sz w:val="16"/>
          <w:szCs w:val="16"/>
          <w:color w:val="auto"/>
        </w:rPr>
        <w:t>3100 East Hennepin Avenue Minneapolis, MN 55413</w:t>
      </w:r>
    </w:p>
    <w:p>
      <w:pPr>
        <w:spacing w:after="0" w:line="138" w:lineRule="exact"/>
        <w:rPr>
          <w:rFonts w:ascii="Arial" w:cs="Arial" w:eastAsia="Arial" w:hAnsi="Arial"/>
          <w:sz w:val="18"/>
          <w:szCs w:val="18"/>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Minnesota</w:t>
      </w:r>
    </w:p>
    <w:p>
      <w:pPr>
        <w:spacing w:after="0" w:line="211" w:lineRule="exact"/>
        <w:rPr>
          <w:sz w:val="20"/>
          <w:szCs w:val="20"/>
          <w:color w:val="auto"/>
        </w:rPr>
      </w:pPr>
    </w:p>
    <w:p>
      <w:pPr>
        <w:ind w:left="1360" w:hanging="704"/>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Common Stock, Par Value $.05 per share</w:t>
      </w:r>
    </w:p>
    <w:p>
      <w:pPr>
        <w:spacing w:after="0" w:line="211" w:lineRule="exact"/>
        <w:rPr>
          <w:sz w:val="20"/>
          <w:szCs w:val="20"/>
          <w:color w:val="auto"/>
        </w:rPr>
      </w:pPr>
    </w:p>
    <w:p>
      <w:pPr>
        <w:ind w:left="1620" w:right="8860" w:hanging="964"/>
        <w:spacing w:after="0" w:line="342" w:lineRule="auto"/>
        <w:tabs>
          <w:tab w:leader="none" w:pos="1342"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62"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157" w:lineRule="exact"/>
        <w:rPr>
          <w:rFonts w:ascii="Arial" w:cs="Arial" w:eastAsia="Arial" w:hAnsi="Arial"/>
          <w:sz w:val="18"/>
          <w:szCs w:val="18"/>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157" w:lineRule="exact"/>
        <w:rPr>
          <w:rFonts w:ascii="Arial" w:cs="Arial" w:eastAsia="Arial" w:hAnsi="Arial"/>
          <w:sz w:val="18"/>
          <w:szCs w:val="18"/>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157" w:lineRule="exact"/>
        <w:rPr>
          <w:rFonts w:ascii="Arial" w:cs="Arial" w:eastAsia="Arial" w:hAnsi="Arial"/>
          <w:sz w:val="18"/>
          <w:szCs w:val="18"/>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157" w:lineRule="exact"/>
        <w:rPr>
          <w:rFonts w:ascii="Arial" w:cs="Arial" w:eastAsia="Arial" w:hAnsi="Arial"/>
          <w:sz w:val="18"/>
          <w:szCs w:val="18"/>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investment adviser in accordance with § 240.13d-1(b)(1)(ii)(E);</w:t>
      </w:r>
    </w:p>
    <w:p>
      <w:pPr>
        <w:spacing w:after="0" w:line="157"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5"/>
        </w:numPr>
        <w:rPr>
          <w:rFonts w:ascii="Arial" w:cs="Arial" w:eastAsia="Arial" w:hAnsi="Arial"/>
          <w:sz w:val="18"/>
          <w:szCs w:val="18"/>
          <w:color w:val="auto"/>
        </w:rPr>
      </w:pPr>
      <w:r>
        <w:rPr>
          <w:rFonts w:ascii="Arial" w:cs="Arial" w:eastAsia="Arial" w:hAnsi="Arial"/>
          <w:sz w:val="16"/>
          <w:szCs w:val="16"/>
          <w:color w:val="auto"/>
        </w:rPr>
        <w:t xml:space="preserve">x    </w:t>
      </w:r>
      <w:r>
        <w:rPr>
          <w:rFonts w:ascii="Arial" w:cs="Arial" w:eastAsia="Arial" w:hAnsi="Arial"/>
          <w:sz w:val="18"/>
          <w:szCs w:val="18"/>
          <w:color w:val="auto"/>
        </w:rPr>
        <w:t>An employee benefit plan or endowment fund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1(b)(1)(ii)(F);</w:t>
      </w:r>
    </w:p>
    <w:p>
      <w:pPr>
        <w:spacing w:after="0" w:line="157"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1(b)(1)(ii)(G);</w:t>
      </w:r>
    </w:p>
    <w:p>
      <w:pPr>
        <w:spacing w:after="0" w:line="157" w:lineRule="exact"/>
        <w:rPr>
          <w:rFonts w:ascii="Arial" w:cs="Arial" w:eastAsia="Arial" w:hAnsi="Arial"/>
          <w:sz w:val="18"/>
          <w:szCs w:val="18"/>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157" w:lineRule="exact"/>
        <w:rPr>
          <w:rFonts w:ascii="Arial" w:cs="Arial" w:eastAsia="Arial" w:hAnsi="Arial"/>
          <w:sz w:val="18"/>
          <w:szCs w:val="18"/>
          <w:color w:val="auto"/>
        </w:rPr>
      </w:pPr>
    </w:p>
    <w:p>
      <w:pPr>
        <w:ind w:left="1320" w:right="480" w:hanging="664"/>
        <w:spacing w:after="0" w:line="182" w:lineRule="auto"/>
        <w:tabs>
          <w:tab w:leader="none" w:pos="1671"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color w:val="auto"/>
        </w:rPr>
        <w:t>A church plan that is excluded from the definition of an investment company under section 3(c)(14) of the Investment Company o Act;</w:t>
      </w:r>
    </w:p>
    <w:p>
      <w:pPr>
        <w:spacing w:after="0" w:line="136" w:lineRule="exact"/>
        <w:rPr>
          <w:rFonts w:ascii="Arial" w:cs="Arial" w:eastAsia="Arial" w:hAnsi="Arial"/>
          <w:sz w:val="34"/>
          <w:szCs w:val="34"/>
          <w:color w:val="auto"/>
          <w:vertAlign w:val="subscript"/>
        </w:rPr>
      </w:pPr>
    </w:p>
    <w:p>
      <w:pPr>
        <w:ind w:left="1320" w:hanging="664"/>
        <w:spacing w:after="0" w:line="207" w:lineRule="exact"/>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non-U.S. institution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1(b)(1)(ii)(J);</w:t>
      </w:r>
    </w:p>
    <w:p>
      <w:pPr>
        <w:spacing w:after="0" w:line="157"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Group,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63" w:lineRule="exact"/>
        <w:rPr>
          <w:sz w:val="20"/>
          <w:szCs w:val="20"/>
          <w:color w:val="auto"/>
        </w:rPr>
      </w:pPr>
    </w:p>
    <w:p>
      <w:pPr>
        <w:ind w:left="120" w:hanging="121"/>
        <w:spacing w:after="0" w:line="272" w:lineRule="auto"/>
        <w:rPr>
          <w:sz w:val="20"/>
          <w:szCs w:val="20"/>
          <w:color w:val="auto"/>
        </w:rPr>
      </w:pPr>
      <w:r>
        <w:rPr>
          <w:rFonts w:ascii="Arial" w:cs="Arial" w:eastAsia="Arial" w:hAnsi="Arial"/>
          <w:sz w:val="17"/>
          <w:szCs w:val="17"/>
          <w:color w:val="auto"/>
        </w:rPr>
        <w:t>1 The Trustee of the Hawkins, Inc. Employee Stock Ownership Plan and Trust (the “ESOP”) is Alerus Financial,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 ;s stock. The Trustee disclaims beneficial ownership of the shares attributed to it in its capacity as Trustee of the ESOP.</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type w:val="continuous"/>
        </w:sectPr>
      </w:pPr>
    </w:p>
    <w:bookmarkStart w:id="3" w:name="page4"/>
    <w:bookmarkEnd w:id="3"/>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1,623,906.</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15.8%.</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1,623,906.</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1,623,906.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66" w:lineRule="exact"/>
        <w:rPr>
          <w:sz w:val="20"/>
          <w:szCs w:val="20"/>
          <w:color w:val="auto"/>
        </w:rPr>
      </w:pPr>
    </w:p>
    <w:p>
      <w:pPr>
        <w:ind w:left="660" w:right="3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823"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16, 2010</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p>
      <w:pPr>
        <w:spacing w:after="0" w:line="200" w:lineRule="exact"/>
        <w:rPr>
          <w:sz w:val="20"/>
          <w:szCs w:val="20"/>
          <w:color w:val="auto"/>
        </w:rPr>
      </w:pPr>
    </w:p>
    <w:p>
      <w:pPr>
        <w:spacing w:after="0" w:line="32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Kathleen P. Pepski</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-130175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60"/>
      </w:cols>
      <w:pgMar w:left="240" w:top="82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2"/>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2019-12-10T00:54:57Z</dcterms:created>
  <dcterms:modified xsi:type="dcterms:W3CDTF">2019-12-10T00:54:57Z</dcterms:modified>
</cp:coreProperties>
</file>