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30, 2025</w:t>
      </w:r>
    </w:p>
    <w:p>
      <w:pPr>
        <w:spacing w:after="0" w:line="3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41" w:right="339" w:bottom="1440" w:gutter="0" w:footer="0" w:header="0"/>
        </w:sectPr>
      </w:pPr>
    </w:p>
    <w:p>
      <w:pPr>
        <w:spacing w:after="0" w:line="32"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51" w:lineRule="exact"/>
        <w:rPr>
          <w:sz w:val="24"/>
          <w:szCs w:val="24"/>
          <w:color w:val="auto"/>
        </w:rPr>
      </w:pPr>
    </w:p>
    <w:p>
      <w:pPr>
        <w:sectPr>
          <w:pgSz w:w="11900" w:h="16838" w:orient="portrait"/>
          <w:cols w:equalWidth="0" w:num="3">
            <w:col w:w="4520" w:space="720"/>
            <w:col w:w="2800" w:space="720"/>
            <w:col w:w="2480"/>
          </w:cols>
          <w:pgMar w:left="320" w:top="1041" w:right="33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880" w:space="720"/>
            <w:col w:w="2800" w:space="720"/>
            <w:col w:w="3120"/>
          </w:cols>
          <w:pgMar w:left="320" w:top="1041" w:right="339" w:bottom="1440" w:gutter="0" w:footer="0" w:header="0"/>
          <w:type w:val="continuous"/>
        </w:sectPr>
      </w:pPr>
    </w:p>
    <w:p>
      <w:pPr>
        <w:ind w:left="700"/>
        <w:spacing w:after="0"/>
        <w:tabs>
          <w:tab w:leader="none" w:pos="3100" w:val="left"/>
        </w:tabs>
        <w:rPr>
          <w:sz w:val="20"/>
          <w:szCs w:val="20"/>
          <w:color w:val="auto"/>
        </w:rPr>
      </w:pPr>
      <w:r>
        <w:rPr>
          <w:rFonts w:ascii="Arial" w:cs="Arial" w:eastAsia="Arial" w:hAnsi="Arial"/>
          <w:sz w:val="18"/>
          <w:szCs w:val="18"/>
          <w:b w:val="1"/>
          <w:bCs w:val="1"/>
          <w:color w:val="auto"/>
        </w:rPr>
        <w:t>2381 Rosegate, Roseville,</w:t>
        <w:tab/>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55113</w:t>
      </w:r>
    </w:p>
    <w:p>
      <w:pPr>
        <w:spacing w:after="0" w:line="51" w:lineRule="exact"/>
        <w:rPr>
          <w:sz w:val="24"/>
          <w:szCs w:val="24"/>
          <w:color w:val="auto"/>
        </w:rPr>
      </w:pPr>
    </w:p>
    <w:p>
      <w:pPr>
        <w:sectPr>
          <w:pgSz w:w="11900" w:h="16838" w:orient="portrait"/>
          <w:cols w:equalWidth="0" w:num="2">
            <w:col w:w="8580" w:space="720"/>
            <w:col w:w="1940"/>
          </w:cols>
          <w:pgMar w:left="320" w:top="1041" w:right="339" w:bottom="1440" w:gutter="0" w:footer="0" w:header="0"/>
          <w:type w:val="continuous"/>
        </w:sectPr>
      </w:pPr>
    </w:p>
    <w:p>
      <w:pPr>
        <w:ind w:left="10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480" w:space="720"/>
            <w:col w:w="2040"/>
          </w:cols>
          <w:pgMar w:left="320" w:top="1041" w:right="339" w:bottom="1440" w:gutter="0" w:footer="0" w:header="0"/>
          <w:type w:val="continuous"/>
        </w:sect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33" w:lineRule="exact"/>
        <w:rPr>
          <w:sz w:val="24"/>
          <w:szCs w:val="24"/>
          <w:color w:val="auto"/>
        </w:rPr>
      </w:pPr>
    </w:p>
    <w:p>
      <w:pPr>
        <w:ind w:right="220" w:firstLine="445"/>
        <w:spacing w:after="0" w:line="26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Pr>
          <w:p>
            <w:pPr>
              <w:ind w:left="1040"/>
              <w:spacing w:after="0"/>
              <w:rPr>
                <w:sz w:val="20"/>
                <w:szCs w:val="20"/>
                <w:color w:val="auto"/>
              </w:rPr>
            </w:pPr>
            <w:r>
              <w:rPr>
                <w:rFonts w:ascii="Arial" w:cs="Arial" w:eastAsia="Arial" w:hAnsi="Arial"/>
                <w:sz w:val="16"/>
                <w:szCs w:val="16"/>
                <w:b w:val="1"/>
                <w:bCs w:val="1"/>
                <w:color w:val="auto"/>
              </w:rPr>
              <w:t>Title of each class</w:t>
            </w:r>
          </w:p>
        </w:tc>
        <w:tc>
          <w:tcPr>
            <w:tcW w:w="2900" w:type="dxa"/>
            <w:vAlign w:val="bottom"/>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20" w:type="dxa"/>
            <w:vAlign w:val="bottom"/>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
        </w:trPr>
        <w:tc>
          <w:tcPr>
            <w:tcW w:w="38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r>
      <w:tr>
        <w:trPr>
          <w:trHeight w:val="208"/>
        </w:trPr>
        <w:tc>
          <w:tcPr>
            <w:tcW w:w="38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0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20" w:type="dxa"/>
            <w:vAlign w:val="bottom"/>
          </w:tcPr>
          <w:p>
            <w:pPr>
              <w:jc w:val="center"/>
              <w:ind w:left="379"/>
              <w:spacing w:after="0"/>
              <w:rPr>
                <w:sz w:val="20"/>
                <w:szCs w:val="20"/>
                <w:color w:val="auto"/>
              </w:rPr>
            </w:pPr>
            <w:r>
              <w:rPr>
                <w:rFonts w:ascii="Arial" w:cs="Arial" w:eastAsia="Arial" w:hAnsi="Arial"/>
                <w:sz w:val="16"/>
                <w:szCs w:val="16"/>
                <w:color w:val="auto"/>
              </w:rPr>
              <w:t>The Nasdaq Stock Market LLC</w:t>
            </w:r>
          </w:p>
        </w:tc>
      </w:tr>
    </w:tbl>
    <w:p>
      <w:pPr>
        <w:spacing w:after="0" w:line="347"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17" w:lineRule="exact"/>
        <w:rPr>
          <w:sz w:val="20"/>
          <w:szCs w:val="20"/>
          <w:color w:val="auto"/>
        </w:rPr>
      </w:pPr>
    </w:p>
    <w:p>
      <w:pPr>
        <w:ind w:right="40" w:firstLine="648"/>
        <w:spacing w:after="0" w:line="287" w:lineRule="auto"/>
        <w:rPr>
          <w:rFonts w:ascii="Arial" w:cs="Arial" w:eastAsia="Arial" w:hAnsi="Arial"/>
          <w:sz w:val="18"/>
          <w:szCs w:val="18"/>
          <w:color w:val="0000FF"/>
        </w:rPr>
      </w:pPr>
      <w:hyperlink r:id="rId9">
        <w:r>
          <w:rPr>
            <w:rFonts w:ascii="Arial" w:cs="Arial" w:eastAsia="Arial" w:hAnsi="Arial"/>
            <w:sz w:val="18"/>
            <w:szCs w:val="18"/>
            <w:color w:val="auto"/>
          </w:rPr>
          <w:t xml:space="preserve">At our annual meeting of shareholders held July 30, 2025, the following proposals, each as described in further detail in the </w:t>
        </w:r>
        <w:r>
          <w:rPr>
            <w:rFonts w:ascii="Arial" w:cs="Arial" w:eastAsia="Arial" w:hAnsi="Arial"/>
            <w:sz w:val="18"/>
            <w:szCs w:val="18"/>
            <w:u w:val="single" w:color="auto"/>
            <w:color w:val="0000FF"/>
          </w:rPr>
          <w:t>definitive</w:t>
        </w:r>
      </w:hyperlink>
      <w:r>
        <w:rPr>
          <w:rFonts w:ascii="Arial" w:cs="Arial" w:eastAsia="Arial" w:hAnsi="Arial"/>
          <w:sz w:val="18"/>
          <w:szCs w:val="18"/>
          <w:color w:val="auto"/>
        </w:rPr>
        <w:t xml:space="preserve"> </w:t>
      </w:r>
      <w:hyperlink r:id="rId9">
        <w:r>
          <w:rPr>
            <w:rFonts w:ascii="Arial" w:cs="Arial" w:eastAsia="Arial" w:hAnsi="Arial"/>
            <w:sz w:val="18"/>
            <w:szCs w:val="18"/>
            <w:u w:val="single" w:color="auto"/>
            <w:color w:val="0000FF"/>
          </w:rPr>
          <w:t>proxy statement filed by our company on June 18, 2025</w:t>
        </w:r>
        <w:r>
          <w:rPr>
            <w:rFonts w:ascii="Arial" w:cs="Arial" w:eastAsia="Arial" w:hAnsi="Arial"/>
            <w:sz w:val="18"/>
            <w:szCs w:val="18"/>
            <w:color w:val="000000"/>
          </w:rPr>
          <w:t>, were voted upon by our shareholders as set forth below:</w:t>
        </w:r>
      </w:hyperlink>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One – Election of Directors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shareholders elected each of the eight nominees to our Board of Directors, based on the following votes: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20" w:type="dxa"/>
            <w:vAlign w:val="bottom"/>
            <w:gridSpan w:val="2"/>
          </w:tcPr>
          <w:p>
            <w:pPr>
              <w:ind w:left="600"/>
              <w:spacing w:after="0"/>
              <w:rPr>
                <w:sz w:val="20"/>
                <w:szCs w:val="20"/>
                <w:color w:val="auto"/>
              </w:rPr>
            </w:pPr>
            <w:r>
              <w:rPr>
                <w:rFonts w:ascii="Arial" w:cs="Arial" w:eastAsia="Arial" w:hAnsi="Arial"/>
                <w:sz w:val="18"/>
                <w:szCs w:val="18"/>
                <w:b w:val="1"/>
                <w:bCs w:val="1"/>
                <w:color w:val="auto"/>
              </w:rPr>
              <w:t>Director Nominee</w:t>
            </w:r>
          </w:p>
        </w:tc>
        <w:tc>
          <w:tcPr>
            <w:tcW w:w="2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For</w:t>
            </w:r>
          </w:p>
        </w:tc>
        <w:tc>
          <w:tcPr>
            <w:tcW w:w="2820" w:type="dxa"/>
            <w:vAlign w:val="bottom"/>
            <w:gridSpan w:val="2"/>
          </w:tcPr>
          <w:p>
            <w:pPr>
              <w:ind w:left="960"/>
              <w:spacing w:after="0"/>
              <w:rPr>
                <w:sz w:val="20"/>
                <w:szCs w:val="20"/>
                <w:color w:val="auto"/>
              </w:rPr>
            </w:pPr>
            <w:r>
              <w:rPr>
                <w:rFonts w:ascii="Arial" w:cs="Arial" w:eastAsia="Arial" w:hAnsi="Arial"/>
                <w:sz w:val="18"/>
                <w:szCs w:val="18"/>
                <w:b w:val="1"/>
                <w:bCs w:val="1"/>
                <w:color w:val="auto"/>
              </w:rPr>
              <w:t>Withheld</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Non-Vote</w:t>
            </w:r>
          </w:p>
        </w:tc>
      </w:tr>
      <w:tr>
        <w:trPr>
          <w:trHeight w:val="218"/>
        </w:trPr>
        <w:tc>
          <w:tcPr>
            <w:tcW w:w="2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James A. Faulconbridge</w:t>
            </w:r>
          </w:p>
        </w:tc>
        <w:tc>
          <w:tcPr>
            <w:tcW w:w="120" w:type="dxa"/>
            <w:vAlign w:val="bottom"/>
          </w:tcPr>
          <w:p>
            <w:pPr>
              <w:spacing w:after="0"/>
              <w:rPr>
                <w:sz w:val="18"/>
                <w:szCs w:val="18"/>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13,417,459</w:t>
            </w:r>
          </w:p>
        </w:tc>
        <w:tc>
          <w:tcPr>
            <w:tcW w:w="140" w:type="dxa"/>
            <w:vAlign w:val="bottom"/>
          </w:tcPr>
          <w:p>
            <w:pPr>
              <w:spacing w:after="0"/>
              <w:rPr>
                <w:sz w:val="18"/>
                <w:szCs w:val="18"/>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1,327,965</w:t>
            </w:r>
          </w:p>
        </w:tc>
        <w:tc>
          <w:tcPr>
            <w:tcW w:w="120" w:type="dxa"/>
            <w:vAlign w:val="bottom"/>
          </w:tcPr>
          <w:p>
            <w:pPr>
              <w:spacing w:after="0"/>
              <w:rPr>
                <w:sz w:val="18"/>
                <w:szCs w:val="18"/>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2,190,871</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Patrick H. Hawkins</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14,614,927</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130,497</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2,190,871</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Yi "Faith" Tang</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14,724,250</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rPr>
              <w:t>21,174</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2,190,871</w:t>
            </w: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Mary J. Schumacher</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14,346,477</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398,947</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2,190,871</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Daniel J. Stauber</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14,462,818</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282,606</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2,190,871</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James T. Thompson</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14,316,125</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429,299</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2,190,871</w:t>
            </w: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Jeffrey L. Wright</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14,319,040</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426,384</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2,190,871</w:t>
            </w:r>
          </w:p>
        </w:tc>
      </w:tr>
      <w:tr>
        <w:trPr>
          <w:trHeight w:val="23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Jeffrey E. Spethmann</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14,719,704</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rPr>
              <w:t>25,720</w:t>
            </w:r>
          </w:p>
        </w:tc>
        <w:tc>
          <w:tcPr>
            <w:tcW w:w="1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2,190,871</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Two – Vote to Ratify the Appointment of Deloitte &amp; Touche LLP</w:t>
      </w:r>
    </w:p>
    <w:p>
      <w:pPr>
        <w:spacing w:after="0" w:line="117" w:lineRule="exact"/>
        <w:rPr>
          <w:sz w:val="20"/>
          <w:szCs w:val="20"/>
          <w:color w:val="auto"/>
        </w:rPr>
      </w:pPr>
    </w:p>
    <w:p>
      <w:pPr>
        <w:jc w:val="both"/>
        <w:ind w:right="60" w:firstLine="648"/>
        <w:spacing w:after="0" w:line="273" w:lineRule="auto"/>
        <w:rPr>
          <w:sz w:val="20"/>
          <w:szCs w:val="20"/>
          <w:color w:val="auto"/>
        </w:rPr>
      </w:pPr>
      <w:r>
        <w:rPr>
          <w:rFonts w:ascii="Arial" w:cs="Arial" w:eastAsia="Arial" w:hAnsi="Arial"/>
          <w:sz w:val="18"/>
          <w:szCs w:val="18"/>
          <w:color w:val="auto"/>
        </w:rPr>
        <w:t>Our shareholders ratified the appointment of Deloitte &amp; Touche LLP to serve as our independent registered public accounting firm for the fiscal year ending March 29, 2026 as disclosed in the above-referenced proxy statement, based on the votes listed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For</w:t>
            </w:r>
          </w:p>
        </w:tc>
        <w:tc>
          <w:tcPr>
            <w:tcW w:w="2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Against</w:t>
            </w:r>
          </w:p>
        </w:tc>
        <w:tc>
          <w:tcPr>
            <w:tcW w:w="2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Abstain</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Non-Vote</w:t>
            </w:r>
          </w:p>
        </w:tc>
      </w:tr>
      <w:tr>
        <w:trPr>
          <w:trHeight w:val="232"/>
        </w:trPr>
        <w:tc>
          <w:tcPr>
            <w:tcW w:w="27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16,912,506</w:t>
            </w:r>
          </w:p>
        </w:tc>
        <w:tc>
          <w:tcPr>
            <w:tcW w:w="120" w:type="dxa"/>
            <w:vAlign w:val="bottom"/>
          </w:tcPr>
          <w:p>
            <w:pPr>
              <w:spacing w:after="0"/>
              <w:rPr>
                <w:sz w:val="20"/>
                <w:szCs w:val="20"/>
                <w:color w:val="auto"/>
              </w:rPr>
            </w:pPr>
          </w:p>
        </w:tc>
        <w:tc>
          <w:tcPr>
            <w:tcW w:w="27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rPr>
              <w:t>20,135</w:t>
            </w:r>
          </w:p>
        </w:tc>
        <w:tc>
          <w:tcPr>
            <w:tcW w:w="140" w:type="dxa"/>
            <w:vAlign w:val="bottom"/>
          </w:tcPr>
          <w:p>
            <w:pPr>
              <w:spacing w:after="0"/>
              <w:rPr>
                <w:sz w:val="20"/>
                <w:szCs w:val="20"/>
                <w:color w:val="auto"/>
              </w:rPr>
            </w:pPr>
          </w:p>
        </w:tc>
        <w:tc>
          <w:tcPr>
            <w:tcW w:w="272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rPr>
              <w:t>3,654</w:t>
            </w:r>
          </w:p>
        </w:tc>
        <w:tc>
          <w:tcPr>
            <w:tcW w:w="14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Three – Advisory Vote to Approve Executive Compensation</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8"/>
          <w:szCs w:val="18"/>
          <w:color w:val="auto"/>
        </w:rPr>
        <w:t>Our shareholders approved, on a non-binding advisory basis, the compensation of our executive officers ("say-on-pay") as disclosed in the above-referenced proxy statement, based on the votes listed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For</w:t>
            </w:r>
          </w:p>
        </w:tc>
        <w:tc>
          <w:tcPr>
            <w:tcW w:w="2840" w:type="dxa"/>
            <w:vAlign w:val="bottom"/>
            <w:gridSpan w:val="2"/>
          </w:tcPr>
          <w:p>
            <w:pPr>
              <w:ind w:left="1020"/>
              <w:spacing w:after="0"/>
              <w:rPr>
                <w:sz w:val="20"/>
                <w:szCs w:val="20"/>
                <w:color w:val="auto"/>
              </w:rPr>
            </w:pPr>
            <w:r>
              <w:rPr>
                <w:rFonts w:ascii="Arial" w:cs="Arial" w:eastAsia="Arial" w:hAnsi="Arial"/>
                <w:sz w:val="18"/>
                <w:szCs w:val="18"/>
                <w:b w:val="1"/>
                <w:bCs w:val="1"/>
                <w:color w:val="auto"/>
              </w:rPr>
              <w:t>Against</w:t>
            </w:r>
          </w:p>
        </w:tc>
        <w:tc>
          <w:tcPr>
            <w:tcW w:w="2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Abstain</w:t>
            </w:r>
          </w:p>
        </w:tc>
        <w:tc>
          <w:tcPr>
            <w:tcW w:w="2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Broker Non-Vote</w:t>
            </w:r>
          </w:p>
        </w:tc>
      </w:tr>
      <w:tr>
        <w:trPr>
          <w:trHeight w:val="232"/>
        </w:trPr>
        <w:tc>
          <w:tcPr>
            <w:tcW w:w="27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14,131,359</w:t>
            </w:r>
          </w:p>
        </w:tc>
        <w:tc>
          <w:tcPr>
            <w:tcW w:w="120" w:type="dxa"/>
            <w:vAlign w:val="bottom"/>
          </w:tcPr>
          <w:p>
            <w:pPr>
              <w:spacing w:after="0"/>
              <w:rPr>
                <w:sz w:val="20"/>
                <w:szCs w:val="20"/>
                <w:color w:val="auto"/>
              </w:rPr>
            </w:pPr>
          </w:p>
        </w:tc>
        <w:tc>
          <w:tcPr>
            <w:tcW w:w="27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594,854</w:t>
            </w:r>
          </w:p>
        </w:tc>
        <w:tc>
          <w:tcPr>
            <w:tcW w:w="140" w:type="dxa"/>
            <w:vAlign w:val="bottom"/>
          </w:tcPr>
          <w:p>
            <w:pPr>
              <w:spacing w:after="0"/>
              <w:rPr>
                <w:sz w:val="20"/>
                <w:szCs w:val="20"/>
                <w:color w:val="auto"/>
              </w:rPr>
            </w:pPr>
          </w:p>
        </w:tc>
        <w:tc>
          <w:tcPr>
            <w:tcW w:w="27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rPr>
              <w:t>19,211</w:t>
            </w:r>
          </w:p>
        </w:tc>
        <w:tc>
          <w:tcPr>
            <w:tcW w:w="140" w:type="dxa"/>
            <w:vAlign w:val="bottom"/>
          </w:tcPr>
          <w:p>
            <w:pPr>
              <w:spacing w:after="0"/>
              <w:rPr>
                <w:sz w:val="20"/>
                <w:szCs w:val="20"/>
                <w:color w:val="auto"/>
              </w:rPr>
            </w:pPr>
          </w:p>
        </w:tc>
        <w:tc>
          <w:tcPr>
            <w:tcW w:w="270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2,190,871</w:t>
            </w:r>
          </w:p>
        </w:tc>
        <w:tc>
          <w:tcPr>
            <w:tcW w:w="20" w:type="dxa"/>
            <w:vAlign w:val="bottom"/>
          </w:tcPr>
          <w:p>
            <w:pPr>
              <w:spacing w:after="0"/>
              <w:rPr>
                <w:sz w:val="20"/>
                <w:szCs w:val="20"/>
                <w:color w:val="auto"/>
              </w:rPr>
            </w:pPr>
          </w:p>
        </w:tc>
      </w:tr>
      <w:tr>
        <w:trPr>
          <w:trHeight w:val="1456"/>
        </w:trPr>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38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100" w:type="dxa"/>
            <w:vAlign w:val="bottom"/>
          </w:tcPr>
          <w:p>
            <w:pPr>
              <w:spacing w:after="0"/>
              <w:rPr>
                <w:sz w:val="20"/>
                <w:szCs w:val="20"/>
                <w:color w:val="auto"/>
              </w:rPr>
            </w:pPr>
          </w:p>
        </w:tc>
        <w:tc>
          <w:tcPr>
            <w:tcW w:w="2920" w:type="dxa"/>
            <w:vAlign w:val="bottom"/>
            <w:gridSpan w:val="2"/>
          </w:tcPr>
          <w:p>
            <w:pPr>
              <w:ind w:left="1400"/>
              <w:spacing w:after="0"/>
              <w:rPr>
                <w:sz w:val="20"/>
                <w:szCs w:val="20"/>
                <w:color w:val="auto"/>
              </w:rPr>
            </w:pPr>
            <w:r>
              <w:rPr>
                <w:rFonts w:ascii="Arial" w:cs="Arial" w:eastAsia="Arial" w:hAnsi="Arial"/>
                <w:sz w:val="18"/>
                <w:szCs w:val="18"/>
                <w:color w:val="auto"/>
              </w:rPr>
              <w:t>HAWKINS, INC.</w:t>
            </w:r>
          </w:p>
        </w:tc>
        <w:tc>
          <w:tcPr>
            <w:tcW w:w="5200" w:type="dxa"/>
            <w:vAlign w:val="bottom"/>
          </w:tcPr>
          <w:p>
            <w:pPr>
              <w:spacing w:after="0"/>
              <w:rPr>
                <w:sz w:val="20"/>
                <w:szCs w:val="20"/>
                <w:color w:val="auto"/>
              </w:rPr>
            </w:pPr>
          </w:p>
        </w:tc>
      </w:tr>
      <w:tr>
        <w:trPr>
          <w:trHeight w:val="279"/>
        </w:trPr>
        <w:tc>
          <w:tcPr>
            <w:tcW w:w="3100" w:type="dxa"/>
            <w:vAlign w:val="bottom"/>
          </w:tcPr>
          <w:p>
            <w:pPr>
              <w:spacing w:after="0"/>
              <w:rPr>
                <w:sz w:val="20"/>
                <w:szCs w:val="20"/>
                <w:color w:val="auto"/>
              </w:rPr>
            </w:pPr>
            <w:r>
              <w:rPr>
                <w:rFonts w:ascii="Arial" w:cs="Arial" w:eastAsia="Arial" w:hAnsi="Arial"/>
                <w:sz w:val="18"/>
                <w:szCs w:val="18"/>
                <w:color w:val="auto"/>
              </w:rPr>
              <w:t>Date: August 1, 2025</w:t>
            </w:r>
          </w:p>
        </w:tc>
        <w:tc>
          <w:tcPr>
            <w:tcW w:w="2920" w:type="dxa"/>
            <w:vAlign w:val="bottom"/>
            <w:gridSpan w:val="2"/>
          </w:tcPr>
          <w:p>
            <w:pPr>
              <w:ind w:left="1400"/>
              <w:spacing w:after="0"/>
              <w:rPr>
                <w:sz w:val="20"/>
                <w:szCs w:val="20"/>
                <w:color w:val="auto"/>
              </w:rPr>
            </w:pPr>
            <w:r>
              <w:rPr>
                <w:rFonts w:ascii="Arial" w:cs="Arial" w:eastAsia="Arial" w:hAnsi="Arial"/>
                <w:sz w:val="18"/>
                <w:szCs w:val="18"/>
                <w:color w:val="auto"/>
              </w:rPr>
              <w:t>By:</w:t>
            </w:r>
          </w:p>
        </w:tc>
        <w:tc>
          <w:tcPr>
            <w:tcW w:w="5200" w:type="dxa"/>
            <w:vAlign w:val="bottom"/>
          </w:tcPr>
          <w:p>
            <w:pPr>
              <w:jc w:val="center"/>
              <w:ind w:right="850"/>
              <w:spacing w:after="0"/>
              <w:rPr>
                <w:sz w:val="20"/>
                <w:szCs w:val="20"/>
                <w:color w:val="auto"/>
              </w:rPr>
            </w:pPr>
            <w:r>
              <w:rPr>
                <w:rFonts w:ascii="Arial" w:cs="Arial" w:eastAsia="Arial" w:hAnsi="Arial"/>
                <w:sz w:val="18"/>
                <w:szCs w:val="18"/>
                <w:color w:val="auto"/>
                <w:w w:val="99"/>
              </w:rPr>
              <w:t>/s/ Richard G. Erstad</w:t>
            </w:r>
          </w:p>
        </w:tc>
      </w:tr>
      <w:tr>
        <w:trPr>
          <w:trHeight w:val="218"/>
        </w:trPr>
        <w:tc>
          <w:tcPr>
            <w:tcW w:w="3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color w:val="auto"/>
                <w:w w:val="99"/>
              </w:rPr>
              <w:t>Richard G. Erstad</w:t>
            </w:r>
          </w:p>
        </w:tc>
      </w:tr>
      <w:tr>
        <w:trPr>
          <w:trHeight w:val="239"/>
        </w:trPr>
        <w:tc>
          <w:tcPr>
            <w:tcW w:w="3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0" w:type="dxa"/>
            <w:vAlign w:val="bottom"/>
          </w:tcPr>
          <w:p>
            <w:pPr>
              <w:jc w:val="center"/>
              <w:ind w:right="850"/>
              <w:spacing w:after="0"/>
              <w:rPr>
                <w:sz w:val="20"/>
                <w:szCs w:val="20"/>
                <w:color w:val="auto"/>
              </w:rPr>
            </w:pPr>
            <w:r>
              <w:rPr>
                <w:rFonts w:ascii="Arial" w:cs="Arial" w:eastAsia="Arial" w:hAnsi="Arial"/>
                <w:sz w:val="18"/>
                <w:szCs w:val="18"/>
                <w:color w:val="auto"/>
                <w:w w:val="99"/>
              </w:rPr>
              <w:t>Vice President, General Counsel and Secretary</w:t>
            </w:r>
          </w:p>
        </w:tc>
      </w:tr>
    </w:tbl>
    <w:p>
      <w:pPr>
        <w:spacing w:after="0" w:line="1" w:lineRule="exact"/>
        <w:rPr>
          <w:sz w:val="20"/>
          <w:szCs w:val="20"/>
          <w:color w:val="auto"/>
        </w:rPr>
      </w:pP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9" Type="http://schemas.openxmlformats.org/officeDocument/2006/relationships/hyperlink" Target="https://www.sec.gov/ix?doc=/Archives/edgar/data/46250/000004625025000031/hwkn-202506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2025-08-01T07:20:51Z</dcterms:created>
  <dcterms:modified xsi:type="dcterms:W3CDTF">2025-08-01T07:20:51Z</dcterms:modified>
</cp:coreProperties>
</file>