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February 8,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060" w:type="dxa"/>
        <w:tblCellMar>
          <w:top w:w="0" w:type="dxa"/>
          <w:left w:w="0" w:type="dxa"/>
          <w:bottom w:w="0" w:type="dxa"/>
          <w:right w:w="0" w:type="dxa"/>
        </w:tblCellMar>
      </w:tblPr>
      <w:tr>
        <w:trPr>
          <w:trHeight w:val="262"/>
        </w:trPr>
        <w:tc>
          <w:tcPr>
            <w:tcW w:w="3280" w:type="dxa"/>
            <w:vAlign w:val="bottom"/>
          </w:tcPr>
          <w:p>
            <w:pPr>
              <w:jc w:val="center"/>
              <w:ind w:right="319"/>
              <w:spacing w:after="0"/>
              <w:rPr>
                <w:sz w:val="20"/>
                <w:szCs w:val="20"/>
                <w:color w:val="auto"/>
              </w:rPr>
            </w:pPr>
            <w:r>
              <w:rPr>
                <w:rFonts w:ascii="Arial" w:cs="Arial" w:eastAsia="Arial" w:hAnsi="Arial"/>
                <w:sz w:val="22"/>
                <w:szCs w:val="22"/>
                <w:b w:val="1"/>
                <w:bCs w:val="1"/>
                <w:color w:val="auto"/>
                <w:w w:val="90"/>
              </w:rPr>
              <w:t>Minnesota</w:t>
            </w:r>
          </w:p>
        </w:tc>
        <w:tc>
          <w:tcPr>
            <w:tcW w:w="3020" w:type="dxa"/>
            <w:vAlign w:val="bottom"/>
          </w:tcPr>
          <w:p>
            <w:pPr>
              <w:jc w:val="right"/>
              <w:ind w:right="1242"/>
              <w:spacing w:after="0"/>
              <w:rPr>
                <w:sz w:val="20"/>
                <w:szCs w:val="20"/>
                <w:color w:val="auto"/>
              </w:rPr>
            </w:pPr>
            <w:r>
              <w:rPr>
                <w:rFonts w:ascii="Arial" w:cs="Arial" w:eastAsia="Arial" w:hAnsi="Arial"/>
                <w:sz w:val="22"/>
                <w:szCs w:val="22"/>
                <w:b w:val="1"/>
                <w:bCs w:val="1"/>
                <w:color w:val="auto"/>
              </w:rPr>
              <w:t>0-7647</w:t>
            </w:r>
          </w:p>
        </w:tc>
        <w:tc>
          <w:tcPr>
            <w:tcW w:w="2220" w:type="dxa"/>
            <w:vAlign w:val="bottom"/>
          </w:tcPr>
          <w:p>
            <w:pPr>
              <w:jc w:val="right"/>
              <w:ind w:right="22"/>
              <w:spacing w:after="0"/>
              <w:rPr>
                <w:sz w:val="20"/>
                <w:szCs w:val="20"/>
                <w:color w:val="auto"/>
              </w:rPr>
            </w:pPr>
            <w:r>
              <w:rPr>
                <w:rFonts w:ascii="Arial" w:cs="Arial" w:eastAsia="Arial" w:hAnsi="Arial"/>
                <w:sz w:val="22"/>
                <w:szCs w:val="22"/>
                <w:b w:val="1"/>
                <w:bCs w:val="1"/>
                <w:color w:val="auto"/>
              </w:rPr>
              <w:t>41-0771293</w:t>
            </w:r>
          </w:p>
        </w:tc>
      </w:tr>
      <w:tr>
        <w:trPr>
          <w:trHeight w:val="216"/>
        </w:trPr>
        <w:tc>
          <w:tcPr>
            <w:tcW w:w="3280" w:type="dxa"/>
            <w:vAlign w:val="bottom"/>
          </w:tcPr>
          <w:p>
            <w:pPr>
              <w:jc w:val="center"/>
              <w:ind w:right="319"/>
              <w:spacing w:after="0"/>
              <w:rPr>
                <w:sz w:val="20"/>
                <w:szCs w:val="20"/>
                <w:color w:val="auto"/>
              </w:rPr>
            </w:pPr>
            <w:r>
              <w:rPr>
                <w:rFonts w:ascii="Arial" w:cs="Arial" w:eastAsia="Arial" w:hAnsi="Arial"/>
                <w:sz w:val="18"/>
                <w:szCs w:val="18"/>
                <w:color w:val="auto"/>
                <w:w w:val="90"/>
              </w:rPr>
              <w:t>(State of Incorporation)</w:t>
            </w:r>
          </w:p>
        </w:tc>
        <w:tc>
          <w:tcPr>
            <w:tcW w:w="3020" w:type="dxa"/>
            <w:vAlign w:val="bottom"/>
          </w:tcPr>
          <w:p>
            <w:pPr>
              <w:jc w:val="center"/>
              <w:ind w:right="182"/>
              <w:spacing w:after="0"/>
              <w:rPr>
                <w:sz w:val="20"/>
                <w:szCs w:val="20"/>
                <w:color w:val="auto"/>
              </w:rPr>
            </w:pPr>
            <w:r>
              <w:rPr>
                <w:rFonts w:ascii="Arial" w:cs="Arial" w:eastAsia="Arial" w:hAnsi="Arial"/>
                <w:sz w:val="18"/>
                <w:szCs w:val="18"/>
                <w:color w:val="auto"/>
                <w:w w:val="90"/>
              </w:rPr>
              <w:t>(Commission File Number)</w:t>
            </w:r>
          </w:p>
        </w:tc>
        <w:tc>
          <w:tcPr>
            <w:tcW w:w="2220" w:type="dxa"/>
            <w:vAlign w:val="bottom"/>
          </w:tcPr>
          <w:p>
            <w:pPr>
              <w:jc w:val="center"/>
              <w:ind w:left="822"/>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20" w:type="dxa"/>
            <w:vAlign w:val="bottom"/>
          </w:tcPr>
          <w:p>
            <w:pPr>
              <w:jc w:val="center"/>
              <w:ind w:left="822"/>
              <w:spacing w:after="0"/>
              <w:rPr>
                <w:sz w:val="20"/>
                <w:szCs w:val="20"/>
                <w:color w:val="auto"/>
              </w:rPr>
            </w:pPr>
            <w:r>
              <w:rPr>
                <w:rFonts w:ascii="Arial" w:cs="Arial" w:eastAsia="Arial" w:hAnsi="Arial"/>
                <w:sz w:val="18"/>
                <w:szCs w:val="18"/>
                <w:color w:val="auto"/>
                <w:w w:val="92"/>
              </w:rPr>
              <w:t>Identification No.)</w:t>
            </w:r>
          </w:p>
        </w:tc>
      </w:tr>
      <w:tr>
        <w:trPr>
          <w:trHeight w:val="650"/>
        </w:trPr>
        <w:tc>
          <w:tcPr>
            <w:tcW w:w="3280" w:type="dxa"/>
            <w:vAlign w:val="bottom"/>
          </w:tcPr>
          <w:p>
            <w:pPr>
              <w:jc w:val="center"/>
              <w:ind w:right="319"/>
              <w:spacing w:after="0"/>
              <w:rPr>
                <w:sz w:val="20"/>
                <w:szCs w:val="20"/>
                <w:color w:val="auto"/>
              </w:rPr>
            </w:pPr>
            <w:r>
              <w:rPr>
                <w:rFonts w:ascii="Arial" w:cs="Arial" w:eastAsia="Arial" w:hAnsi="Arial"/>
                <w:sz w:val="22"/>
                <w:szCs w:val="22"/>
                <w:b w:val="1"/>
                <w:bCs w:val="1"/>
                <w:color w:val="auto"/>
                <w:w w:val="87"/>
              </w:rPr>
              <w:t>3100 East Hennepin Avenue</w:t>
            </w:r>
          </w:p>
        </w:tc>
        <w:tc>
          <w:tcPr>
            <w:tcW w:w="30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62"/>
        </w:trPr>
        <w:tc>
          <w:tcPr>
            <w:tcW w:w="3280" w:type="dxa"/>
            <w:vAlign w:val="bottom"/>
          </w:tcPr>
          <w:p>
            <w:pPr>
              <w:jc w:val="center"/>
              <w:ind w:right="319"/>
              <w:spacing w:after="0"/>
              <w:rPr>
                <w:sz w:val="20"/>
                <w:szCs w:val="20"/>
                <w:color w:val="auto"/>
              </w:rPr>
            </w:pPr>
            <w:r>
              <w:rPr>
                <w:rFonts w:ascii="Arial" w:cs="Arial" w:eastAsia="Arial" w:hAnsi="Arial"/>
                <w:sz w:val="22"/>
                <w:szCs w:val="22"/>
                <w:b w:val="1"/>
                <w:bCs w:val="1"/>
                <w:color w:val="auto"/>
                <w:w w:val="93"/>
              </w:rPr>
              <w:t>Minneapolis, MN</w:t>
            </w:r>
          </w:p>
        </w:tc>
        <w:tc>
          <w:tcPr>
            <w:tcW w:w="3020" w:type="dxa"/>
            <w:vAlign w:val="bottom"/>
          </w:tcPr>
          <w:p>
            <w:pPr>
              <w:spacing w:after="0"/>
              <w:rPr>
                <w:sz w:val="22"/>
                <w:szCs w:val="22"/>
                <w:color w:val="auto"/>
              </w:rPr>
            </w:pPr>
          </w:p>
        </w:tc>
        <w:tc>
          <w:tcPr>
            <w:tcW w:w="2220" w:type="dxa"/>
            <w:vAlign w:val="bottom"/>
          </w:tcPr>
          <w:p>
            <w:pPr>
              <w:jc w:val="right"/>
              <w:ind w:right="282"/>
              <w:spacing w:after="0"/>
              <w:rPr>
                <w:sz w:val="20"/>
                <w:szCs w:val="20"/>
                <w:color w:val="auto"/>
              </w:rPr>
            </w:pPr>
            <w:r>
              <w:rPr>
                <w:rFonts w:ascii="Arial" w:cs="Arial" w:eastAsia="Arial" w:hAnsi="Arial"/>
                <w:sz w:val="22"/>
                <w:szCs w:val="22"/>
                <w:b w:val="1"/>
                <w:bCs w:val="1"/>
                <w:color w:val="auto"/>
              </w:rPr>
              <w:t>55413</w:t>
            </w:r>
          </w:p>
        </w:tc>
      </w:tr>
      <w:tr>
        <w:trPr>
          <w:trHeight w:val="222"/>
        </w:trPr>
        <w:tc>
          <w:tcPr>
            <w:tcW w:w="3280" w:type="dxa"/>
            <w:vAlign w:val="bottom"/>
          </w:tcPr>
          <w:p>
            <w:pPr>
              <w:jc w:val="center"/>
              <w:ind w:right="319"/>
              <w:spacing w:after="0"/>
              <w:rPr>
                <w:sz w:val="20"/>
                <w:szCs w:val="20"/>
                <w:color w:val="auto"/>
              </w:rPr>
            </w:pPr>
            <w:r>
              <w:rPr>
                <w:rFonts w:ascii="Arial" w:cs="Arial" w:eastAsia="Arial" w:hAnsi="Arial"/>
                <w:sz w:val="18"/>
                <w:szCs w:val="18"/>
                <w:color w:val="auto"/>
                <w:w w:val="90"/>
              </w:rPr>
              <w:t>(Address of Principal Executive Offices)</w:t>
            </w:r>
          </w:p>
        </w:tc>
        <w:tc>
          <w:tcPr>
            <w:tcW w:w="3020" w:type="dxa"/>
            <w:vAlign w:val="bottom"/>
          </w:tcPr>
          <w:p>
            <w:pPr>
              <w:spacing w:after="0"/>
              <w:rPr>
                <w:sz w:val="19"/>
                <w:szCs w:val="19"/>
                <w:color w:val="auto"/>
              </w:rPr>
            </w:pPr>
          </w:p>
        </w:tc>
        <w:tc>
          <w:tcPr>
            <w:tcW w:w="2220" w:type="dxa"/>
            <w:vAlign w:val="bottom"/>
          </w:tcPr>
          <w:p>
            <w:pPr>
              <w:jc w:val="center"/>
              <w:ind w:left="822"/>
              <w:spacing w:after="0"/>
              <w:rPr>
                <w:sz w:val="20"/>
                <w:szCs w:val="20"/>
                <w:color w:val="auto"/>
              </w:rPr>
            </w:pPr>
            <w:r>
              <w:rPr>
                <w:rFonts w:ascii="Arial" w:cs="Arial" w:eastAsia="Arial" w:hAnsi="Arial"/>
                <w:sz w:val="18"/>
                <w:szCs w:val="18"/>
                <w:color w:val="auto"/>
                <w:w w:val="91"/>
              </w:rPr>
              <w:t>(Zip Code)</w:t>
            </w:r>
          </w:p>
        </w:tc>
      </w:tr>
      <w:tr>
        <w:trPr>
          <w:trHeight w:val="471"/>
        </w:trPr>
        <w:tc>
          <w:tcPr>
            <w:tcW w:w="6300" w:type="dxa"/>
            <w:vAlign w:val="bottom"/>
            <w:gridSpan w:val="2"/>
          </w:tcPr>
          <w:p>
            <w:pPr>
              <w:ind w:left="1560"/>
              <w:spacing w:after="0"/>
              <w:rPr>
                <w:sz w:val="20"/>
                <w:szCs w:val="20"/>
                <w:color w:val="auto"/>
              </w:rPr>
            </w:pPr>
            <w:r>
              <w:rPr>
                <w:rFonts w:ascii="Arial" w:cs="Arial" w:eastAsia="Arial" w:hAnsi="Arial"/>
                <w:sz w:val="22"/>
                <w:szCs w:val="22"/>
                <w:color w:val="auto"/>
                <w:w w:val="90"/>
              </w:rPr>
              <w:t>Registrant’s Telephone Number, Including Area Code</w:t>
            </w:r>
          </w:p>
        </w:tc>
        <w:tc>
          <w:tcPr>
            <w:tcW w:w="2220" w:type="dxa"/>
            <w:vAlign w:val="bottom"/>
          </w:tcPr>
          <w:p>
            <w:pPr>
              <w:jc w:val="right"/>
              <w:ind w:right="682"/>
              <w:spacing w:after="0"/>
              <w:rPr>
                <w:sz w:val="20"/>
                <w:szCs w:val="20"/>
                <w:color w:val="auto"/>
              </w:rPr>
            </w:pPr>
            <w:r>
              <w:rPr>
                <w:rFonts w:ascii="Arial" w:cs="Arial" w:eastAsia="Arial" w:hAnsi="Arial"/>
                <w:sz w:val="22"/>
                <w:szCs w:val="22"/>
                <w:b w:val="1"/>
                <w:bCs w:val="1"/>
                <w:color w:val="auto"/>
                <w:w w:val="94"/>
              </w:rPr>
              <w:t>(612) 331-6910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197485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firstLine="324"/>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173"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17" w:lineRule="exact"/>
        <w:rPr>
          <w:rFonts w:ascii="Arial" w:cs="Arial" w:eastAsia="Arial" w:hAnsi="Arial"/>
          <w:sz w:val="21"/>
          <w:szCs w:val="21"/>
          <w:color w:val="auto"/>
        </w:rPr>
      </w:pPr>
    </w:p>
    <w:p>
      <w:pPr>
        <w:ind w:left="660" w:hanging="328"/>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690245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25" w:lineRule="exact"/>
        <w:rPr>
          <w:sz w:val="24"/>
          <w:szCs w:val="24"/>
          <w:color w:val="auto"/>
        </w:rPr>
      </w:pPr>
    </w:p>
    <w:p>
      <w:pPr>
        <w:ind w:right="200" w:firstLine="648"/>
        <w:spacing w:after="0" w:line="332" w:lineRule="auto"/>
        <w:rPr>
          <w:sz w:val="20"/>
          <w:szCs w:val="20"/>
          <w:color w:val="auto"/>
        </w:rPr>
      </w:pPr>
      <w:r>
        <w:rPr>
          <w:rFonts w:ascii="Arial" w:cs="Arial" w:eastAsia="Arial" w:hAnsi="Arial"/>
          <w:sz w:val="16"/>
          <w:szCs w:val="16"/>
          <w:color w:val="auto"/>
        </w:rPr>
        <w:t>On February 8, 2008, Hawkins, Inc. issued a press release announcing financial results for its fiscal third quarter ended December 31, 2007. A copy of the press release issued by the Registrant is furnished herewith as Exhibit 99 hereto and is incorporated herein by reference.</w:t>
      </w:r>
    </w:p>
    <w:p>
      <w:pPr>
        <w:spacing w:after="0" w:line="120"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25" w:lineRule="exact"/>
        <w:rPr>
          <w:sz w:val="24"/>
          <w:szCs w:val="24"/>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1020"/>
        <w:spacing w:after="0" w:line="268" w:lineRule="auto"/>
        <w:rPr>
          <w:rFonts w:ascii="Arial" w:cs="Arial" w:eastAsia="Arial" w:hAnsi="Arial"/>
          <w:sz w:val="18"/>
          <w:szCs w:val="18"/>
          <w:color w:val="auto"/>
        </w:rPr>
      </w:pPr>
      <w:r>
        <w:rPr>
          <w:rFonts w:ascii="Arial" w:cs="Arial" w:eastAsia="Arial" w:hAnsi="Arial"/>
          <w:sz w:val="18"/>
          <w:szCs w:val="18"/>
          <w:color w:val="auto"/>
        </w:rPr>
        <w:t>Exhibit 99 - Press Release, dated February 8, 2008, announcing financial results of Hawkins, Inc. for its fiscal third quarter ended 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1253490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786"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3480" w:type="dxa"/>
            <w:vAlign w:val="bottom"/>
            <w:gridSpan w:val="2"/>
          </w:tcPr>
          <w:p>
            <w:pPr>
              <w:ind w:left="1940"/>
              <w:spacing w:after="0"/>
              <w:rPr>
                <w:sz w:val="20"/>
                <w:szCs w:val="20"/>
                <w:color w:val="auto"/>
              </w:rPr>
            </w:pPr>
            <w:r>
              <w:rPr>
                <w:rFonts w:ascii="Arial" w:cs="Arial" w:eastAsia="Arial" w:hAnsi="Arial"/>
                <w:sz w:val="18"/>
                <w:szCs w:val="18"/>
                <w:color w:val="auto"/>
              </w:rPr>
              <w:t>HAWKINS, INC.</w:t>
            </w:r>
          </w:p>
        </w:tc>
        <w:tc>
          <w:tcPr>
            <w:tcW w:w="3160" w:type="dxa"/>
            <w:vAlign w:val="bottom"/>
          </w:tcPr>
          <w:p>
            <w:pPr>
              <w:spacing w:after="0"/>
              <w:rPr>
                <w:sz w:val="19"/>
                <w:szCs w:val="19"/>
                <w:color w:val="auto"/>
              </w:rPr>
            </w:pPr>
          </w:p>
        </w:tc>
      </w:tr>
      <w:tr>
        <w:trPr>
          <w:trHeight w:val="474"/>
        </w:trPr>
        <w:tc>
          <w:tcPr>
            <w:tcW w:w="3640" w:type="dxa"/>
            <w:vAlign w:val="bottom"/>
          </w:tcPr>
          <w:p>
            <w:pPr>
              <w:spacing w:after="0"/>
              <w:rPr>
                <w:sz w:val="20"/>
                <w:szCs w:val="20"/>
                <w:color w:val="auto"/>
              </w:rPr>
            </w:pPr>
            <w:r>
              <w:rPr>
                <w:rFonts w:ascii="Arial" w:cs="Arial" w:eastAsia="Arial" w:hAnsi="Arial"/>
                <w:sz w:val="18"/>
                <w:szCs w:val="18"/>
                <w:color w:val="auto"/>
              </w:rPr>
              <w:t>Date: February 11, 2008</w:t>
            </w:r>
          </w:p>
        </w:tc>
        <w:tc>
          <w:tcPr>
            <w:tcW w:w="3480" w:type="dxa"/>
            <w:vAlign w:val="bottom"/>
            <w:gridSpan w:val="2"/>
          </w:tcPr>
          <w:p>
            <w:pPr>
              <w:ind w:left="1940"/>
              <w:spacing w:after="0"/>
              <w:rPr>
                <w:sz w:val="20"/>
                <w:szCs w:val="20"/>
                <w:color w:val="auto"/>
              </w:rPr>
            </w:pPr>
            <w:r>
              <w:rPr>
                <w:rFonts w:ascii="Arial" w:cs="Arial" w:eastAsia="Arial" w:hAnsi="Arial"/>
                <w:sz w:val="18"/>
                <w:szCs w:val="18"/>
                <w:color w:val="auto"/>
              </w:rPr>
              <w:t>By:</w:t>
            </w:r>
          </w:p>
        </w:tc>
        <w:tc>
          <w:tcPr>
            <w:tcW w:w="3160" w:type="dxa"/>
            <w:vAlign w:val="bottom"/>
          </w:tcPr>
          <w:p>
            <w:pPr>
              <w:jc w:val="center"/>
              <w:ind w:right="1092"/>
              <w:spacing w:after="0"/>
              <w:rPr>
                <w:sz w:val="20"/>
                <w:szCs w:val="20"/>
                <w:color w:val="auto"/>
              </w:rPr>
            </w:pPr>
            <w:r>
              <w:rPr>
                <w:rFonts w:ascii="Arial" w:cs="Arial" w:eastAsia="Arial" w:hAnsi="Arial"/>
                <w:sz w:val="18"/>
                <w:szCs w:val="18"/>
                <w:color w:val="auto"/>
                <w:w w:val="89"/>
              </w:rPr>
              <w:t>/s/ John R. Hawkins</w:t>
            </w:r>
          </w:p>
        </w:tc>
      </w:tr>
      <w:tr>
        <w:trPr>
          <w:trHeight w:val="216"/>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160" w:type="dxa"/>
            <w:vAlign w:val="bottom"/>
            <w:tcBorders>
              <w:top w:val="single" w:sz="8" w:color="auto"/>
            </w:tcBorders>
          </w:tcPr>
          <w:p>
            <w:pPr>
              <w:jc w:val="center"/>
              <w:ind w:right="1092"/>
              <w:spacing w:after="0"/>
              <w:rPr>
                <w:sz w:val="20"/>
                <w:szCs w:val="20"/>
                <w:color w:val="auto"/>
              </w:rPr>
            </w:pPr>
            <w:r>
              <w:rPr>
                <w:rFonts w:ascii="Arial" w:cs="Arial" w:eastAsia="Arial" w:hAnsi="Arial"/>
                <w:sz w:val="18"/>
                <w:szCs w:val="18"/>
                <w:color w:val="auto"/>
                <w:w w:val="90"/>
              </w:rPr>
              <w:t>John R. Hawkins</w:t>
            </w:r>
          </w:p>
        </w:tc>
      </w:tr>
    </w:tbl>
    <w:p>
      <w:pPr>
        <w:ind w:left="6020"/>
        <w:spacing w:after="0"/>
        <w:rPr>
          <w:sz w:val="20"/>
          <w:szCs w:val="20"/>
          <w:color w:val="auto"/>
        </w:rPr>
      </w:pPr>
      <w:r>
        <w:rPr>
          <w:rFonts w:ascii="Arial" w:cs="Arial" w:eastAsia="Arial" w:hAnsi="Arial"/>
          <w:sz w:val="18"/>
          <w:szCs w:val="18"/>
          <w:color w:val="auto"/>
        </w:rPr>
        <w:t>Chief Executive Officer and Acting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1423670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spacing w:after="0" w:line="1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Exhibit 99</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john.hawkins@HawkinsInc.com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JWeichert@Comcast.net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HAWKINS, INC. REPORTS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QUARTER, NINE MONTHS FISCAL 2008 RESULTS</w:t>
      </w:r>
    </w:p>
    <w:p>
      <w:pPr>
        <w:spacing w:after="0" w:line="200" w:lineRule="exact"/>
        <w:rPr>
          <w:sz w:val="20"/>
          <w:szCs w:val="20"/>
          <w:color w:val="auto"/>
        </w:rPr>
      </w:pPr>
    </w:p>
    <w:p>
      <w:pPr>
        <w:spacing w:after="0" w:line="241"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Minneapolis, MN, February 8, 2008 – Hawkins, Inc. (Nasdaq: HWKN) today announced third quarter and nine months results for fiscal 2008. For the quarter ended December 31, 2007, Hawkins reported sales increased 30.9% to $48.5 million versus $37.0 million for the same period a year ago. Net income for the quarter was $1.5 million, equal to $0.15 per diluted share, versus net income of $314,000, or $0.03 per diluted share for the third quarter of fiscal 2007.</w:t>
      </w:r>
    </w:p>
    <w:p>
      <w:pPr>
        <w:spacing w:after="0" w:line="16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For the nine months ended December 31, 2007, Hawkins reported sales of $145.2 million compared to sales of $120.7 million in the prior year period, an increase of 20.3%. Net income for the nine-month period ended December 31, 2007 was $7.4 million compared to $6.3 million in the prior year period, an increase of 17.9%. Diluted earnings per share rose to $0.72 compared to $0.62 per diluted share for the same period a year ago, an increase of 16.1%.</w:t>
      </w:r>
    </w:p>
    <w:p>
      <w:pPr>
        <w:spacing w:after="0" w:line="16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Industrial segment sales increased by $20.3 million or 29.2% for the nine months ended December 31, 2007, driven largely by an increase in higher volume, lower margin products, price increases commensurate with rising material costs, and the acquisition of Trumark, Inc.</w:t>
      </w:r>
    </w:p>
    <w:p>
      <w:pPr>
        <w:spacing w:after="0" w:line="13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Water Treatment segment sales increased by $3.6 million or 8.2% for the nine months ended December 31, 2007, primarily attributable to selling price increases commensurate with rising material costs, expansion of existing product lines to new and existing customers and volume increases during the first quarter of fiscal 2008 related to favorable weather conditions.</w:t>
      </w:r>
    </w:p>
    <w:p>
      <w:pPr>
        <w:spacing w:after="0" w:line="19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Gross margin as a percent of sales for the three and nine months ended December 31, 2007 were 18.8% and 22.6%, respectively, compared with 18.9% and 24.0% in the comparable periods a year ago. The decreases were primarily due to a change in product mix towards higher volume, lower margin products and higher material costs. The decrease for the three months ended December 31, 2007 was partially mitigated by the LIFO method of valuing inventory, which negatively impacted gross margins in the third quarter of fiscal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income for the nine-month period was positively impacted by higher sales, partially offset by increased expenses, principally Selling, General, and Administrative (SG&amp;A) expenses related to consultant and contractor fees for system enhancements and the acquisition of Trumark, which were augmented by growth in sales and support personnel. SG&amp;A expenses, as a percentage of sales, decreased for both the quarter, 14.4% this year versus 18.1% in the prior year, and nine months, 15.1% this year compared with 16.4% last year.</w:t>
      </w:r>
    </w:p>
    <w:p>
      <w:pPr>
        <w:spacing w:after="0" w:line="19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Chief Executive Officer, John R. Hawkins, commented, “Hawkins’ sales continue to grow. However, increased material costs have resulted in continuing pressure on our margins. The success that we have generated thus far in fiscal 2008, along with the investments we are making to strengthen both Hawkins’ infrastructure and competitive position, should bode well for our future. In January of 2008, two new Water Treatment sales and service offices were established in Missouri and Kansas, further expanding Hawkins’ territory and creating new business opportunities.”</w:t>
      </w:r>
    </w:p>
    <w:p>
      <w:pPr>
        <w:spacing w:after="0" w:line="16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Hawkins, Inc. provides a full range of bulk industrial products complemented with the technical competence and innovation to formulate and blend specialty chemicals. The Company sells and services related products and equipment to safely dispense chemicals in highly controlled environments.</w:t>
      </w:r>
    </w:p>
    <w:p>
      <w:pPr>
        <w:spacing w:after="0" w:line="13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Hawkins serves customers in a wide range of industries, including chemical processing, electronics, energy, environmental services, food processing, metal finishing, pharmaceutical, medical devices, pulp and paper, and water treatment.</w:t>
      </w:r>
    </w:p>
    <w:p>
      <w:pPr>
        <w:spacing w:after="0" w:line="186"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Hawkins is headquartered in Minneapolis, Minnesota. The Company operates eighteen facilities in Iowa, Illinois, Kansas, Minnesota, Missouri, Montana, Nebraska, New Jersey, South and North Dakota and Wisconsin and services customers in Upper Michigan and Wyoming as well.</w:t>
      </w:r>
    </w:p>
    <w:p>
      <w:pPr>
        <w:spacing w:after="0" w:line="137"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i w:val="1"/>
          <w:iCs w:val="1"/>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competition from other chemical companies, seasonality and weather conditions, costs and difficulties with our new enterprise resource planning system, the hazards of chemical manufacturing, natural disasters, downturns in our customers’ industries, actual growth in our products’ markets, changes in our customers’ products, compliance with applicable laws and regulations, our ability to meet quality specifications, the adequacy of our insurance coverage, our ability to attract and retain key personnel, our ability to complete and integrate future acquisitions, and future terrorist attacks. Additional information with respect to the risks and uncertainties faced by Hawkins may be found in, and the prior discussion is qualified in its entirety by, the Risk Factors contained in Part I, Item 1A of our Annual Report on Form 10-K for the fiscal year ended April 1, 2007, as updated by subsequent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452120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51" w:orient="portrait"/>
          <w:cols w:equalWidth="0" w:num="1">
            <w:col w:w="11420"/>
          </w:cols>
          <w:pgMar w:left="240" w:top="35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HAWKINS, INC.</w:t>
      </w:r>
    </w:p>
    <w:p>
      <w:pPr>
        <w:sectPr>
          <w:pgSz w:w="11900" w:h="16851" w:orient="portrait"/>
          <w:cols w:equalWidth="0" w:num="1">
            <w:col w:w="11420"/>
          </w:cols>
          <w:pgMar w:left="240" w:top="354" w:right="23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ind w:lef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96"/>
              <w:spacing w:after="0" w:line="149" w:lineRule="exact"/>
              <w:rPr>
                <w:sz w:val="20"/>
                <w:szCs w:val="20"/>
                <w:color w:val="auto"/>
              </w:rPr>
            </w:pPr>
            <w:r>
              <w:rPr>
                <w:rFonts w:ascii="Arial" w:cs="Arial" w:eastAsia="Arial" w:hAnsi="Arial"/>
                <w:sz w:val="14"/>
                <w:szCs w:val="14"/>
                <w:b w:val="1"/>
                <w:bCs w:val="1"/>
                <w:color w:val="auto"/>
                <w:w w:val="87"/>
              </w:rPr>
              <w:t>December 31,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10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w w:val="99"/>
              </w:rPr>
              <w:t>48,471,758</w:t>
            </w:r>
          </w:p>
        </w:tc>
        <w:tc>
          <w:tcPr>
            <w:tcW w:w="2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w w:val="97"/>
              </w:rPr>
              <w:t>37,039,181</w:t>
            </w:r>
          </w:p>
        </w:tc>
        <w:tc>
          <w:tcPr>
            <w:tcW w:w="3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7"/>
              </w:rPr>
              <w:t>145,238,339</w:t>
            </w:r>
          </w:p>
        </w:tc>
        <w:tc>
          <w:tcPr>
            <w:tcW w:w="4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9"/>
              </w:rPr>
              <w:t>120,700,006</w:t>
            </w:r>
          </w:p>
        </w:tc>
        <w:tc>
          <w:tcPr>
            <w:tcW w:w="0" w:type="dxa"/>
            <w:vAlign w:val="bottom"/>
          </w:tcPr>
          <w:p>
            <w:pPr>
              <w:spacing w:after="0"/>
              <w:rPr>
                <w:sz w:val="1"/>
                <w:szCs w:val="1"/>
                <w:color w:val="auto"/>
              </w:rPr>
            </w:pPr>
          </w:p>
        </w:tc>
      </w:tr>
      <w:tr>
        <w:trPr>
          <w:trHeight w:val="418"/>
        </w:trPr>
        <w:tc>
          <w:tcPr>
            <w:tcW w:w="50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39,335,817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30,047,975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112,396,348</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91,709,068</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9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9,135,941</w:t>
            </w:r>
          </w:p>
        </w:tc>
        <w:tc>
          <w:tcPr>
            <w:tcW w:w="1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6,991,206</w:t>
            </w:r>
          </w:p>
        </w:tc>
        <w:tc>
          <w:tcPr>
            <w:tcW w:w="1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32,841,991</w:t>
            </w: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28,990,938</w:t>
            </w:r>
          </w:p>
        </w:tc>
        <w:tc>
          <w:tcPr>
            <w:tcW w:w="0" w:type="dxa"/>
            <w:vAlign w:val="bottom"/>
          </w:tcPr>
          <w:p>
            <w:pPr>
              <w:spacing w:after="0"/>
              <w:rPr>
                <w:sz w:val="1"/>
                <w:szCs w:val="1"/>
                <w:color w:val="auto"/>
              </w:rPr>
            </w:pPr>
          </w:p>
        </w:tc>
      </w:tr>
      <w:tr>
        <w:trPr>
          <w:trHeight w:val="418"/>
        </w:trPr>
        <w:tc>
          <w:tcPr>
            <w:tcW w:w="50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6,958,489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6,716,617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21,952,418</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19,835,758</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2,177,452</w:t>
            </w:r>
          </w:p>
        </w:tc>
        <w:tc>
          <w:tcPr>
            <w:tcW w:w="1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274,589</w:t>
            </w:r>
          </w:p>
        </w:tc>
        <w:tc>
          <w:tcPr>
            <w:tcW w:w="1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10,889,573</w:t>
            </w: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9,155,180</w:t>
            </w:r>
          </w:p>
        </w:tc>
        <w:tc>
          <w:tcPr>
            <w:tcW w:w="0" w:type="dxa"/>
            <w:vAlign w:val="bottom"/>
          </w:tcPr>
          <w:p>
            <w:pPr>
              <w:spacing w:after="0"/>
              <w:rPr>
                <w:sz w:val="1"/>
                <w:szCs w:val="1"/>
                <w:color w:val="auto"/>
              </w:rPr>
            </w:pPr>
          </w:p>
        </w:tc>
      </w:tr>
      <w:tr>
        <w:trPr>
          <w:trHeight w:val="418"/>
        </w:trPr>
        <w:tc>
          <w:tcPr>
            <w:tcW w:w="500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257,468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359,184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872,036</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1,008,188</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2,434,920</w:t>
            </w:r>
          </w:p>
        </w:tc>
        <w:tc>
          <w:tcPr>
            <w:tcW w:w="1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633,773</w:t>
            </w:r>
          </w:p>
        </w:tc>
        <w:tc>
          <w:tcPr>
            <w:tcW w:w="1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11,761,609</w:t>
            </w: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10,163,368</w:t>
            </w:r>
          </w:p>
        </w:tc>
        <w:tc>
          <w:tcPr>
            <w:tcW w:w="0" w:type="dxa"/>
            <w:vAlign w:val="bottom"/>
          </w:tcPr>
          <w:p>
            <w:pPr>
              <w:spacing w:after="0"/>
              <w:rPr>
                <w:sz w:val="1"/>
                <w:szCs w:val="1"/>
                <w:color w:val="auto"/>
              </w:rPr>
            </w:pPr>
          </w:p>
        </w:tc>
      </w:tr>
      <w:tr>
        <w:trPr>
          <w:trHeight w:val="418"/>
        </w:trPr>
        <w:tc>
          <w:tcPr>
            <w:tcW w:w="50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927,967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319,500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4,382,167</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3,903,000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D6F3E8"/>
          </w:tcPr>
          <w:p>
            <w:pPr>
              <w:spacing w:after="0"/>
              <w:rPr>
                <w:sz w:val="19"/>
                <w:szCs w:val="19"/>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1,506,953</w:t>
            </w:r>
          </w:p>
        </w:tc>
        <w:tc>
          <w:tcPr>
            <w:tcW w:w="2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314,273</w:t>
            </w:r>
          </w:p>
        </w:tc>
        <w:tc>
          <w:tcPr>
            <w:tcW w:w="3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7,379,442</w:t>
            </w:r>
          </w:p>
        </w:tc>
        <w:tc>
          <w:tcPr>
            <w:tcW w:w="4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6,260,368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D6F3E8"/>
            </w:tcBorders>
          </w:tcPr>
          <w:p>
            <w:pPr>
              <w:spacing w:after="0" w:line="20" w:lineRule="exact"/>
              <w:rPr>
                <w:sz w:val="1"/>
                <w:szCs w:val="1"/>
                <w:color w:val="auto"/>
              </w:rPr>
            </w:pPr>
          </w:p>
        </w:tc>
        <w:tc>
          <w:tcPr>
            <w:tcW w:w="96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00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10,216,632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10,171,496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10,204,609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10,171,496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96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w w:val="99"/>
              </w:rPr>
              <w:t>10,217,997</w:t>
            </w:r>
          </w:p>
        </w:tc>
        <w:tc>
          <w:tcPr>
            <w:tcW w:w="18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0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w w:val="97"/>
              </w:rPr>
              <w:t>10,171,715</w:t>
            </w:r>
          </w:p>
        </w:tc>
        <w:tc>
          <w:tcPr>
            <w:tcW w:w="16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10,205,075</w:t>
            </w:r>
          </w:p>
        </w:tc>
        <w:tc>
          <w:tcPr>
            <w:tcW w:w="34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10,171,570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D6F3E8"/>
            </w:tcBorders>
          </w:tcPr>
          <w:p>
            <w:pPr>
              <w:spacing w:after="0" w:line="20" w:lineRule="exact"/>
              <w:rPr>
                <w:sz w:val="1"/>
                <w:szCs w:val="1"/>
                <w:color w:val="auto"/>
              </w:rPr>
            </w:pPr>
          </w:p>
        </w:tc>
        <w:tc>
          <w:tcPr>
            <w:tcW w:w="96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00" w:type="dxa"/>
            <w:vAlign w:val="bottom"/>
            <w:gridSpan w:val="2"/>
          </w:tcPr>
          <w:p>
            <w:pPr>
              <w:spacing w:after="0"/>
              <w:rPr>
                <w:sz w:val="20"/>
                <w:szCs w:val="20"/>
                <w:color w:val="auto"/>
              </w:rPr>
            </w:pPr>
            <w:r>
              <w:rPr>
                <w:rFonts w:ascii="Arial" w:cs="Arial" w:eastAsia="Arial" w:hAnsi="Arial"/>
                <w:sz w:val="18"/>
                <w:szCs w:val="18"/>
                <w:color w:val="auto"/>
              </w:rPr>
              <w:t>Earnings per share - basic and diluted</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0.72</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96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0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0.24</w:t>
            </w:r>
          </w:p>
        </w:tc>
        <w:tc>
          <w:tcPr>
            <w:tcW w:w="4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D6F3E8"/>
            </w:tcBorders>
          </w:tcPr>
          <w:p>
            <w:pPr>
              <w:spacing w:after="0" w:line="20" w:lineRule="exact"/>
              <w:rPr>
                <w:sz w:val="1"/>
                <w:szCs w:val="1"/>
                <w:color w:val="auto"/>
              </w:rPr>
            </w:pPr>
          </w:p>
        </w:tc>
        <w:tc>
          <w:tcPr>
            <w:tcW w:w="96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502920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2019-12-11T12:19:04Z</dcterms:created>
  <dcterms:modified xsi:type="dcterms:W3CDTF">2019-12-11T12:19:04Z</dcterms:modified>
</cp:coreProperties>
</file>