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30, 2019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340"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180" w:space="720"/>
            <w:col w:w="2380" w:space="720"/>
            <w:col w:w="2420"/>
          </w:cols>
          <w:pgMar w:left="240" w:top="733" w:right="239" w:bottom="1440" w:gutter="0" w:footer="0" w:header="0"/>
          <w:type w:val="continuous"/>
        </w:sectPr>
      </w:pPr>
    </w:p>
    <w:p>
      <w:pPr>
        <w:ind w:left="7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600" w:space="720"/>
            <w:col w:w="2340" w:space="720"/>
            <w:col w:w="3040"/>
          </w:cols>
          <w:pgMar w:left="240" w:top="733" w:right="239" w:bottom="1440" w:gutter="0" w:footer="0" w:header="0"/>
          <w:type w:val="continuous"/>
        </w:sectPr>
      </w:pPr>
    </w:p>
    <w:p>
      <w:pPr>
        <w:spacing w:after="0" w:line="87" w:lineRule="exact"/>
        <w:rPr>
          <w:sz w:val="24"/>
          <w:szCs w:val="24"/>
          <w:color w:val="auto"/>
        </w:rPr>
      </w:pPr>
    </w:p>
    <w:p>
      <w:pPr>
        <w:ind w:left="2720"/>
        <w:spacing w:after="0"/>
        <w:rPr>
          <w:sz w:val="20"/>
          <w:szCs w:val="20"/>
          <w:color w:val="auto"/>
        </w:rPr>
      </w:pPr>
      <w:r>
        <w:rPr>
          <w:rFonts w:ascii="Arial" w:cs="Arial" w:eastAsia="Arial" w:hAnsi="Arial"/>
          <w:sz w:val="16"/>
          <w:szCs w:val="16"/>
          <w:b w:val="1"/>
          <w:bCs w:val="1"/>
          <w:color w:val="auto"/>
        </w:rPr>
        <w:t>2381 Rosegate, Roseville, MN</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2">
            <w:col w:w="8480" w:space="720"/>
            <w:col w:w="2220"/>
          </w:cols>
          <w:pgMar w:left="240" w:top="733" w:right="239" w:bottom="1440" w:gutter="0" w:footer="0" w:header="0"/>
          <w:type w:val="continuous"/>
        </w:sectPr>
      </w:pPr>
    </w:p>
    <w:p>
      <w:pPr>
        <w:ind w:left="2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380" w:space="720"/>
            <w:col w:w="2320"/>
          </w:cols>
          <w:pgMar w:left="240" w:top="733"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44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3020" w:firstLine="35"/>
        <w:spacing w:after="0" w:line="423" w:lineRule="auto"/>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20" w:type="dxa"/>
        <w:tblCellMar>
          <w:top w:w="0" w:type="dxa"/>
          <w:left w:w="0" w:type="dxa"/>
          <w:bottom w:w="0" w:type="dxa"/>
          <w:right w:w="0" w:type="dxa"/>
        </w:tblCellMar>
      </w:tblPr>
      <w:tr>
        <w:trPr>
          <w:trHeight w:val="210"/>
        </w:trPr>
        <w:tc>
          <w:tcPr>
            <w:tcW w:w="3340" w:type="dxa"/>
            <w:vAlign w:val="bottom"/>
          </w:tcPr>
          <w:p>
            <w:pPr>
              <w:ind w:left="1220"/>
              <w:spacing w:after="0"/>
              <w:rPr>
                <w:sz w:val="20"/>
                <w:szCs w:val="20"/>
                <w:color w:val="auto"/>
              </w:rPr>
            </w:pPr>
            <w:r>
              <w:rPr>
                <w:rFonts w:ascii="Arial" w:cs="Arial" w:eastAsia="Arial" w:hAnsi="Arial"/>
                <w:sz w:val="16"/>
                <w:szCs w:val="16"/>
                <w:b w:val="1"/>
                <w:bCs w:val="1"/>
                <w:color w:val="auto"/>
              </w:rPr>
              <w:t>Title of each class</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5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540" w:type="dxa"/>
            <w:vAlign w:val="bottom"/>
          </w:tcPr>
          <w:p>
            <w:pPr>
              <w:jc w:val="center"/>
              <w:spacing w:after="0"/>
              <w:rPr>
                <w:sz w:val="20"/>
                <w:szCs w:val="20"/>
                <w:color w:val="auto"/>
              </w:rPr>
            </w:pPr>
            <w:r>
              <w:rPr>
                <w:rFonts w:ascii="Arial" w:cs="Arial" w:eastAsia="Arial" w:hAnsi="Arial"/>
                <w:sz w:val="16"/>
                <w:szCs w:val="16"/>
                <w:color w:val="auto"/>
              </w:rPr>
              <w:t>HWKN</w:t>
            </w:r>
          </w:p>
        </w:tc>
        <w:tc>
          <w:tcPr>
            <w:tcW w:w="4500" w:type="dxa"/>
            <w:vAlign w:val="bottom"/>
          </w:tcPr>
          <w:p>
            <w:pPr>
              <w:jc w:val="center"/>
              <w:ind w:right="179"/>
              <w:spacing w:after="0"/>
              <w:rPr>
                <w:sz w:val="20"/>
                <w:szCs w:val="20"/>
                <w:color w:val="auto"/>
              </w:rPr>
            </w:pPr>
            <w:r>
              <w:rPr>
                <w:rFonts w:ascii="Arial" w:cs="Arial" w:eastAsia="Arial" w:hAnsi="Arial"/>
                <w:sz w:val="16"/>
                <w:szCs w:val="16"/>
                <w:color w:val="auto"/>
                <w:w w:val="94"/>
              </w:rPr>
              <w:t>Nasdaq Stock Market LLC</w:t>
            </w:r>
          </w:p>
        </w:tc>
      </w:tr>
    </w:tbl>
    <w:p>
      <w:pPr>
        <w:spacing w:after="0" w:line="23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October 30, 2019, Hawkins, Inc. issued a press release announcing financial results for its fiscal 2020 second quarter ended September 29, 2019.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Exhibit 99.1—Press Release, dated October 30, 2019, announcing financial results of Hawkins, Inc. for its fiscal 2020 second quarter ended September 29, 2019.</w:t>
      </w:r>
    </w:p>
    <w:p>
      <w:pPr>
        <w:sectPr>
          <w:pgSz w:w="11900" w:h="16838" w:orient="portrait"/>
          <w:cols w:equalWidth="0" w:num="1">
            <w:col w:w="11300"/>
          </w:cols>
          <w:pgMar w:left="240" w:top="580" w:right="35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2160" w:right="560" w:hanging="827"/>
        <w:spacing w:after="0" w:line="277" w:lineRule="auto"/>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t>Press Release, dated October 30, 2019, announcing financial results of Hawkins, Inc. for its fiscal 2020 second quarter ended September 29,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October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 Jeffrey P. Oldenkamp</w:t>
      </w:r>
    </w:p>
    <w:p>
      <w:pPr>
        <w:spacing w:after="0" w:line="86" w:lineRule="exact"/>
        <w:rPr>
          <w:sz w:val="20"/>
          <w:szCs w:val="20"/>
          <w:color w:val="auto"/>
        </w:rPr>
      </w:pPr>
    </w:p>
    <w:p>
      <w:pPr>
        <w:sectPr>
          <w:pgSz w:w="11900" w:h="16838" w:orient="portrait"/>
          <w:cols w:equalWidth="0" w:num="2">
            <w:col w:w="6300" w:space="720"/>
            <w:col w:w="440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October 30,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FISCAL 2020 RESULTS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Minneapolis, MN, October 30, 2019 – Hawkins, Inc. (Nasdaq: HWKN) today announced results for the three and six months ended September 29, 2019, its second quarter of fiscal 2020. Highlights include: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second quarter diluted earnings per share (EPS) of $0.87, an increase of $0.18, or 26%, over the second quarter of fiscal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second quarter operating income of $13.2 million, an increase of 22% over the second quarter of the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first half EPS of $1.79, an increase of $0.25, or 16%, over the first half of the prior fiscal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 of $27.1 million, an improvement of $2.3 million over the prior fiscal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debt of $75 million, reflecting repayments of $10 million since the end of fiscal 2019, ending the second quarter with a leverage ratio of 1.2x.</w:t>
      </w:r>
    </w:p>
    <w:p>
      <w:pPr>
        <w:spacing w:after="0" w:line="23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“For the sixth consecutive quarter, we are reporting improved year over year operating income, increasing 22% over the second quarter of fiscal 2019 and with the quarter's earnings per share increasing 26%,” said Patrick Hawkins, Chief Executive Officer and President. “We achieved this through organic growth in our Industrial and Water Treatment segments and cost reductions in our Health and Nutrition segment. In our Industrial and Water Treatment segments, we benefited from favorable cost positions as well as increased sales of our specialty products which is a result of product and customer diversification over the last several years.”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Hawkins continued, “Our Health and Nutrition segment sales decreased $7.1 million in the second quarter of fiscal 2020 due to delay in customer product approvals, the ramp-up of sales with new partners and the prior year timing of customers' product launches. Looking forward to the second half of fiscal 2020, we expect sales to be down year over year, but not as much as in the first half of this fiscal year. We continue to focus on improving our cost position while growing our customer base and product offerings for the future. In addition, a product supply shortage that we previously discussed is improving, and we anticipate better sales in the latter half of fiscal 2020 related to that product.”</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second quarter of fiscal 2020, sales decreased 4% to $140.0 million from prior year sales of $145.3 million. Industrial segment sales were $68.1 million, a decrease of $1.3 million, or 2%, from the same period of the prior year. Sales dollars decreased from the prior year due to a decrease of volumes sold of our bulk commodity products as well as lower pricing due to lower costs of one of our major commodities, offset somewhat by an increase in volumes sold of our manufactured, blended and re-packaged products that typically carry higher per-unit selling prices. In spite of a generally wetter summer throughout the Midwest, Water Treatment segment sales in the second quarter increased $3.2 million, or 7%, to $45.9 million over the same period of the prior year. The increase in sales dollars was driven by increased volumes sold of certain specialty products that carry higher per-unit selling prices, offset somewhat by lower pricing due to lower costs of one of our major commodities. Health and Nutrition segment sales were $26.1 million, a decrease of $7.1 million, or 21%, from the same period of the prior year. The decrease in sales was driven by decreased sales of our specialty distributed products.</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Company-wide gross profit for the second quarter of fiscal 2020 was $28.0 million, or 20% of sales, an increase of $2.2 million from $25.8 million, or 18% of sales, for the same period of the prior year. During the three months ended September 29, 2019, the LIFO reserve decreased, and gross profit increased, by $0.3 million. In the same period of the prior year, the LIFO reserve increased, and gross profit decreased, by $0.1 million. Industrial segment gross profit was $10.7 million, or 16% of sales, for the quarter, compared to $8.3 million, or 12% of sales, for the same period of the prior year. Industrial segment gross profit increased from a year ago due to a favorable product mix shift to sales of higher margin manufactured, blended and re-packaged products. Water Treatment segment gross profit was $12.8 million, or 28% of sales, for the three months ended September 29, 2019, an increase of $1.1 million compared to $11.7 million, or 27% of sales, for the same period of the prior year. Gross profit in our Water Treatment segment increased as a result of higher sales compared to a year ago, offset somewhat by higher operating costs. Health and Nutrition segment gross profit decreased $1.1 million to $4.6 million, or 18% of sales, for the second quarter of fiscal 2020 compared to $5.7 million, or 17% of sales, for the same period of the prior year. Gross profit</w:t>
      </w:r>
    </w:p>
    <w:p>
      <w:pPr>
        <w:sectPr>
          <w:pgSz w:w="11900" w:h="16838" w:orient="portrait"/>
          <w:cols w:equalWidth="0" w:num="1">
            <w:col w:w="11420"/>
          </w:cols>
          <w:pgMar w:left="240" w:top="74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in our Health and Nutrition segment decreased as a result of lower sales, while gross profit as a percent of sales was up slightly year over year.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Company-wide SG&amp;A expenses decreased $0.1 million to $14.8 million, or 11% of sales, for the second quarter of fiscal 2020, compared to $14.9 million, or 10% of sales, for the same period of the prior year.</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effective income tax rate was 26.2% for the three months ended September 29, 2019. Our effective tax rate for the three months ended September 30, 2018 was 26.6%. The effective tax rate is impacted by projected levels of annual taxable income, permanent items, and state taxes.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September 29, 2019 was $19.2 million, an increase of $2.3 million, or 14%, from EBITDA of $16.9 million for the same period in the prior year. The increase was due primarily to improved gross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42 facilities in 19 states, the Company creates value for its customers through superb customer service and support, quality products and personalized applications.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changes in demand and customer requirements or processes for our products, interruptions in production including those resulting from hazards, transportation limitations or other extraordinary events outside our control that may negatively impact our business or the supply chains in which we participate. Additional information concerning potential factors that could affect future financial results is included in our Annual Report on Form 10-K for the fiscal year ended March 31, 2019,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5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define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0"/>
                <w:szCs w:val="20"/>
                <w:color w:val="auto"/>
              </w:rPr>
            </w:pPr>
          </w:p>
        </w:tc>
        <w:tc>
          <w:tcPr>
            <w:tcW w:w="28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29,</w:t>
            </w:r>
          </w:p>
        </w:tc>
        <w:tc>
          <w:tcPr>
            <w:tcW w:w="1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29,</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16,532</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8,195</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984</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36,374</w:t>
            </w: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RESULTS</w:t>
      </w:r>
    </w:p>
    <w:p>
      <w:pPr>
        <w:spacing w:after="0" w:line="200" w:lineRule="exact"/>
        <w:rPr>
          <w:sz w:val="20"/>
          <w:szCs w:val="20"/>
          <w:color w:val="auto"/>
        </w:rPr>
      </w:pP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29,</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September 29,</w:t>
            </w:r>
          </w:p>
        </w:tc>
        <w:tc>
          <w:tcPr>
            <w:tcW w:w="12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33"/>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295,124</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(230,588)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(240,895)</w:t>
            </w: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54,229</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(29,920)</w:t>
            </w: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24,309</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22,640</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16,532</w:t>
            </w:r>
          </w:p>
        </w:tc>
      </w:tr>
      <w:tr>
        <w:trPr>
          <w:trHeight w:val="67"/>
        </w:trPr>
        <w:tc>
          <w:tcPr>
            <w:tcW w:w="54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5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10,575,538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10,675,833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10,589,922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10,662,210</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10,633,117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10,719,059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10,714,381</w:t>
            </w:r>
          </w:p>
        </w:tc>
      </w:tr>
      <w:tr>
        <w:trPr>
          <w:trHeight w:val="324"/>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1.54</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0.225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0.225</w:t>
            </w:r>
          </w:p>
        </w:tc>
      </w:tr>
    </w:tbl>
    <w:p>
      <w:pPr>
        <w:spacing w:after="0" w:line="1" w:lineRule="exact"/>
        <w:rPr>
          <w:sz w:val="20"/>
          <w:szCs w:val="20"/>
          <w:color w:val="auto"/>
        </w:rPr>
      </w:pPr>
    </w:p>
    <w:sectPr>
      <w:pgSz w:w="11900" w:h="16838" w:orient="portrait"/>
      <w:cols w:equalWidth="0" w:num="1">
        <w:col w:w="11060"/>
      </w:cols>
      <w:pgMar w:left="240" w:top="58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2019-12-28T04:35:39Z</dcterms:created>
  <dcterms:modified xsi:type="dcterms:W3CDTF">2019-12-28T04:35:39Z</dcterms:modified>
</cp:coreProperties>
</file>