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September 30, 2001, Commission File No. 0-7647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5320" w:type="dxa"/>
            <w:vAlign w:val="bottom"/>
          </w:tcPr>
          <w:p>
            <w:pPr>
              <w:jc w:val="center"/>
              <w:ind w:right="1130"/>
              <w:spacing w:after="0"/>
              <w:rPr>
                <w:sz w:val="20"/>
                <w:szCs w:val="20"/>
                <w:color w:val="auto"/>
              </w:rPr>
            </w:pPr>
            <w:r>
              <w:rPr>
                <w:rFonts w:ascii="Arial" w:cs="Arial" w:eastAsia="Arial" w:hAnsi="Arial"/>
                <w:sz w:val="18"/>
                <w:szCs w:val="18"/>
                <w:b w:val="1"/>
                <w:bCs w:val="1"/>
                <w:color w:val="auto"/>
              </w:rPr>
              <w:t>MINNESOTA</w:t>
            </w:r>
          </w:p>
        </w:tc>
        <w:tc>
          <w:tcPr>
            <w:tcW w:w="3860" w:type="dxa"/>
            <w:vAlign w:val="bottom"/>
          </w:tcPr>
          <w:p>
            <w:pPr>
              <w:jc w:val="right"/>
              <w:ind w:right="790"/>
              <w:spacing w:after="0"/>
              <w:rPr>
                <w:sz w:val="20"/>
                <w:szCs w:val="20"/>
                <w:color w:val="auto"/>
              </w:rPr>
            </w:pPr>
            <w:r>
              <w:rPr>
                <w:rFonts w:ascii="Arial" w:cs="Arial" w:eastAsia="Arial" w:hAnsi="Arial"/>
                <w:sz w:val="18"/>
                <w:szCs w:val="18"/>
                <w:b w:val="1"/>
                <w:bCs w:val="1"/>
                <w:color w:val="auto"/>
              </w:rPr>
              <w:t>41-0771293</w:t>
            </w:r>
          </w:p>
        </w:tc>
      </w:tr>
      <w:tr>
        <w:trPr>
          <w:trHeight w:val="230"/>
        </w:trPr>
        <w:tc>
          <w:tcPr>
            <w:tcW w:w="5320" w:type="dxa"/>
            <w:vAlign w:val="bottom"/>
          </w:tcPr>
          <w:p>
            <w:pPr>
              <w:jc w:val="center"/>
              <w:ind w:right="1130"/>
              <w:spacing w:after="0"/>
              <w:rPr>
                <w:sz w:val="20"/>
                <w:szCs w:val="20"/>
                <w:color w:val="auto"/>
              </w:rPr>
            </w:pPr>
            <w:r>
              <w:rPr>
                <w:rFonts w:ascii="Arial" w:cs="Arial" w:eastAsia="Arial" w:hAnsi="Arial"/>
                <w:sz w:val="18"/>
                <w:szCs w:val="18"/>
                <w:color w:val="auto"/>
                <w:w w:val="92"/>
              </w:rPr>
              <w:t>(State of Incorporation)</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3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3100 East Hennepin Avenue, Minneapolis, Minnesota</w:t>
            </w:r>
          </w:p>
        </w:tc>
        <w:tc>
          <w:tcPr>
            <w:tcW w:w="3860" w:type="dxa"/>
            <w:vAlign w:val="bottom"/>
          </w:tcPr>
          <w:p>
            <w:pPr>
              <w:jc w:val="right"/>
              <w:ind w:right="1010"/>
              <w:spacing w:after="0"/>
              <w:rPr>
                <w:sz w:val="20"/>
                <w:szCs w:val="20"/>
                <w:color w:val="auto"/>
              </w:rPr>
            </w:pPr>
            <w:r>
              <w:rPr>
                <w:rFonts w:ascii="Arial" w:cs="Arial" w:eastAsia="Arial" w:hAnsi="Arial"/>
                <w:sz w:val="18"/>
                <w:szCs w:val="18"/>
                <w:b w:val="1"/>
                <w:bCs w:val="1"/>
                <w:color w:val="auto"/>
              </w:rPr>
              <w:t>55413</w:t>
            </w:r>
          </w:p>
        </w:tc>
      </w:tr>
      <w:tr>
        <w:trPr>
          <w:trHeight w:val="230"/>
        </w:trPr>
        <w:tc>
          <w:tcPr>
            <w:tcW w:w="532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860" w:type="dxa"/>
            <w:vAlign w:val="bottom"/>
          </w:tcPr>
          <w:p>
            <w:pPr>
              <w:jc w:val="center"/>
              <w:ind w:left="11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COMMON STOCK, PAR VALUE $.05 PER SHARE</w:t>
      </w:r>
    </w:p>
    <w:p>
      <w:pPr>
        <w:spacing w:after="0" w:line="211" w:lineRule="exact"/>
        <w:rPr>
          <w:sz w:val="24"/>
          <w:szCs w:val="24"/>
          <w:color w:val="auto"/>
        </w:rPr>
      </w:pPr>
    </w:p>
    <w:p>
      <w:pPr>
        <w:jc w:val="both"/>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100"/>
        <w:spacing w:after="0" w:line="312" w:lineRule="auto"/>
        <w:rPr>
          <w:sz w:val="20"/>
          <w:szCs w:val="20"/>
          <w:color w:val="auto"/>
        </w:rPr>
      </w:pPr>
      <w:r>
        <w:rPr>
          <w:rFonts w:ascii="Arial" w:cs="Arial" w:eastAsia="Arial" w:hAnsi="Arial"/>
          <w:sz w:val="16"/>
          <w:szCs w:val="16"/>
          <w:color w:val="auto"/>
        </w:rPr>
        <w:t>The aggregate market value of voting stock held by nonaffiliates of the Registrant on December 3, 2001, was $57,838,659 (based upon the last reported sale price on that date as reported by The Nasdaq Stock Market), excluding all shares held by officers and directors of the Registrant and by the Trustees of the Registrant's Employee Stock Ownership Plan. The number of shares outstanding of the Registrant's common stock on December 3, 2001 was 10,216,688.</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2002 Annual Meeting of Shareholders to be held February 13,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CAUTIONARY STATEMENT REGARDING</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FUTURE RESULTS AND FORWARD-LOOKING STATEMENTS</w:t>
      </w:r>
    </w:p>
    <w:p>
      <w:pPr>
        <w:spacing w:after="0" w:line="211" w:lineRule="exact"/>
        <w:rPr>
          <w:sz w:val="24"/>
          <w:szCs w:val="24"/>
          <w:color w:val="auto"/>
        </w:rPr>
      </w:pPr>
    </w:p>
    <w:p>
      <w:pPr>
        <w:ind w:right="280" w:firstLine="720"/>
        <w:spacing w:after="0" w:line="312" w:lineRule="auto"/>
        <w:rPr>
          <w:sz w:val="20"/>
          <w:szCs w:val="20"/>
          <w:color w:val="auto"/>
        </w:rPr>
      </w:pPr>
      <w:r>
        <w:rPr>
          <w:rFonts w:ascii="Arial" w:cs="Arial" w:eastAsia="Arial" w:hAnsi="Arial"/>
          <w:sz w:val="16"/>
          <w:szCs w:val="16"/>
          <w:color w:val="auto"/>
        </w:rPr>
        <w:t>The future results of the Registrant, including results reflected in any forward-looking statement made by or on behalf of the Registrant, will be impacted by a number of important factors. Words such as "may," "will," "expect," "believe," "anticipate," "estimate," or "continue" or comparable terminology are intended to identify forward-looking statements. Forward-looking statements, by their nature, involve substantial risks and uncertainties.</w:t>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PART I</w:t>
      </w:r>
    </w:p>
    <w:p>
      <w:pPr>
        <w:spacing w:after="0" w:line="225"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25" w:lineRule="exact"/>
        <w:rPr>
          <w:sz w:val="24"/>
          <w:szCs w:val="24"/>
          <w:color w:val="auto"/>
        </w:rPr>
      </w:pPr>
    </w:p>
    <w:p>
      <w:pPr>
        <w:ind w:right="60" w:firstLine="728"/>
        <w:spacing w:after="0" w:line="273" w:lineRule="auto"/>
        <w:tabs>
          <w:tab w:leader="none" w:pos="1415" w:val="left"/>
        </w:tabs>
        <w:numPr>
          <w:ilvl w:val="0"/>
          <w:numId w:val="1"/>
        </w:numPr>
        <w:rPr>
          <w:rFonts w:ascii="Arial" w:cs="Arial" w:eastAsia="Arial" w:hAnsi="Arial"/>
          <w:sz w:val="17"/>
          <w:szCs w:val="17"/>
          <w:color w:val="auto"/>
        </w:rPr>
      </w:pPr>
      <w:r>
        <w:rPr>
          <w:rFonts w:ascii="Arial" w:cs="Arial" w:eastAsia="Arial" w:hAnsi="Arial"/>
          <w:sz w:val="17"/>
          <w:szCs w:val="17"/>
          <w:color w:val="auto"/>
        </w:rPr>
        <w:t>GENERAL DEVELOPMENT OF THE BUSINESS. The Registrant was incorporated under the laws of the State of Minnesota in 1955. In fiscal 1998, the Registrant merged three of its former subsidiaries, Feed-Rite Controls, Inc., Mon-Dak Chemical, Inc., Dakota Chemical, Inc. and its Arrowhead Chemical Division together to form a single wholly-owned subsidiary known as Hawkins Water Treatment Group, Inc. (HWTG). In fiscal 1999, the Registrant merged HWTG into the Registrant. During fiscal 2000, the Registrant acquired certain assets of St. Mary’s Chemicals, Inc. (discussed more fully in paragraph (i) below). In fiscal 2001, the Registrant’s corporate name was changed to Hawkins, Inc. from Hawkins Chemical, Inc. reflecting the fact the Registrant has expanded its original business from the distribution of chemicals.</w:t>
      </w:r>
    </w:p>
    <w:p>
      <w:pPr>
        <w:spacing w:after="0" w:line="178" w:lineRule="exact"/>
        <w:rPr>
          <w:rFonts w:ascii="Arial" w:cs="Arial" w:eastAsia="Arial" w:hAnsi="Arial"/>
          <w:sz w:val="17"/>
          <w:szCs w:val="17"/>
          <w:color w:val="auto"/>
        </w:rPr>
      </w:pPr>
    </w:p>
    <w:p>
      <w:pPr>
        <w:ind w:right="100" w:firstLine="728"/>
        <w:spacing w:after="0" w:line="264" w:lineRule="auto"/>
        <w:tabs>
          <w:tab w:leader="none" w:pos="1425"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INFORMATION ABOUT INDUSTRY SEGMENTS. The Company’s principal business is the formulation, blending and distribution of bulk and specialty chemicals, which it conducts in two principal segments: Water Treatment and Industrial. Financial information regarding these segments is reported in the Company’s audited financial statements. See Items 7 and 8 below.</w:t>
      </w:r>
    </w:p>
    <w:p>
      <w:pPr>
        <w:spacing w:after="0" w:line="181" w:lineRule="exact"/>
        <w:rPr>
          <w:rFonts w:ascii="Arial" w:cs="Arial" w:eastAsia="Arial" w:hAnsi="Arial"/>
          <w:sz w:val="18"/>
          <w:szCs w:val="18"/>
          <w:color w:val="auto"/>
        </w:rPr>
      </w:pPr>
    </w:p>
    <w:p>
      <w:pPr>
        <w:ind w:left="1420" w:hanging="692"/>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NARRATIVE DESCRIPTION OF THE BUSINESS.</w:t>
      </w:r>
    </w:p>
    <w:p>
      <w:pPr>
        <w:sectPr>
          <w:pgSz w:w="11900" w:h="16838" w:orient="portrait"/>
          <w:cols w:equalWidth="0" w:num="1">
            <w:col w:w="11360"/>
          </w:cols>
          <w:pgMar w:left="240" w:top="801" w:right="299" w:bottom="100" w:gutter="0" w:footer="0" w:header="0"/>
        </w:sectPr>
      </w:pPr>
    </w:p>
    <w:bookmarkStart w:id="1" w:name="page2"/>
    <w:bookmarkEnd w:id="1"/>
    <w:p>
      <w:pPr>
        <w:ind w:left="-540" w:right="300" w:firstLine="716"/>
        <w:spacing w:after="0" w:line="277" w:lineRule="auto"/>
        <w:tabs>
          <w:tab w:leader="none" w:pos="93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PRODUCTS AND MARKETS. The Company’s business is conducted in its two segments, Water Treatment and Industrial, which are more fully described below:</w:t>
      </w:r>
    </w:p>
    <w:p>
      <w:pPr>
        <w:spacing w:after="0" w:line="170" w:lineRule="exact"/>
        <w:rPr>
          <w:rFonts w:ascii="Arial" w:cs="Arial" w:eastAsia="Arial" w:hAnsi="Arial"/>
          <w:sz w:val="18"/>
          <w:szCs w:val="18"/>
          <w:color w:val="auto"/>
        </w:rPr>
      </w:pPr>
    </w:p>
    <w:p>
      <w:pPr>
        <w:ind w:left="100" w:right="20" w:firstLine="725"/>
        <w:spacing w:after="0" w:line="272" w:lineRule="auto"/>
        <w:tabs>
          <w:tab w:leader="none" w:pos="1520" w:val="left"/>
        </w:tabs>
        <w:numPr>
          <w:ilvl w:val="1"/>
          <w:numId w:val="2"/>
        </w:numPr>
        <w:rPr>
          <w:rFonts w:ascii="Arial" w:cs="Arial" w:eastAsia="Arial" w:hAnsi="Arial"/>
          <w:sz w:val="17"/>
          <w:szCs w:val="17"/>
          <w:color w:val="auto"/>
        </w:rPr>
      </w:pPr>
      <w:r>
        <w:rPr>
          <w:rFonts w:ascii="Arial" w:cs="Arial" w:eastAsia="Arial" w:hAnsi="Arial"/>
          <w:sz w:val="17"/>
          <w:szCs w:val="17"/>
          <w:color w:val="auto"/>
        </w:rPr>
        <w:t>WATER TREATMENT. The Water Treatment segment specializes in providing water and waste-water treatment equipment and chemicals, as well as helping customers find solutions to systems problems in Minnesota, Wisconsin, Iowa, North Dakota, South Dakota, Nebraska, Illinois, Michigan, Montana and Wyoming. It also operates as a distributor of the Company’s products to its customers. The Water Treatment operations in the Minneapolis/St. Paul area relocated to a new 59,000 square-foot facility, “the Red Rock facility,” during the first quarter of fiscal 2001. The new facility, located on the Mississippi River in St. Paul, MN has improved operational efficiencies, as the Water Treatment operations are located at the facility where several key products are produced. The consolidated warehouse space has reduced the amount of time required to load trucks between deliveries.</w:t>
      </w:r>
    </w:p>
    <w:p>
      <w:pPr>
        <w:spacing w:after="0" w:line="177" w:lineRule="exact"/>
        <w:rPr>
          <w:rFonts w:ascii="Arial" w:cs="Arial" w:eastAsia="Arial" w:hAnsi="Arial"/>
          <w:sz w:val="17"/>
          <w:szCs w:val="17"/>
          <w:color w:val="auto"/>
        </w:rPr>
      </w:pPr>
    </w:p>
    <w:p>
      <w:pPr>
        <w:ind w:left="100" w:right="120" w:firstLine="725"/>
        <w:spacing w:after="0" w:line="255" w:lineRule="auto"/>
        <w:tabs>
          <w:tab w:leader="none" w:pos="1555" w:val="left"/>
        </w:tabs>
        <w:numPr>
          <w:ilvl w:val="1"/>
          <w:numId w:val="2"/>
        </w:numPr>
        <w:rPr>
          <w:rFonts w:ascii="Arial" w:cs="Arial" w:eastAsia="Arial" w:hAnsi="Arial"/>
          <w:sz w:val="18"/>
          <w:szCs w:val="18"/>
          <w:color w:val="auto"/>
        </w:rPr>
      </w:pPr>
      <w:r>
        <w:rPr>
          <w:rFonts w:ascii="Arial" w:cs="Arial" w:eastAsia="Arial" w:hAnsi="Arial"/>
          <w:sz w:val="18"/>
          <w:szCs w:val="18"/>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distributes a variety of pharmaceutical products and sells certain food grade products, including the Cheese-Phos(R) liquid phosphate product (discussed more fully in paragraph (iv) below) and other blended products, none of which are material to the Company. This segment conducts its business primarily through terminal operations and sales.</w:t>
      </w:r>
    </w:p>
    <w:p>
      <w:pPr>
        <w:spacing w:after="0" w:line="193" w:lineRule="exact"/>
        <w:rPr>
          <w:sz w:val="20"/>
          <w:szCs w:val="20"/>
          <w:color w:val="auto"/>
        </w:rPr>
      </w:pPr>
    </w:p>
    <w:p>
      <w:pPr>
        <w:ind w:left="100" w:right="180" w:firstLine="720"/>
        <w:spacing w:after="0" w:line="270" w:lineRule="auto"/>
        <w:rPr>
          <w:sz w:val="20"/>
          <w:szCs w:val="20"/>
          <w:color w:val="auto"/>
        </w:rPr>
      </w:pPr>
      <w:r>
        <w:rPr>
          <w:rFonts w:ascii="Arial" w:cs="Arial" w:eastAsia="Arial" w:hAnsi="Arial"/>
          <w:sz w:val="17"/>
          <w:szCs w:val="17"/>
          <w:color w:val="auto"/>
        </w:rPr>
        <w:t>The Industrial segment receives, stores and distributes various chemicals in bulk, including liquid caustic soda, phosphoric acid and aqua ammonia; manufactures sodium hypochlorite (bleach); repackages liquid chlorine; and performs custom blending of certain chemicals for customers according to customer formulas. Approximately 80% of the terminal operations business is related to liquid caustic soda. The Industrial segment also operates liquid caustic soda barge terminals to receive shipments during the period the Mississippi River is open to barge traffic (approximately April 1 through November 15). During the remainder of the year the Company relies on stockpiles, as well as supplies shipped in by railroad tank car. Pursuant to operating agreements it has with other chemical companies, the Company also receives, stores and ships liquid caustic soda and other chemicals at the Hawkins "Terminal 1" location and its "Terminal 2" site, which is located across the river and downstream from Terminal 1. The chlorine repackaging and bleach manufacturing operations, formerly located at Terminal 1, were moved to Red Rock during fiscal 2001.</w:t>
      </w:r>
    </w:p>
    <w:p>
      <w:pPr>
        <w:spacing w:after="0" w:line="182" w:lineRule="exact"/>
        <w:rPr>
          <w:sz w:val="20"/>
          <w:szCs w:val="20"/>
          <w:color w:val="auto"/>
        </w:rPr>
      </w:pPr>
    </w:p>
    <w:p>
      <w:pPr>
        <w:ind w:left="100" w:right="60" w:firstLine="720"/>
        <w:spacing w:after="0" w:line="268" w:lineRule="auto"/>
        <w:rPr>
          <w:sz w:val="20"/>
          <w:szCs w:val="20"/>
          <w:color w:val="auto"/>
        </w:rPr>
      </w:pPr>
      <w:r>
        <w:rPr>
          <w:rFonts w:ascii="Arial" w:cs="Arial" w:eastAsia="Arial" w:hAnsi="Arial"/>
          <w:sz w:val="17"/>
          <w:szCs w:val="17"/>
          <w:color w:val="auto"/>
        </w:rPr>
        <w:t>Since 1963, flooding of the Mississippi River has required the Company’s Terminal 1 and 2 operations to be temporarily shifted out of its buildings four times, the most recent being in the spring of 2001. From approximately April 12, 2001 to May 8, 2001, the areas around the terminals were flooded, preventing shipments to and from these locations. The terminals themselves were not flooded as the facilities were adequately protected by dikes. Additionally, the high water interrupted barge traffic on the Mississippi River and no caustic soda barges were received from the closing of the river in the fall of 2000 until the end of May 2001. No substantial interruptions to sales resulted from the flooding as trucks and railroad tank cars were used as an alternative means of supply. However, the Company incurred additional shipping, labor, and other costs and was not been able to pass through all of these costs to its customers. This had a negative impact on earnings in the third quarter of fiscal 2001 of approximately $200,000. No assurance can be given that flooding will not recur or that there will not be material damage or interruption to the Company’s operations in the future from flooding. In September 2001, a 1.5 million gallon caustic soda storage tank was completed at the Red Rock facility allowing it to serve as an additional terminal for bulk chemicals. Historically, the property on which the Red Rock facility is located has not been subject to flooding when Terminals 1 and 2 were not usable due to high water and the facility was not affected by the fiscal 2001 flooding. The Company expects the impact of future flooding, if any, will be reduced as the new Red Rock facility is expected to allow the Company to continue shipping to customers during periods of high water levels.</w:t>
      </w:r>
    </w:p>
    <w:p>
      <w:pPr>
        <w:spacing w:after="0" w:line="185" w:lineRule="exact"/>
        <w:rPr>
          <w:sz w:val="20"/>
          <w:szCs w:val="20"/>
          <w:color w:val="auto"/>
        </w:rPr>
      </w:pPr>
    </w:p>
    <w:p>
      <w:pPr>
        <w:ind w:left="100" w:firstLine="720"/>
        <w:spacing w:after="0" w:line="254" w:lineRule="auto"/>
        <w:rPr>
          <w:sz w:val="20"/>
          <w:szCs w:val="20"/>
          <w:color w:val="auto"/>
        </w:rPr>
      </w:pPr>
      <w:r>
        <w:rPr>
          <w:rFonts w:ascii="Arial" w:cs="Arial" w:eastAsia="Arial" w:hAnsi="Arial"/>
          <w:sz w:val="18"/>
          <w:szCs w:val="18"/>
          <w:color w:val="auto"/>
        </w:rPr>
        <w:t>The Industrial segment also includes a sales distribution center for industrial chemicals, laboratory chemicals and laboratory supplies. Bulk industrial chemicals are generally repackaged and sold in smaller quantities to the Company’s customers. Sales are concentrated primarily in Wisconsin, Minnesota, northern Iowa and North and South Dakota. Among the principal chemicals handled are water purification and pollution control chemicals (such as chlorine) and industrial chemicals (such as anhydrous ammonia, aluminum sulphate, hydrofluosilicic acid, soda ash, phosphates, muriatic acid, aqua ammonia, sulfuric acid and liquid caustic soda). It also specializes in sales to the plating and electronic industries, for which it relies on a specially trained sales staff that works directly with customers on their plating and other processes. This aspect of its operations commenced in 1993 when the Company acquired the assets of Industrial Chemical &amp; Equipment Co.</w:t>
      </w:r>
    </w:p>
    <w:p>
      <w:pPr>
        <w:spacing w:after="0" w:line="192" w:lineRule="exact"/>
        <w:rPr>
          <w:sz w:val="20"/>
          <w:szCs w:val="20"/>
          <w:color w:val="auto"/>
        </w:rPr>
      </w:pPr>
    </w:p>
    <w:p>
      <w:pPr>
        <w:ind w:left="100" w:right="200" w:firstLine="720"/>
        <w:spacing w:after="0" w:line="270" w:lineRule="auto"/>
        <w:rPr>
          <w:sz w:val="20"/>
          <w:szCs w:val="20"/>
          <w:color w:val="auto"/>
        </w:rPr>
      </w:pPr>
      <w:r>
        <w:rPr>
          <w:rFonts w:ascii="Arial" w:cs="Arial" w:eastAsia="Arial" w:hAnsi="Arial"/>
          <w:sz w:val="17"/>
          <w:szCs w:val="17"/>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On May 26, 2000, the Company also entered into a five-year employment agreement with one of the previous owners and consulting agreements with the other two previous owners of Universal Chemicals. The employment agreement and consulting agreements contain performance bonuses and non-compete provisions. The agreements are based on Universal Chemicals’ operating results, as defined, for five years after the acquisition date and have a maximum payment of $3,520,000. The non-compete provisions extend for a period of five years after the termination of the employment or consulting agreements, and require annual payments of $100,000 to $200,000 depending on Universal Chemicals’ operating results, as defined in the agreements, for five years after the termination date.</w:t>
      </w:r>
    </w:p>
    <w:p>
      <w:pPr>
        <w:spacing w:after="0" w:line="182" w:lineRule="exact"/>
        <w:rPr>
          <w:sz w:val="20"/>
          <w:szCs w:val="20"/>
          <w:color w:val="auto"/>
        </w:rPr>
      </w:pPr>
    </w:p>
    <w:p>
      <w:pPr>
        <w:ind w:left="940" w:hanging="764"/>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PRODUCTS. The Registrant did not have any significant new products in fiscal 2001.</w:t>
      </w:r>
    </w:p>
    <w:p>
      <w:pPr>
        <w:spacing w:after="0" w:line="225" w:lineRule="exact"/>
        <w:rPr>
          <w:rFonts w:ascii="Arial" w:cs="Arial" w:eastAsia="Arial" w:hAnsi="Arial"/>
          <w:sz w:val="18"/>
          <w:szCs w:val="18"/>
          <w:color w:val="auto"/>
        </w:rPr>
      </w:pPr>
    </w:p>
    <w:p>
      <w:pPr>
        <w:ind w:left="-540" w:firstLine="716"/>
        <w:spacing w:after="0" w:line="257" w:lineRule="auto"/>
        <w:tabs>
          <w:tab w:leader="none" w:pos="945" w:val="left"/>
        </w:tabs>
        <w:numPr>
          <w:ilvl w:val="0"/>
          <w:numId w:val="3"/>
        </w:numPr>
        <w:rPr>
          <w:rFonts w:ascii="Arial" w:cs="Arial" w:eastAsia="Arial" w:hAnsi="Arial"/>
          <w:sz w:val="18"/>
          <w:szCs w:val="18"/>
          <w:color w:val="auto"/>
        </w:rPr>
      </w:pPr>
      <w:r>
        <w:rPr>
          <w:rFonts w:ascii="Arial" w:cs="Arial" w:eastAsia="Arial" w:hAnsi="Arial"/>
          <w:sz w:val="18"/>
          <w:szCs w:val="18"/>
          <w:color w:val="auto"/>
        </w:rPr>
        <w:t>RAW MATERIALS. The Company’s segments have approximately 300 suppliers, including many of the major chemical producers in the United States, of which approximately 20 account for a majority of the purchases. The Company’s segments typically have written distributorship agreements or supply contracts with its suppliers that are renewed from time to time. Although there is no assurance that any contract or understanding with any supplier will not be terminated in the foreseeable future, most of the basic chemicals purchased can be obtained from alternative sources should existing relationships be terminated.</w:t>
      </w:r>
    </w:p>
    <w:p>
      <w:pPr>
        <w:spacing w:after="0" w:line="188" w:lineRule="exact"/>
        <w:rPr>
          <w:rFonts w:ascii="Arial" w:cs="Arial" w:eastAsia="Arial" w:hAnsi="Arial"/>
          <w:sz w:val="18"/>
          <w:szCs w:val="18"/>
          <w:color w:val="auto"/>
        </w:rPr>
      </w:pPr>
    </w:p>
    <w:p>
      <w:pPr>
        <w:ind w:left="-540" w:right="80" w:firstLine="716"/>
        <w:spacing w:after="0" w:line="259" w:lineRule="auto"/>
        <w:tabs>
          <w:tab w:leader="none" w:pos="89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PATENTS, TRADEMARKS, LICENSES, FRANCHISES, AND CONCESSIONS. There are no patents, trademarks, licenses, franchises or concessions that are currently material to the successful operation of the Company’s business. The Company has, however, obtained a patent on a liquid form of sodium phosphate for use in the processed food industry, as described below; the patent was granted on October 17, 1995 and will expire on November 8, 2013.</w:t>
      </w:r>
    </w:p>
    <w:p>
      <w:pPr>
        <w:sectPr>
          <w:pgSz w:w="11900" w:h="16838" w:orient="portrait"/>
          <w:cols w:equalWidth="0" w:num="1">
            <w:col w:w="10200"/>
          </w:cols>
          <w:pgMar w:left="1440" w:top="125" w:right="259" w:bottom="129" w:gutter="0" w:footer="0" w:header="0"/>
        </w:sectPr>
      </w:pPr>
    </w:p>
    <w:bookmarkStart w:id="2" w:name="page3"/>
    <w:bookmarkEnd w:id="2"/>
    <w:p>
      <w:pPr>
        <w:spacing w:after="0" w:line="62" w:lineRule="exact"/>
        <w:rPr>
          <w:sz w:val="20"/>
          <w:szCs w:val="20"/>
          <w:color w:val="auto"/>
        </w:rPr>
      </w:pPr>
    </w:p>
    <w:p>
      <w:pPr>
        <w:ind w:left="660" w:right="40" w:firstLine="720"/>
        <w:spacing w:after="0" w:line="273" w:lineRule="auto"/>
        <w:rPr>
          <w:sz w:val="20"/>
          <w:szCs w:val="20"/>
          <w:color w:val="auto"/>
        </w:rPr>
      </w:pPr>
      <w:r>
        <w:rPr>
          <w:rFonts w:ascii="Arial" w:cs="Arial" w:eastAsia="Arial" w:hAnsi="Arial"/>
          <w:sz w:val="17"/>
          <w:szCs w:val="17"/>
          <w:color w:val="auto"/>
        </w:rPr>
        <w:t>Process cheese producers are increasingly moving away from dry forms of sodium ortho phosphates to liquid versions. The advantages of the liquid form include delivery by pumping, greater measurement accuracy and consistency in finished product and the elimination of undissolved chemical dust and the disposal of empty chemical bags. The major drawback of the liquid sodium phosphates currently being used in the cheese processing industry is that it must be stored at between 130 and 160 degrees Fahrenheit to prevent crystallization. Expensive heated storage and steam heated piping is necessary to maintain required temperatures. Back-up generators must also be installed as safeguards against product cooling and solidifying in case of a plant power outage.</w:t>
      </w:r>
    </w:p>
    <w:p>
      <w:pPr>
        <w:spacing w:after="0" w:line="178" w:lineRule="exact"/>
        <w:rPr>
          <w:sz w:val="20"/>
          <w:szCs w:val="20"/>
          <w:color w:val="auto"/>
        </w:rPr>
      </w:pPr>
    </w:p>
    <w:p>
      <w:pPr>
        <w:ind w:left="660" w:firstLine="720"/>
        <w:spacing w:after="0" w:line="264" w:lineRule="auto"/>
        <w:rPr>
          <w:sz w:val="20"/>
          <w:szCs w:val="20"/>
          <w:color w:val="auto"/>
        </w:rPr>
      </w:pPr>
      <w:r>
        <w:rPr>
          <w:rFonts w:ascii="Arial" w:cs="Arial" w:eastAsia="Arial" w:hAnsi="Arial"/>
          <w:sz w:val="18"/>
          <w:szCs w:val="18"/>
          <w:color w:val="auto"/>
        </w:rPr>
        <w:t>The Company’s patented Cheese-Phos(R) liquid sodium phosphate, which can be stored at room temperature, offers all the advantages of a liquid sodium phosphate product, but eliminates the need for high-heat delivery systems. Cheese-Phos(R) has not and is not expected to materially increase the Company’s sales or profits.</w:t>
      </w:r>
    </w:p>
    <w:p>
      <w:pPr>
        <w:spacing w:after="0" w:line="181" w:lineRule="exact"/>
        <w:rPr>
          <w:sz w:val="20"/>
          <w:szCs w:val="20"/>
          <w:color w:val="auto"/>
        </w:rPr>
      </w:pPr>
    </w:p>
    <w:p>
      <w:pPr>
        <w:ind w:left="660" w:right="340" w:firstLine="716"/>
        <w:spacing w:after="0" w:line="277" w:lineRule="auto"/>
        <w:tabs>
          <w:tab w:leader="none" w:pos="208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ASPECTS. The Water Treatment segment has historically experienced higher sales during the third and fourth fiscal quarters, which is due primarily to an increase in chemicals used by municipal water treatment facilities.</w:t>
      </w:r>
    </w:p>
    <w:p>
      <w:pPr>
        <w:spacing w:after="0" w:line="170" w:lineRule="exact"/>
        <w:rPr>
          <w:rFonts w:ascii="Arial" w:cs="Arial" w:eastAsia="Arial" w:hAnsi="Arial"/>
          <w:sz w:val="18"/>
          <w:szCs w:val="18"/>
          <w:color w:val="auto"/>
        </w:rPr>
      </w:pPr>
    </w:p>
    <w:p>
      <w:pPr>
        <w:ind w:left="660" w:right="160" w:firstLine="716"/>
        <w:spacing w:after="0" w:line="264" w:lineRule="auto"/>
        <w:tabs>
          <w:tab w:leader="none" w:pos="209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ITEMS. As a bulk distributor of chemicals, the Company is required to carry significant amounts of inventory to meet rapid delivery requirements of customers. Working capital requirements vary on a seasonal basis as a result of the seasonality of the water treatment business.</w:t>
      </w:r>
    </w:p>
    <w:p>
      <w:pPr>
        <w:spacing w:after="0" w:line="181" w:lineRule="exact"/>
        <w:rPr>
          <w:rFonts w:ascii="Arial" w:cs="Arial" w:eastAsia="Arial" w:hAnsi="Arial"/>
          <w:sz w:val="18"/>
          <w:szCs w:val="18"/>
          <w:color w:val="auto"/>
        </w:rPr>
      </w:pPr>
    </w:p>
    <w:p>
      <w:pPr>
        <w:ind w:left="660" w:right="420" w:firstLine="716"/>
        <w:spacing w:after="0" w:line="312" w:lineRule="auto"/>
        <w:tabs>
          <w:tab w:leader="none" w:pos="2095" w:val="left"/>
        </w:tabs>
        <w:numPr>
          <w:ilvl w:val="0"/>
          <w:numId w:val="4"/>
        </w:numPr>
        <w:rPr>
          <w:rFonts w:ascii="Arial" w:cs="Arial" w:eastAsia="Arial" w:hAnsi="Arial"/>
          <w:sz w:val="16"/>
          <w:szCs w:val="16"/>
          <w:color w:val="auto"/>
        </w:rPr>
      </w:pPr>
      <w:r>
        <w:rPr>
          <w:rFonts w:ascii="Arial" w:cs="Arial" w:eastAsia="Arial" w:hAnsi="Arial"/>
          <w:sz w:val="16"/>
          <w:szCs w:val="16"/>
          <w:color w:val="auto"/>
        </w:rPr>
        <w:t>DEPENDENCE ON LIMITED NUMBER OF CUSTOMERS. No one customer represents more than approximately three percent of the Company’s sales, but the loss of its four largest customers could have a material adverse effect on the Company’s results of operations. Additionally, no one customer represents 10% or more of either the Water Treatment segment or Industrial segment sales.</w:t>
      </w:r>
    </w:p>
    <w:p>
      <w:pPr>
        <w:spacing w:after="0" w:line="146" w:lineRule="exact"/>
        <w:rPr>
          <w:rFonts w:ascii="Arial" w:cs="Arial" w:eastAsia="Arial" w:hAnsi="Arial"/>
          <w:sz w:val="16"/>
          <w:szCs w:val="16"/>
          <w:color w:val="auto"/>
        </w:rPr>
      </w:pPr>
    </w:p>
    <w:p>
      <w:pPr>
        <w:ind w:left="2100" w:hanging="724"/>
        <w:spacing w:after="0"/>
        <w:tabs>
          <w:tab w:leader="none" w:pos="2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BACKLOG. Backlog is not material to an understanding of the Company’s business.</w:t>
      </w:r>
    </w:p>
    <w:p>
      <w:pPr>
        <w:spacing w:after="0" w:line="225" w:lineRule="exact"/>
        <w:rPr>
          <w:rFonts w:ascii="Arial" w:cs="Arial" w:eastAsia="Arial" w:hAnsi="Arial"/>
          <w:sz w:val="18"/>
          <w:szCs w:val="18"/>
          <w:color w:val="auto"/>
        </w:rPr>
      </w:pPr>
    </w:p>
    <w:p>
      <w:pPr>
        <w:ind w:left="660" w:right="560" w:firstLine="716"/>
        <w:spacing w:after="0" w:line="277" w:lineRule="auto"/>
        <w:tabs>
          <w:tab w:leader="none" w:pos="2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CONTRACTS. No material portion of the Company’s business is subject to renegotiation of profits or termination of contracts at the election of any state or federal governmental subdivision or agency.</w:t>
      </w:r>
    </w:p>
    <w:p>
      <w:pPr>
        <w:spacing w:after="0" w:line="170" w:lineRule="exact"/>
        <w:rPr>
          <w:rFonts w:ascii="Arial" w:cs="Arial" w:eastAsia="Arial" w:hAnsi="Arial"/>
          <w:sz w:val="18"/>
          <w:szCs w:val="18"/>
          <w:color w:val="auto"/>
        </w:rPr>
      </w:pPr>
    </w:p>
    <w:p>
      <w:pPr>
        <w:ind w:left="660" w:right="220" w:firstLine="716"/>
        <w:spacing w:after="0" w:line="259" w:lineRule="auto"/>
        <w:tabs>
          <w:tab w:leader="none" w:pos="213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CONDITIONS. The Company operates in a competitive industry and competes with producers, distributors and sales agents offering chemicals equivalent to all of the products handled by the Company. Many such producers and distributors have substantially more business and are substantially larger than the Company. No one competitor, however, is dominant in the Company’s market. Price and service are the principal methods of competition in the industry.</w:t>
      </w:r>
    </w:p>
    <w:p>
      <w:pPr>
        <w:spacing w:after="0" w:line="186" w:lineRule="exact"/>
        <w:rPr>
          <w:rFonts w:ascii="Arial" w:cs="Arial" w:eastAsia="Arial" w:hAnsi="Arial"/>
          <w:sz w:val="18"/>
          <w:szCs w:val="18"/>
          <w:color w:val="auto"/>
        </w:rPr>
      </w:pPr>
    </w:p>
    <w:p>
      <w:pPr>
        <w:jc w:val="both"/>
        <w:ind w:left="660" w:right="180" w:firstLine="716"/>
        <w:spacing w:after="0" w:line="264" w:lineRule="auto"/>
        <w:tabs>
          <w:tab w:leader="none" w:pos="2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DEVELOPMENT. The Company does not have a formal research and development function. Employees are assigned to research and development projects as the need arises. During the past fiscal year, expenditures for research and development were negligible and not material to the Company’s business.</w:t>
      </w:r>
    </w:p>
    <w:p>
      <w:pPr>
        <w:spacing w:after="0" w:line="181" w:lineRule="exact"/>
        <w:rPr>
          <w:rFonts w:ascii="Arial" w:cs="Arial" w:eastAsia="Arial" w:hAnsi="Arial"/>
          <w:sz w:val="18"/>
          <w:szCs w:val="18"/>
          <w:color w:val="auto"/>
        </w:rPr>
      </w:pPr>
    </w:p>
    <w:p>
      <w:pPr>
        <w:ind w:left="660" w:right="280" w:firstLine="716"/>
        <w:spacing w:after="0" w:line="257" w:lineRule="auto"/>
        <w:tabs>
          <w:tab w:leader="none" w:pos="2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MATTERS. The Company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 upon the capital expenditures, earnings or competitive position of the Company. The Company does not currently anticipate making any material capital expenditures for environmental control facilities during fiscal 2002.</w:t>
      </w:r>
    </w:p>
    <w:p>
      <w:pPr>
        <w:spacing w:after="0" w:line="188" w:lineRule="exact"/>
        <w:rPr>
          <w:rFonts w:ascii="Arial" w:cs="Arial" w:eastAsia="Arial" w:hAnsi="Arial"/>
          <w:sz w:val="18"/>
          <w:szCs w:val="18"/>
          <w:color w:val="auto"/>
        </w:rPr>
      </w:pPr>
    </w:p>
    <w:p>
      <w:pPr>
        <w:ind w:left="2140" w:hanging="764"/>
        <w:spacing w:after="0"/>
        <w:tabs>
          <w:tab w:leader="none" w:pos="2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EMPLOYEES. The number of persons employed by the Company as of September 30, 2001 was 200.</w:t>
      </w:r>
    </w:p>
    <w:p>
      <w:pPr>
        <w:spacing w:after="0" w:line="200" w:lineRule="exact"/>
        <w:rPr>
          <w:sz w:val="20"/>
          <w:szCs w:val="20"/>
          <w:color w:val="auto"/>
        </w:rPr>
      </w:pPr>
    </w:p>
    <w:p>
      <w:pPr>
        <w:spacing w:after="0" w:line="241" w:lineRule="exact"/>
        <w:rPr>
          <w:sz w:val="20"/>
          <w:szCs w:val="20"/>
          <w:color w:val="auto"/>
        </w:rPr>
      </w:pPr>
    </w:p>
    <w:p>
      <w:pPr>
        <w:ind w:right="160" w:firstLine="728"/>
        <w:spacing w:after="0" w:line="264" w:lineRule="auto"/>
        <w:tabs>
          <w:tab w:leader="none" w:pos="142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INFORMATION ABOUT FOREIGN AND DOMESTIC OPERATIONS AND EXPORT SALES. Because the Company deals primarily in one geographic area of the United States, a breakdown of sales, profitability or assets attributable to different geographic areas is not meaningful to an understanding of the Company's business.</w:t>
      </w:r>
    </w:p>
    <w:p>
      <w:pPr>
        <w:spacing w:after="0" w:line="18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25" w:lineRule="exact"/>
        <w:rPr>
          <w:sz w:val="20"/>
          <w:szCs w:val="20"/>
          <w:color w:val="auto"/>
        </w:rPr>
      </w:pPr>
    </w:p>
    <w:p>
      <w:pPr>
        <w:ind w:right="40" w:firstLine="720"/>
        <w:spacing w:after="0" w:line="302" w:lineRule="auto"/>
        <w:rPr>
          <w:sz w:val="20"/>
          <w:szCs w:val="20"/>
          <w:color w:val="auto"/>
        </w:rPr>
      </w:pPr>
      <w:r>
        <w:rPr>
          <w:rFonts w:ascii="Arial" w:cs="Arial" w:eastAsia="Arial" w:hAnsi="Arial"/>
          <w:sz w:val="16"/>
          <w:szCs w:val="16"/>
          <w:color w:val="auto"/>
        </w:rPr>
        <w:t>The Company owns its principal location, which consists of approximately eleven acres of land in Minneapolis, Minnesota, with six buildings containing a total of 160,000 square feet of office and warehouse space. The Company’s principal office is located in one of these buildings, at 3100 East Hennepin Avenue. The other buildings house the rest of the Company’s operations. As of the date hereof, the Company has installed sprinkler systems in substantially all of its warehouse facilities for fire protection. The Company carries insurance covering the replacement of property damaged by fire or flood.</w:t>
      </w:r>
    </w:p>
    <w:p>
      <w:pPr>
        <w:spacing w:after="0" w:line="154" w:lineRule="exact"/>
        <w:rPr>
          <w:sz w:val="20"/>
          <w:szCs w:val="20"/>
          <w:color w:val="auto"/>
        </w:rPr>
      </w:pPr>
    </w:p>
    <w:p>
      <w:pPr>
        <w:ind w:right="20" w:firstLine="720"/>
        <w:spacing w:after="0" w:line="276" w:lineRule="auto"/>
        <w:rPr>
          <w:sz w:val="20"/>
          <w:szCs w:val="20"/>
          <w:color w:val="auto"/>
        </w:rPr>
      </w:pPr>
      <w:r>
        <w:rPr>
          <w:rFonts w:ascii="Arial" w:cs="Arial" w:eastAsia="Arial" w:hAnsi="Arial"/>
          <w:sz w:val="17"/>
          <w:szCs w:val="17"/>
          <w:color w:val="auto"/>
        </w:rPr>
        <w:t>As noted above, during the first quarter of fiscal 2001 the Company completed the new Red Rock facility in St. Paul, Minnesota. The Red Rock facility consists of a 59,000 square foot building located on approximately 10 acres of land. The new facility has outside storage capacity of approximately 1.5 million gallons for the storage of liquid caustic soda, as well as numerous smaller tanks for storing and mixing chemicals. The land is leased from the Port Authority of the City of St. Paul, Minnesota for a basic rent plus an amount based on the annual tonnage unloaded at the site through May 31, 2029. The basic rent and annual tonnage rent are to be renegotiated every five years beginning June 1, 2004.</w:t>
      </w:r>
    </w:p>
    <w:p>
      <w:pPr>
        <w:spacing w:after="0" w:line="173" w:lineRule="exact"/>
        <w:rPr>
          <w:sz w:val="20"/>
          <w:szCs w:val="20"/>
          <w:color w:val="auto"/>
        </w:rPr>
      </w:pPr>
    </w:p>
    <w:p>
      <w:pPr>
        <w:ind w:right="400" w:firstLine="720"/>
        <w:spacing w:after="0" w:line="308" w:lineRule="auto"/>
        <w:rPr>
          <w:sz w:val="20"/>
          <w:szCs w:val="20"/>
          <w:color w:val="auto"/>
        </w:rPr>
      </w:pPr>
      <w:r>
        <w:rPr>
          <w:rFonts w:ascii="Arial" w:cs="Arial" w:eastAsia="Arial" w:hAnsi="Arial"/>
          <w:sz w:val="17"/>
          <w:szCs w:val="17"/>
          <w:color w:val="auto"/>
        </w:rPr>
        <w:t>In addition to the facilities described above, the Company’s other facilities are described below. These facilities, together with those described above, are adequate and suitable for the purposes they serve. Unless noted, each facility is owned and is fully utilized by the Company.</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Approx.</w:t>
            </w:r>
          </w:p>
        </w:tc>
      </w:tr>
      <w:tr>
        <w:trPr>
          <w:trHeight w:val="234"/>
        </w:trPr>
        <w:tc>
          <w:tcPr>
            <w:tcW w:w="2280" w:type="dxa"/>
            <w:vAlign w:val="bottom"/>
            <w:gridSpan w:val="2"/>
          </w:tcPr>
          <w:p>
            <w:pPr>
              <w:ind w:left="680"/>
              <w:spacing w:after="0"/>
              <w:rPr>
                <w:sz w:val="20"/>
                <w:szCs w:val="20"/>
                <w:color w:val="auto"/>
              </w:rPr>
            </w:pPr>
            <w:r>
              <w:rPr>
                <w:rFonts w:ascii="Arial" w:cs="Arial" w:eastAsia="Arial" w:hAnsi="Arial"/>
                <w:sz w:val="18"/>
                <w:szCs w:val="18"/>
                <w:b w:val="1"/>
                <w:bCs w:val="1"/>
                <w:color w:val="auto"/>
              </w:rPr>
              <w:t>Segment</w:t>
            </w:r>
          </w:p>
        </w:tc>
        <w:tc>
          <w:tcPr>
            <w:tcW w:w="2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Location</w:t>
            </w:r>
          </w:p>
        </w:tc>
        <w:tc>
          <w:tcPr>
            <w:tcW w:w="3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Primary Use</w:t>
            </w:r>
          </w:p>
        </w:tc>
        <w:tc>
          <w:tcPr>
            <w:tcW w:w="1600" w:type="dxa"/>
            <w:vAlign w:val="bottom"/>
          </w:tcPr>
          <w:p>
            <w:pPr>
              <w:jc w:val="right"/>
              <w:ind w:right="250"/>
              <w:spacing w:after="0"/>
              <w:rPr>
                <w:sz w:val="20"/>
                <w:szCs w:val="20"/>
                <w:color w:val="auto"/>
              </w:rPr>
            </w:pPr>
            <w:r>
              <w:rPr>
                <w:rFonts w:ascii="Arial" w:cs="Arial" w:eastAsia="Arial" w:hAnsi="Arial"/>
                <w:sz w:val="18"/>
                <w:szCs w:val="18"/>
                <w:b w:val="1"/>
                <w:bCs w:val="1"/>
                <w:color w:val="auto"/>
              </w:rPr>
              <w:t>Square Feet</w:t>
            </w:r>
          </w:p>
        </w:tc>
      </w:tr>
      <w:tr>
        <w:trPr>
          <w:trHeight w:val="210"/>
        </w:trPr>
        <w:tc>
          <w:tcPr>
            <w:tcW w:w="2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St. Paul, MN(1)</w:t>
            </w:r>
          </w:p>
        </w:tc>
        <w:tc>
          <w:tcPr>
            <w:tcW w:w="3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Office, Warehouse and Garage</w:t>
            </w: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32,000</w:t>
            </w: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 Paul, MN(2)</w:t>
            </w:r>
          </w:p>
        </w:tc>
        <w:tc>
          <w:tcPr>
            <w:tcW w:w="36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Office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3,000</w:t>
            </w: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Fargo, ND(3)</w:t>
            </w:r>
          </w:p>
        </w:tc>
        <w:tc>
          <w:tcPr>
            <w:tcW w:w="3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22,800</w:t>
            </w: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Fond du Lac, WI(4)</w:t>
            </w:r>
          </w:p>
        </w:tc>
        <w:tc>
          <w:tcPr>
            <w:tcW w:w="36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Warehouse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20,300</w:t>
            </w:r>
          </w:p>
        </w:tc>
      </w:tr>
      <w:tr>
        <w:trPr>
          <w:trHeight w:val="216"/>
        </w:trPr>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Washburn, ND</w:t>
            </w:r>
          </w:p>
        </w:tc>
        <w:tc>
          <w:tcPr>
            <w:tcW w:w="3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14,000</w:t>
            </w: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rPr>
              <w:t>Billings, MT</w:t>
            </w:r>
          </w:p>
        </w:tc>
        <w:tc>
          <w:tcPr>
            <w:tcW w:w="36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Office and Warehouse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6,000</w:t>
            </w:r>
          </w:p>
        </w:tc>
      </w:tr>
      <w:tr>
        <w:trPr>
          <w:trHeight w:val="216"/>
        </w:trPr>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Sioux Falls, SD(5)</w:t>
            </w:r>
          </w:p>
        </w:tc>
        <w:tc>
          <w:tcPr>
            <w:tcW w:w="3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4"/>
              </w:rPr>
              <w:t>Warehouse</w:t>
            </w: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18,000</w:t>
            </w: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Rapid City, SD</w:t>
            </w:r>
          </w:p>
        </w:tc>
        <w:tc>
          <w:tcPr>
            <w:tcW w:w="36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Warehouse</w:t>
            </w:r>
          </w:p>
        </w:tc>
        <w:tc>
          <w:tcPr>
            <w:tcW w:w="1600" w:type="dxa"/>
            <w:vAlign w:val="bottom"/>
          </w:tcPr>
          <w:p>
            <w:pPr>
              <w:jc w:val="right"/>
              <w:ind w:right="310"/>
              <w:spacing w:after="0"/>
              <w:rPr>
                <w:sz w:val="20"/>
                <w:szCs w:val="20"/>
                <w:color w:val="auto"/>
              </w:rPr>
            </w:pPr>
            <w:r>
              <w:rPr>
                <w:rFonts w:ascii="Arial" w:cs="Arial" w:eastAsia="Arial" w:hAnsi="Arial"/>
                <w:sz w:val="18"/>
                <w:szCs w:val="18"/>
                <w:color w:val="auto"/>
              </w:rPr>
              <w:t>3,600</w:t>
            </w:r>
          </w:p>
        </w:tc>
      </w:tr>
      <w:tr>
        <w:trPr>
          <w:trHeight w:val="124"/>
        </w:trPr>
        <w:tc>
          <w:tcPr>
            <w:tcW w:w="20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3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r>
    </w:tbl>
    <w:p>
      <w:pPr>
        <w:sectPr>
          <w:pgSz w:w="11900" w:h="16900" w:orient="portrait"/>
          <w:cols w:equalWidth="0" w:num="1">
            <w:col w:w="11400"/>
          </w:cols>
          <w:pgMar w:left="240" w:top="125" w:right="25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6"/>
              </w:rPr>
              <w:t>Willow Springs, IL(2)</w:t>
            </w:r>
          </w:p>
        </w:tc>
        <w:tc>
          <w:tcPr>
            <w:tcW w:w="3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Warehouse</w:t>
            </w:r>
          </w:p>
        </w:tc>
        <w:tc>
          <w:tcPr>
            <w:tcW w:w="1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2,000</w:t>
            </w: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20" w:type="dxa"/>
            <w:vAlign w:val="bottom"/>
          </w:tcPr>
          <w:p>
            <w:pPr>
              <w:jc w:val="center"/>
              <w:ind w:right="170"/>
              <w:spacing w:after="0"/>
              <w:rPr>
                <w:sz w:val="20"/>
                <w:szCs w:val="20"/>
                <w:color w:val="auto"/>
              </w:rPr>
            </w:pPr>
            <w:r>
              <w:rPr>
                <w:rFonts w:ascii="Arial" w:cs="Arial" w:eastAsia="Arial" w:hAnsi="Arial"/>
                <w:sz w:val="18"/>
                <w:szCs w:val="18"/>
                <w:color w:val="auto"/>
                <w:w w:val="93"/>
              </w:rPr>
              <w:t>Superior, WI</w:t>
            </w:r>
          </w:p>
        </w:tc>
        <w:tc>
          <w:tcPr>
            <w:tcW w:w="3320" w:type="dxa"/>
            <w:vAlign w:val="bottom"/>
          </w:tcPr>
          <w:p>
            <w:pPr>
              <w:jc w:val="center"/>
              <w:ind w:right="30"/>
              <w:spacing w:after="0"/>
              <w:rPr>
                <w:sz w:val="20"/>
                <w:szCs w:val="20"/>
                <w:color w:val="auto"/>
              </w:rPr>
            </w:pPr>
            <w:r>
              <w:rPr>
                <w:rFonts w:ascii="Arial" w:cs="Arial" w:eastAsia="Arial" w:hAnsi="Arial"/>
                <w:sz w:val="18"/>
                <w:szCs w:val="18"/>
                <w:color w:val="auto"/>
                <w:w w:val="89"/>
              </w:rPr>
              <w:t>Office and Warehouse</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17,000</w:t>
            </w:r>
          </w:p>
        </w:tc>
      </w:tr>
      <w:tr>
        <w:trPr>
          <w:trHeight w:val="216"/>
        </w:trPr>
        <w:tc>
          <w:tcPr>
            <w:tcW w:w="66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92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4"/>
              </w:rPr>
              <w:t>Slater, IA</w:t>
            </w:r>
          </w:p>
        </w:tc>
        <w:tc>
          <w:tcPr>
            <w:tcW w:w="33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4"/>
              </w:rPr>
              <w:t>Warehouse</w:t>
            </w:r>
          </w:p>
        </w:tc>
        <w:tc>
          <w:tcPr>
            <w:tcW w:w="1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8,700</w:t>
            </w:r>
          </w:p>
        </w:tc>
      </w:tr>
      <w:tr>
        <w:trPr>
          <w:trHeight w:val="95"/>
        </w:trPr>
        <w:tc>
          <w:tcPr>
            <w:tcW w:w="6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800" w:type="dxa"/>
            <w:vAlign w:val="bottom"/>
          </w:tcPr>
          <w:p>
            <w:pPr>
              <w:spacing w:after="0"/>
              <w:rPr>
                <w:sz w:val="8"/>
                <w:szCs w:val="8"/>
                <w:color w:val="auto"/>
              </w:rPr>
            </w:pPr>
          </w:p>
        </w:tc>
      </w:tr>
    </w:tbl>
    <w:p>
      <w:pPr>
        <w:spacing w:after="0" w:line="67" w:lineRule="exact"/>
        <w:rPr>
          <w:sz w:val="20"/>
          <w:szCs w:val="20"/>
          <w:color w:val="auto"/>
        </w:rPr>
      </w:pPr>
    </w:p>
    <w:p>
      <w:pPr>
        <w:ind w:left="520" w:firstLine="142"/>
        <w:spacing w:after="0" w:line="272" w:lineRule="auto"/>
        <w:tabs>
          <w:tab w:leader="none" w:pos="1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terminal operations are located at two sites on opposite sides of the Mississippi River, made up of three buildings, nine outside storage tanks with a total capacity of approximately 8,900,000 gallons for the storage of liquid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31, 2003, at which time the Company has an option to renew the leases for an additional five-year period on the same terms and conditions subject to renegotiation of rent. The Company also has options to renew these leases for additional successive five-year renewal periods (extending until 2018) for which the rent may be adjusted pursuant to the rental renegotiation provisions contained in the leases.</w:t>
      </w:r>
    </w:p>
    <w:p>
      <w:pPr>
        <w:spacing w:after="0" w:line="177" w:lineRule="exact"/>
        <w:rPr>
          <w:rFonts w:ascii="Arial" w:cs="Arial" w:eastAsia="Arial" w:hAnsi="Arial"/>
          <w:sz w:val="17"/>
          <w:szCs w:val="17"/>
          <w:color w:val="auto"/>
        </w:rPr>
      </w:pPr>
    </w:p>
    <w:p>
      <w:pPr>
        <w:ind w:left="1360" w:hanging="699"/>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225" w:lineRule="exact"/>
        <w:rPr>
          <w:rFonts w:ascii="Arial" w:cs="Arial" w:eastAsia="Arial" w:hAnsi="Arial"/>
          <w:sz w:val="18"/>
          <w:szCs w:val="18"/>
          <w:color w:val="auto"/>
        </w:rPr>
      </w:pPr>
    </w:p>
    <w:p>
      <w:pPr>
        <w:ind w:left="1360" w:hanging="698"/>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 of this facility is leased to a third party (5,000 square feet).</w:t>
      </w:r>
    </w:p>
    <w:p>
      <w:pPr>
        <w:spacing w:after="0" w:line="225" w:lineRule="exact"/>
        <w:rPr>
          <w:rFonts w:ascii="Arial" w:cs="Arial" w:eastAsia="Arial" w:hAnsi="Arial"/>
          <w:sz w:val="18"/>
          <w:szCs w:val="18"/>
          <w:color w:val="auto"/>
        </w:rPr>
      </w:pPr>
    </w:p>
    <w:p>
      <w:pPr>
        <w:ind w:left="1360" w:hanging="698"/>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 of this facility is leased to third parties (10,000 square feet).</w:t>
      </w:r>
    </w:p>
    <w:p>
      <w:pPr>
        <w:spacing w:after="0" w:line="225" w:lineRule="exact"/>
        <w:rPr>
          <w:rFonts w:ascii="Arial" w:cs="Arial" w:eastAsia="Arial" w:hAnsi="Arial"/>
          <w:sz w:val="18"/>
          <w:szCs w:val="18"/>
          <w:color w:val="auto"/>
        </w:rPr>
      </w:pPr>
    </w:p>
    <w:p>
      <w:pPr>
        <w:ind w:left="1360" w:hanging="698"/>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 of this facility is leased to a third party (6,000 square feet).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owns several trucks, tractors, trailers and vans.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25" w:lineRule="exact"/>
        <w:rPr>
          <w:sz w:val="20"/>
          <w:szCs w:val="20"/>
          <w:color w:val="auto"/>
        </w:rPr>
      </w:pPr>
    </w:p>
    <w:p>
      <w:pPr>
        <w:ind w:right="200" w:firstLine="720"/>
        <w:spacing w:after="0" w:line="277" w:lineRule="auto"/>
        <w:rPr>
          <w:sz w:val="20"/>
          <w:szCs w:val="20"/>
          <w:color w:val="auto"/>
        </w:rPr>
      </w:pPr>
      <w:r>
        <w:rPr>
          <w:rFonts w:ascii="Arial" w:cs="Arial" w:eastAsia="Arial" w:hAnsi="Arial"/>
          <w:sz w:val="18"/>
          <w:szCs w:val="18"/>
          <w:color w:val="auto"/>
        </w:rPr>
        <w:t>As of the date of this filing, the Company is not involved in any pending legal proceeding other than ordinary routine litigation incidental to their business, except as follows:</w:t>
      </w:r>
    </w:p>
    <w:p>
      <w:pPr>
        <w:spacing w:after="0" w:line="170" w:lineRule="exact"/>
        <w:rPr>
          <w:sz w:val="20"/>
          <w:szCs w:val="20"/>
          <w:color w:val="auto"/>
        </w:rPr>
      </w:pPr>
    </w:p>
    <w:p>
      <w:pPr>
        <w:ind w:right="120" w:firstLine="1440"/>
        <w:spacing w:after="0" w:line="293" w:lineRule="auto"/>
        <w:rPr>
          <w:sz w:val="20"/>
          <w:szCs w:val="20"/>
          <w:color w:val="auto"/>
        </w:rPr>
      </w:pPr>
      <w:r>
        <w:rPr>
          <w:rFonts w:ascii="Arial" w:cs="Arial" w:eastAsia="Arial" w:hAnsi="Arial"/>
          <w:sz w:val="16"/>
          <w:szCs w:val="16"/>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Three claimants remain who have not yet resolved their claims under the Settlement Agreement. The Company anticipates that the defense and payment of these remaining claims, which are subject to arbitration, will be covered by its umbrella insurer.</w:t>
      </w:r>
    </w:p>
    <w:p>
      <w:pPr>
        <w:spacing w:after="0" w:line="16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SUBMISSION OF MATTERS TO A VOTE OF SECURITY HOLDERS.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matter was submitted to a vote of security holders during the fourth quarter of fiscal 2001.</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4A.</w:t>
      </w:r>
      <w:r>
        <w:rPr>
          <w:sz w:val="20"/>
          <w:szCs w:val="20"/>
          <w:color w:val="auto"/>
        </w:rPr>
        <w:tab/>
      </w:r>
      <w:r>
        <w:rPr>
          <w:rFonts w:ascii="Arial" w:cs="Arial" w:eastAsia="Arial" w:hAnsi="Arial"/>
          <w:sz w:val="17"/>
          <w:szCs w:val="17"/>
          <w:color w:val="auto"/>
        </w:rPr>
        <w:t>EXECUTIVE OFFICERS OF THE COMPANY.</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executive officers of the Company, their ages and offices held, as of December 14, 2001 are set forth below:</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8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5740" w:type="dxa"/>
            <w:vAlign w:val="bottom"/>
          </w:tcPr>
          <w:p>
            <w:pPr>
              <w:ind w:left="2640"/>
              <w:spacing w:after="0"/>
              <w:rPr>
                <w:sz w:val="20"/>
                <w:szCs w:val="20"/>
                <w:color w:val="auto"/>
              </w:rPr>
            </w:pPr>
            <w:r>
              <w:rPr>
                <w:rFonts w:ascii="Arial" w:cs="Arial" w:eastAsia="Arial" w:hAnsi="Arial"/>
                <w:sz w:val="18"/>
                <w:szCs w:val="18"/>
                <w:b w:val="1"/>
                <w:bCs w:val="1"/>
                <w:color w:val="auto"/>
              </w:rPr>
              <w:t>Office</w:t>
            </w:r>
          </w:p>
        </w:tc>
      </w:tr>
      <w:tr>
        <w:trPr>
          <w:trHeight w:val="210"/>
        </w:trPr>
        <w:tc>
          <w:tcPr>
            <w:tcW w:w="2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Kurt R. Norman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Marvin E. Dee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Chief Financial Officer, Secretary, and Treasurer</w:t>
            </w:r>
          </w:p>
        </w:tc>
      </w:tr>
      <w:tr>
        <w:trPr>
          <w:trHeight w:val="216"/>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Water Treatment Group</w:t>
            </w:r>
          </w:p>
        </w:tc>
      </w:tr>
      <w:tr>
        <w:trPr>
          <w:trHeight w:val="216"/>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Manufacturing and Specialty Products</w:t>
            </w:r>
          </w:p>
        </w:tc>
      </w:tr>
      <w:tr>
        <w:trPr>
          <w:trHeight w:val="216"/>
        </w:trPr>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40" w:type="dxa"/>
            <w:vAlign w:val="bottom"/>
          </w:tcPr>
          <w:p>
            <w:pPr>
              <w:spacing w:after="0"/>
              <w:rPr>
                <w:sz w:val="18"/>
                <w:szCs w:val="18"/>
                <w:color w:val="auto"/>
              </w:rPr>
            </w:pP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2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Pharmaceuticals</w:t>
            </w:r>
          </w:p>
        </w:tc>
      </w:tr>
    </w:tbl>
    <w:p>
      <w:pPr>
        <w:spacing w:after="0" w:line="202" w:lineRule="exact"/>
        <w:rPr>
          <w:sz w:val="20"/>
          <w:szCs w:val="20"/>
          <w:color w:val="auto"/>
        </w:rPr>
      </w:pPr>
    </w:p>
    <w:p>
      <w:pPr>
        <w:ind w:right="100" w:firstLine="720"/>
        <w:spacing w:after="0" w:line="264" w:lineRule="auto"/>
        <w:rPr>
          <w:sz w:val="20"/>
          <w:szCs w:val="20"/>
          <w:color w:val="auto"/>
        </w:rPr>
      </w:pPr>
      <w:r>
        <w:rPr>
          <w:rFonts w:ascii="Arial" w:cs="Arial" w:eastAsia="Arial" w:hAnsi="Arial"/>
          <w:sz w:val="18"/>
          <w:szCs w:val="18"/>
          <w:color w:val="auto"/>
        </w:rPr>
        <w:t>John R. Hawkins has been the Company’s Chairman and Chief Executive Officer since February 16, 2000. He was President and Chief Operating Officer from December 1998 to February 2000 and was Secretary from 1991 to December 1999. He was an Executive Vice President from 1997 to December 1998 and Vice President of Sales from 1987 to 1997.</w:t>
      </w:r>
    </w:p>
    <w:p>
      <w:pPr>
        <w:spacing w:after="0" w:line="181" w:lineRule="exact"/>
        <w:rPr>
          <w:sz w:val="20"/>
          <w:szCs w:val="20"/>
          <w:color w:val="auto"/>
        </w:rPr>
      </w:pPr>
    </w:p>
    <w:p>
      <w:pPr>
        <w:ind w:right="20" w:firstLine="720"/>
        <w:spacing w:after="0" w:line="264" w:lineRule="auto"/>
        <w:rPr>
          <w:sz w:val="20"/>
          <w:szCs w:val="20"/>
          <w:color w:val="auto"/>
        </w:rPr>
      </w:pPr>
      <w:r>
        <w:rPr>
          <w:rFonts w:ascii="Arial" w:cs="Arial" w:eastAsia="Arial" w:hAnsi="Arial"/>
          <w:sz w:val="18"/>
          <w:szCs w:val="18"/>
          <w:color w:val="auto"/>
        </w:rPr>
        <w:t>Kurt R. Norman has been the Company’s President and Chief Operating Officer since February 16, 2000. He was a Vice President of the Company from February 1999 until February 2000, the Vice President of the Water Treatment segment from 1996 to February 1999 and was the Water Treatment General Manager from 1988 to 1996.</w:t>
      </w:r>
    </w:p>
    <w:p>
      <w:pPr>
        <w:spacing w:after="0" w:line="181" w:lineRule="exact"/>
        <w:rPr>
          <w:sz w:val="20"/>
          <w:szCs w:val="20"/>
          <w:color w:val="auto"/>
        </w:rPr>
      </w:pPr>
    </w:p>
    <w:p>
      <w:pPr>
        <w:ind w:right="300" w:firstLine="720"/>
        <w:spacing w:after="0" w:line="259" w:lineRule="auto"/>
        <w:rPr>
          <w:sz w:val="20"/>
          <w:szCs w:val="20"/>
          <w:color w:val="auto"/>
        </w:rPr>
      </w:pPr>
      <w:r>
        <w:rPr>
          <w:rFonts w:ascii="Arial" w:cs="Arial" w:eastAsia="Arial" w:hAnsi="Arial"/>
          <w:sz w:val="18"/>
          <w:szCs w:val="18"/>
          <w:color w:val="auto"/>
        </w:rPr>
        <w:t>Marvin E. Dee has been the Company’s Vice President and Chief Financial Officer since September 1999 and its Secretary and Treasurer since December 1999. He was the Chief Financial Officer of Nath Companies from 1997 to September 1999, the Vice President of Finance and Treasurer of Tricord Systems, Inc. from 1993 to 1997 and Senior Director of Accounting of NordicTrack, Inc. in 1993 and the Controller of NordicTrack from 1991 to 1992.</w:t>
      </w:r>
    </w:p>
    <w:p>
      <w:pPr>
        <w:spacing w:after="0" w:line="187" w:lineRule="exact"/>
        <w:rPr>
          <w:sz w:val="20"/>
          <w:szCs w:val="20"/>
          <w:color w:val="auto"/>
        </w:rPr>
      </w:pPr>
    </w:p>
    <w:p>
      <w:pPr>
        <w:ind w:right="60" w:firstLine="720"/>
        <w:spacing w:after="0" w:line="308" w:lineRule="auto"/>
        <w:rPr>
          <w:sz w:val="20"/>
          <w:szCs w:val="20"/>
          <w:color w:val="auto"/>
        </w:rPr>
      </w:pPr>
      <w:r>
        <w:rPr>
          <w:rFonts w:ascii="Arial" w:cs="Arial" w:eastAsia="Arial" w:hAnsi="Arial"/>
          <w:sz w:val="17"/>
          <w:szCs w:val="17"/>
          <w:color w:val="auto"/>
        </w:rPr>
        <w:t>Keenan A. Paulson has been the Company’s Vice President - Water Treatment Group since May 2000. Prior to attaining this position, Ms. Paulson held various positions during her 30-year career with the Company, most recently as its Water Treatment General Manager.</w:t>
      </w:r>
    </w:p>
    <w:p>
      <w:pPr>
        <w:spacing w:after="0" w:line="147" w:lineRule="exact"/>
        <w:rPr>
          <w:sz w:val="20"/>
          <w:szCs w:val="20"/>
          <w:color w:val="auto"/>
        </w:rPr>
      </w:pPr>
    </w:p>
    <w:p>
      <w:pPr>
        <w:ind w:right="420" w:firstLine="720"/>
        <w:spacing w:after="0" w:line="277" w:lineRule="auto"/>
        <w:rPr>
          <w:sz w:val="20"/>
          <w:szCs w:val="20"/>
          <w:color w:val="auto"/>
        </w:rPr>
      </w:pPr>
      <w:r>
        <w:rPr>
          <w:rFonts w:ascii="Arial" w:cs="Arial" w:eastAsia="Arial" w:hAnsi="Arial"/>
          <w:sz w:val="18"/>
          <w:szCs w:val="18"/>
          <w:color w:val="auto"/>
        </w:rPr>
        <w:t>John R. Sevenich has been the Company’s Vice President - Manufacturing and Specialty Products since May 2000. He was the Business Unit Manager of Manufacturing from 1998 to May 2000 and was a Sales Representative with the Company from 1989 to 1998.</w:t>
      </w:r>
    </w:p>
    <w:p>
      <w:pPr>
        <w:sectPr>
          <w:pgSz w:w="11900" w:h="16838" w:orient="portrait"/>
          <w:cols w:equalWidth="0" w:num="1">
            <w:col w:w="11380"/>
          </w:cols>
          <w:pgMar w:left="240" w:top="140" w:right="279" w:bottom="126" w:gutter="0" w:footer="0" w:header="0"/>
        </w:sectPr>
      </w:pPr>
    </w:p>
    <w:bookmarkStart w:id="4" w:name="page5"/>
    <w:bookmarkEnd w:id="4"/>
    <w:p>
      <w:pPr>
        <w:ind w:right="900" w:firstLine="720"/>
        <w:spacing w:after="0" w:line="308" w:lineRule="auto"/>
        <w:rPr>
          <w:sz w:val="20"/>
          <w:szCs w:val="20"/>
          <w:color w:val="auto"/>
        </w:rPr>
      </w:pPr>
      <w:r>
        <w:rPr>
          <w:rFonts w:ascii="Arial" w:cs="Arial" w:eastAsia="Arial" w:hAnsi="Arial"/>
          <w:sz w:val="17"/>
          <w:szCs w:val="17"/>
          <w:color w:val="auto"/>
        </w:rPr>
        <w:t>Daniel E. Soderlund has been the Company’s Vice President - Pharmaceuticals since May 2000. He was the Business Unit Manager of Pharmaceuticals from April 1999 to May 2000 and was a Sales Representative with the Company from 1992 to April 1999.</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MARKET FOR THE REGISTRANT'S COMMON EQUITY AND RELATED SHAREHOLDER MATTERS.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Quarterly Stock Data</w:t>
            </w:r>
          </w:p>
        </w:tc>
        <w:tc>
          <w:tcPr>
            <w:tcW w:w="230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High</w:t>
            </w:r>
          </w:p>
        </w:tc>
        <w:tc>
          <w:tcPr>
            <w:tcW w:w="34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r>
      <w:tr>
        <w:trPr>
          <w:trHeight w:val="210"/>
        </w:trPr>
        <w:tc>
          <w:tcPr>
            <w:tcW w:w="372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Fiscal 2001</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540"/>
              <w:spacing w:after="0"/>
              <w:rPr>
                <w:sz w:val="20"/>
                <w:szCs w:val="20"/>
                <w:color w:val="auto"/>
              </w:rPr>
            </w:pPr>
            <w:r>
              <w:rPr>
                <w:rFonts w:ascii="Arial" w:cs="Arial" w:eastAsia="Arial" w:hAnsi="Arial"/>
                <w:sz w:val="18"/>
                <w:szCs w:val="18"/>
                <w:color w:val="auto"/>
              </w:rPr>
              <w:t>4th Quarter</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8.900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7.080</w:t>
            </w: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3rd Quarter</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540"/>
              <w:spacing w:after="0"/>
              <w:rPr>
                <w:sz w:val="20"/>
                <w:szCs w:val="20"/>
                <w:color w:val="auto"/>
              </w:rPr>
            </w:pPr>
            <w:r>
              <w:rPr>
                <w:rFonts w:ascii="Arial" w:cs="Arial" w:eastAsia="Arial" w:hAnsi="Arial"/>
                <w:sz w:val="18"/>
                <w:szCs w:val="18"/>
                <w:color w:val="auto"/>
              </w:rPr>
              <w:t>2nd Quarter</w:t>
            </w:r>
          </w:p>
        </w:tc>
        <w:tc>
          <w:tcPr>
            <w:tcW w:w="2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8.375</w:t>
            </w: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1st Quarter</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Fiscal 2000</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540"/>
              <w:spacing w:after="0"/>
              <w:rPr>
                <w:sz w:val="20"/>
                <w:szCs w:val="20"/>
                <w:color w:val="auto"/>
              </w:rPr>
            </w:pPr>
            <w:r>
              <w:rPr>
                <w:rFonts w:ascii="Arial" w:cs="Arial" w:eastAsia="Arial" w:hAnsi="Arial"/>
                <w:sz w:val="18"/>
                <w:szCs w:val="18"/>
                <w:color w:val="auto"/>
              </w:rPr>
              <w:t>4th Quarter</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8.063</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7.250</w:t>
            </w: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3rd Quarter</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540"/>
              <w:spacing w:after="0"/>
              <w:rPr>
                <w:sz w:val="20"/>
                <w:szCs w:val="20"/>
                <w:color w:val="auto"/>
              </w:rPr>
            </w:pPr>
            <w:r>
              <w:rPr>
                <w:rFonts w:ascii="Arial" w:cs="Arial" w:eastAsia="Arial" w:hAnsi="Arial"/>
                <w:sz w:val="18"/>
                <w:szCs w:val="18"/>
                <w:color w:val="auto"/>
              </w:rPr>
              <w:t>2nd Quarter</w:t>
            </w:r>
          </w:p>
        </w:tc>
        <w:tc>
          <w:tcPr>
            <w:tcW w:w="2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7.625</w:t>
            </w: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1st Quarter</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180" w:type="dxa"/>
            <w:vAlign w:val="bottom"/>
            <w:shd w:val="clear" w:color="auto" w:fill="CCEEFF"/>
          </w:tcPr>
          <w:p>
            <w:pPr>
              <w:spacing w:after="0"/>
              <w:rPr>
                <w:sz w:val="18"/>
                <w:szCs w:val="18"/>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b w:val="1"/>
                <w:bCs w:val="1"/>
                <w:color w:val="auto"/>
              </w:rPr>
              <w:t>Cash Dividends</w:t>
            </w:r>
          </w:p>
        </w:tc>
        <w:tc>
          <w:tcPr>
            <w:tcW w:w="2300" w:type="dxa"/>
            <w:vAlign w:val="bottom"/>
          </w:tcPr>
          <w:p>
            <w:pPr>
              <w:spacing w:after="0"/>
              <w:rPr>
                <w:sz w:val="24"/>
                <w:szCs w:val="2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Declared</w:t>
            </w:r>
          </w:p>
        </w:tc>
        <w:tc>
          <w:tcPr>
            <w:tcW w:w="34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Paid</w:t>
            </w:r>
          </w:p>
        </w:tc>
      </w:tr>
      <w:tr>
        <w:trPr>
          <w:trHeight w:val="210"/>
        </w:trPr>
        <w:tc>
          <w:tcPr>
            <w:tcW w:w="372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Fiscal 2002</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3720" w:type="dxa"/>
            <w:vAlign w:val="bottom"/>
          </w:tcPr>
          <w:p>
            <w:pPr>
              <w:ind w:left="540"/>
              <w:spacing w:after="0"/>
              <w:rPr>
                <w:sz w:val="20"/>
                <w:szCs w:val="20"/>
                <w:color w:val="auto"/>
              </w:rPr>
            </w:pPr>
            <w:r>
              <w:rPr>
                <w:rFonts w:ascii="Arial" w:cs="Arial" w:eastAsia="Arial" w:hAnsi="Arial"/>
                <w:sz w:val="18"/>
                <w:szCs w:val="18"/>
                <w:color w:val="auto"/>
              </w:rPr>
              <w:t>1st Quarter</w:t>
            </w:r>
          </w:p>
        </w:tc>
        <w:tc>
          <w:tcPr>
            <w:tcW w:w="2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r>
      <w:tr>
        <w:trPr>
          <w:trHeight w:val="202"/>
        </w:trPr>
        <w:tc>
          <w:tcPr>
            <w:tcW w:w="3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Fiscal 2001</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540"/>
              <w:spacing w:after="0"/>
              <w:rPr>
                <w:sz w:val="20"/>
                <w:szCs w:val="20"/>
                <w:color w:val="auto"/>
              </w:rPr>
            </w:pPr>
            <w:r>
              <w:rPr>
                <w:rFonts w:ascii="Arial" w:cs="Arial" w:eastAsia="Arial" w:hAnsi="Arial"/>
                <w:sz w:val="18"/>
                <w:szCs w:val="18"/>
                <w:color w:val="auto"/>
              </w:rPr>
              <w:t>4th Quarter</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3rd Quarter</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540"/>
              <w:spacing w:after="0"/>
              <w:rPr>
                <w:sz w:val="20"/>
                <w:szCs w:val="20"/>
                <w:color w:val="auto"/>
              </w:rPr>
            </w:pPr>
            <w:r>
              <w:rPr>
                <w:rFonts w:ascii="Arial" w:cs="Arial" w:eastAsia="Arial" w:hAnsi="Arial"/>
                <w:sz w:val="18"/>
                <w:szCs w:val="18"/>
                <w:color w:val="auto"/>
              </w:rPr>
              <w:t>2nd Quarter</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1st Quarter</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Fiscal 2000</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540"/>
              <w:spacing w:after="0"/>
              <w:rPr>
                <w:sz w:val="20"/>
                <w:szCs w:val="20"/>
                <w:color w:val="auto"/>
              </w:rPr>
            </w:pPr>
            <w:r>
              <w:rPr>
                <w:rFonts w:ascii="Arial" w:cs="Arial" w:eastAsia="Arial" w:hAnsi="Arial"/>
                <w:sz w:val="18"/>
                <w:szCs w:val="18"/>
                <w:color w:val="auto"/>
              </w:rPr>
              <w:t>4th Quarter</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3rd Quarter</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540"/>
              <w:spacing w:after="0"/>
              <w:rPr>
                <w:sz w:val="20"/>
                <w:szCs w:val="20"/>
                <w:color w:val="auto"/>
              </w:rPr>
            </w:pPr>
            <w:r>
              <w:rPr>
                <w:rFonts w:ascii="Arial" w:cs="Arial" w:eastAsia="Arial" w:hAnsi="Arial"/>
                <w:sz w:val="18"/>
                <w:szCs w:val="18"/>
                <w:color w:val="auto"/>
              </w:rPr>
              <w:t>2nd Quarter</w:t>
            </w: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1st Quarter</w:t>
            </w:r>
          </w:p>
        </w:tc>
        <w:tc>
          <w:tcPr>
            <w:tcW w:w="2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common stock of Hawkins, Inc. trades on the NASDAQ National Market System under the symbol “HWKN.” The price information represents closing sale prices reported in the NASDAQ/NMS Monthly Statistical Report.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2001, there were approximately 700 shareholders of record of the Company’s common stock. Additionally, the Depository Trust Company, the principal central securities depository in the United States, held the shares of approximately 1,200 shareholders that were counted as owned by one holder.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ITEM 6. SELECTED FINANCIAL DATA.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FINANCIAL DATA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1999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1998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1997</w:t>
            </w:r>
          </w:p>
        </w:tc>
        <w:tc>
          <w:tcPr>
            <w:tcW w:w="2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107,931,668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98,021,731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96,734,470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95,860,765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88,652,642</w:t>
            </w:r>
          </w:p>
        </w:tc>
        <w:tc>
          <w:tcPr>
            <w:tcW w:w="2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7,117,578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8,567,699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9,698,642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8,213,869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7,790,487</w:t>
            </w:r>
          </w:p>
        </w:tc>
        <w:tc>
          <w:tcPr>
            <w:tcW w:w="2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29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Basic and diluted</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2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earnings per common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29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Cash dividends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2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declared per common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660" w:type="dxa"/>
            <w:vAlign w:val="bottom"/>
          </w:tcPr>
          <w:p>
            <w:pPr>
              <w:spacing w:after="0"/>
              <w:rPr>
                <w:sz w:val="17"/>
                <w:szCs w:val="17"/>
                <w:color w:val="auto"/>
              </w:rPr>
            </w:pPr>
          </w:p>
        </w:tc>
        <w:tc>
          <w:tcPr>
            <w:tcW w:w="29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Cash dividends</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660" w:type="dxa"/>
            <w:vAlign w:val="bottom"/>
          </w:tcPr>
          <w:p>
            <w:pPr>
              <w:spacing w:after="0"/>
              <w:rPr>
                <w:sz w:val="20"/>
                <w:szCs w:val="20"/>
                <w:color w:val="auto"/>
              </w:rPr>
            </w:pPr>
          </w:p>
        </w:tc>
        <w:tc>
          <w:tcPr>
            <w:tcW w:w="2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paid per common share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74,868,121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69,894,520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68,999,827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66,535,475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63,652,616</w:t>
            </w:r>
          </w:p>
        </w:tc>
        <w:tc>
          <w:tcPr>
            <w:tcW w:w="22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512,525</w:t>
            </w:r>
          </w:p>
        </w:tc>
        <w:tc>
          <w:tcPr>
            <w:tcW w:w="220" w:type="dxa"/>
            <w:vAlign w:val="bottom"/>
            <w:shd w:val="clear" w:color="auto" w:fill="CCEEFF"/>
          </w:tcPr>
          <w:p>
            <w:pPr>
              <w:spacing w:after="0"/>
              <w:rPr>
                <w:sz w:val="18"/>
                <w:szCs w:val="18"/>
                <w:color w:val="auto"/>
              </w:rPr>
            </w:pPr>
          </w:p>
        </w:tc>
      </w:tr>
      <w:tr>
        <w:trPr>
          <w:trHeight w:val="95"/>
        </w:trPr>
        <w:tc>
          <w:tcPr>
            <w:tcW w:w="6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67" w:lineRule="exact"/>
        <w:rPr>
          <w:sz w:val="20"/>
          <w:szCs w:val="20"/>
          <w:color w:val="auto"/>
        </w:rPr>
      </w:pPr>
    </w:p>
    <w:p>
      <w:pPr>
        <w:ind w:firstLine="8"/>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Sales for fiscal 2000, 1999, 1998 and 1997 are restated due to the adoption of EITF 00-10 in fiscal 2001. EITF 00-10 required all amounts billed to customers in sales transactions relating to shipping and handling to be classified as sales. This had no impact on net income as previously reported.</w:t>
      </w:r>
    </w:p>
    <w:p>
      <w:pPr>
        <w:spacing w:after="0" w:line="124"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ectPr>
          <w:pgSz w:w="11900" w:h="16838" w:orient="portrait"/>
          <w:cols w:equalWidth="0" w:num="1">
            <w:col w:w="11360"/>
          </w:cols>
          <w:pgMar w:left="240" w:top="125" w:right="299" w:bottom="154" w:gutter="0" w:footer="0" w:header="0"/>
        </w:sectPr>
      </w:pPr>
    </w:p>
    <w:bookmarkStart w:id="5" w:name="page6"/>
    <w:bookmarkEnd w:id="5"/>
    <w:p>
      <w:pPr>
        <w:ind w:firstLine="720"/>
        <w:spacing w:after="0" w:line="290" w:lineRule="auto"/>
        <w:rPr>
          <w:sz w:val="20"/>
          <w:szCs w:val="20"/>
          <w:color w:val="auto"/>
        </w:rPr>
      </w:pPr>
      <w:r>
        <w:rPr>
          <w:rFonts w:ascii="Arial" w:cs="Arial" w:eastAsia="Arial" w:hAnsi="Arial"/>
          <w:sz w:val="16"/>
          <w:szCs w:val="16"/>
          <w:color w:val="auto"/>
        </w:rPr>
        <w:t>The information contained in this Annual Report on Form 10-K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Annual Report on Form 10-K and the Company's other filings with the Securities and Exchange Commission.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or cash flows.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OVERALL SUMMARY</w:t>
      </w:r>
    </w:p>
    <w:p>
      <w:pPr>
        <w:spacing w:after="0" w:line="225" w:lineRule="exact"/>
        <w:rPr>
          <w:sz w:val="20"/>
          <w:szCs w:val="20"/>
          <w:color w:val="auto"/>
        </w:rPr>
      </w:pPr>
    </w:p>
    <w:p>
      <w:pPr>
        <w:ind w:right="60" w:firstLine="720"/>
        <w:spacing w:after="0" w:line="302" w:lineRule="auto"/>
        <w:rPr>
          <w:sz w:val="20"/>
          <w:szCs w:val="20"/>
          <w:color w:val="auto"/>
        </w:rPr>
      </w:pPr>
      <w:r>
        <w:rPr>
          <w:rFonts w:ascii="Arial" w:cs="Arial" w:eastAsia="Arial" w:hAnsi="Arial"/>
          <w:sz w:val="16"/>
          <w:szCs w:val="16"/>
          <w:color w:val="auto"/>
        </w:rPr>
        <w:t>Sales in fiscal 2001 increased 10.1% to $107,931,668 from $98,021,731 in fiscal 2000. Net income for fiscal 2001 was $7,117,578, or $0.69 per share, compared to $8,567,699, or $0.81 per share for fiscal 2000. The decrease in net income was primarily due to additional costs of operations due to the spring flooding at our terminals and to the LIFO method of valuing inventories (see Gross Margin discussion below). Return on average shareholders' equity was 12.3% for fiscal 2001, compared to 15.3% for fiscal 2000. Book value per share at September 30, 2001 was $5.77 compared to $5.44 one year ago.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25" w:lineRule="exact"/>
        <w:rPr>
          <w:sz w:val="20"/>
          <w:szCs w:val="20"/>
          <w:color w:val="auto"/>
        </w:rPr>
      </w:pPr>
    </w:p>
    <w:p>
      <w:pPr>
        <w:ind w:right="120" w:firstLine="720"/>
        <w:spacing w:after="0" w:line="279" w:lineRule="auto"/>
        <w:rPr>
          <w:sz w:val="20"/>
          <w:szCs w:val="20"/>
          <w:color w:val="auto"/>
        </w:rPr>
      </w:pPr>
      <w:r>
        <w:rPr>
          <w:rFonts w:ascii="Arial" w:cs="Arial" w:eastAsia="Arial" w:hAnsi="Arial"/>
          <w:sz w:val="17"/>
          <w:szCs w:val="17"/>
          <w:color w:val="auto"/>
        </w:rPr>
        <w:t>For the year ended September 30, 2001, sales increased $9,909,937, a 10.1% increase from fiscal 2000, due to an increase of $6,494,368 (9.6%) in Industrial segment sales and an increase of $3,415,569 (11.1%) in Water Treatment segment sales. The Industrial segment increase is mainly due to an increase in the selling price of caustic soda and volume increases in other product lines, which were partially offset by a decrease in the volume of caustic soda sold. The Water Treatment segment increase is due mainly to an increase in volumes.</w:t>
      </w:r>
    </w:p>
    <w:p>
      <w:pPr>
        <w:spacing w:after="0" w:line="171" w:lineRule="exact"/>
        <w:rPr>
          <w:sz w:val="20"/>
          <w:szCs w:val="20"/>
          <w:color w:val="auto"/>
        </w:rPr>
      </w:pPr>
    </w:p>
    <w:p>
      <w:pPr>
        <w:ind w:firstLine="720"/>
        <w:spacing w:after="0" w:line="259" w:lineRule="auto"/>
        <w:rPr>
          <w:sz w:val="20"/>
          <w:szCs w:val="20"/>
          <w:color w:val="auto"/>
        </w:rPr>
      </w:pPr>
      <w:r>
        <w:rPr>
          <w:rFonts w:ascii="Arial" w:cs="Arial" w:eastAsia="Arial" w:hAnsi="Arial"/>
          <w:sz w:val="18"/>
          <w:szCs w:val="18"/>
          <w:color w:val="auto"/>
        </w:rPr>
        <w:t>For the year ended October 1, 2000, sales increased $1,287,261, a 1.3% increase from fiscal 1999, due to an increase of $1,786,821 in Water Treatment segment sales partially offset by a decrease of $499,560 in Industrial segment sales. The Water Treatment segment increase is due to an increase in volumes of products sold. The Industrial segment decrease is due to a decrease in the selling price of caustic soda partially offset by an increase in volume of caustic soda sold and the majority of other products sold in this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right="180" w:firstLine="720"/>
        <w:spacing w:after="0" w:line="277" w:lineRule="auto"/>
        <w:rPr>
          <w:sz w:val="20"/>
          <w:szCs w:val="20"/>
          <w:color w:val="auto"/>
        </w:rPr>
      </w:pPr>
      <w:r>
        <w:rPr>
          <w:rFonts w:ascii="Arial" w:cs="Arial" w:eastAsia="Arial" w:hAnsi="Arial"/>
          <w:sz w:val="18"/>
          <w:szCs w:val="18"/>
          <w:color w:val="auto"/>
        </w:rPr>
        <w:t>Gross margin, as a percentage of sales, was 22.5% in fiscal 2001, 25.3% in fiscal 2000 and 24.8% in fiscal 1999. The gross margin variations are due to a number of variables in both segments as explained below.</w:t>
      </w:r>
    </w:p>
    <w:p>
      <w:pPr>
        <w:spacing w:after="0" w:line="170" w:lineRule="exact"/>
        <w:rPr>
          <w:sz w:val="20"/>
          <w:szCs w:val="20"/>
          <w:color w:val="auto"/>
        </w:rPr>
      </w:pPr>
    </w:p>
    <w:p>
      <w:pPr>
        <w:ind w:right="20" w:firstLine="720"/>
        <w:spacing w:after="0" w:line="269" w:lineRule="auto"/>
        <w:rPr>
          <w:sz w:val="20"/>
          <w:szCs w:val="20"/>
          <w:color w:val="auto"/>
        </w:rPr>
      </w:pPr>
      <w:r>
        <w:rPr>
          <w:rFonts w:ascii="Arial" w:cs="Arial" w:eastAsia="Arial" w:hAnsi="Arial"/>
          <w:sz w:val="17"/>
          <w:szCs w:val="17"/>
          <w:color w:val="auto"/>
        </w:rPr>
        <w:t>Gross margin, as a percentage of sales, for the Industrial segment was 18.7% in fiscal 2001, 22.6% in fiscal 2000 and 22.1% in fiscal 1999. The fiscal 2001 decrease compared to fiscal 2000 was primarily due to the cost of caustic soda, which began to increase at the beginning of fiscal year 2001 and continued to increase during the first eight months of the fiscal year. Due to the large quantities of caustic soda that we had on hand at the beginning of the fiscal year and because we are on the LIFO method of valuing inventories, this increase negatively impacted gross margins. The Company implemented caustic soda price increases during the year; however market pressures prevented the Company from recovering all of the increased caustic soda costs. Additionally, an increase in the volume of caustic soda in the year-end inventory combined with the increase in cost of caustic soda resulted in an increase in the LIFO reserve, all of which negatively affected earnings by $1.4 million or $.14 per share. The Company attempts to maintain relatively constant dollar margins as the cost of this product line increases and decreases. The cost of this product is normally subject to fluctuations, which are expected to continue in future periods. By maintaining relatively stable dollar margins, the gross margin percentage will decrease when the cost of the product is increasing and will increase when the cost of the product is decreasing. The fiscal 2000 increase over fiscal 1999 was due to the Company's ability to maintain relatively constant profit margins as caustic soda costs were decreasing. The Company has also generally been able to, and expects to continue to, adjust its selling prices as the cost of materials and other expenses change.</w:t>
      </w:r>
    </w:p>
    <w:p>
      <w:pPr>
        <w:spacing w:after="0" w:line="396" w:lineRule="exact"/>
        <w:rPr>
          <w:sz w:val="20"/>
          <w:szCs w:val="20"/>
          <w:color w:val="auto"/>
        </w:rPr>
      </w:pPr>
    </w:p>
    <w:p>
      <w:pPr>
        <w:jc w:val="both"/>
        <w:ind w:right="100" w:firstLine="720"/>
        <w:spacing w:after="0" w:line="264" w:lineRule="auto"/>
        <w:rPr>
          <w:sz w:val="20"/>
          <w:szCs w:val="20"/>
          <w:color w:val="auto"/>
        </w:rPr>
      </w:pPr>
      <w:r>
        <w:rPr>
          <w:rFonts w:ascii="Arial" w:cs="Arial" w:eastAsia="Arial" w:hAnsi="Arial"/>
          <w:sz w:val="18"/>
          <w:szCs w:val="18"/>
          <w:color w:val="auto"/>
        </w:rPr>
        <w:t>Gross margin, as a percentage of sales, for the Water Treatment segment was 30.7% in fiscal 2001, 31.2% in fiscal 2000 and 31.0% in fiscal 1999. The fiscal 2001 gross margin decrease in comparison to fiscal 2000 was attributable to the aforementioned increase in caustic soda costs and additional costs associated with the new Red Rock facility. The fiscal 2000 gross margin was comparable to fiscal 1999.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ind w:right="100" w:firstLine="720"/>
        <w:spacing w:after="0" w:line="255" w:lineRule="auto"/>
        <w:rPr>
          <w:sz w:val="20"/>
          <w:szCs w:val="20"/>
          <w:color w:val="auto"/>
        </w:rPr>
      </w:pPr>
      <w:r>
        <w:rPr>
          <w:rFonts w:ascii="Arial" w:cs="Arial" w:eastAsia="Arial" w:hAnsi="Arial"/>
          <w:sz w:val="18"/>
          <w:szCs w:val="18"/>
          <w:color w:val="auto"/>
        </w:rPr>
        <w:t>Selling, general and administrative expenses increased 21.0% and 9.3% in fiscal 2001 and fiscal 2000, respectively over the previous years. These increases are primarily attributable to the Company’s investment in infrastructure necessary to support future sales increases as well as a larger, more geographically dispersed organization. The fiscal 2001 increase over fiscal 2000 was mainly due to increases in the sales staff, consulting fees, amortization of intangibles related to the May 26, 2000 St. Mary’s Chemicals, Inc. acquisition, and to employee benefits costs. The fiscal 2000 increase over fiscal 1999 was mainly due to increases in the sales and administrative staff, consulting fees and to employee benefits costs. The increase in employee benefits costs is due to the increased number of employees.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LITIGATION AND SETTLEMENT COSTS RELATED TO 1995 FIRE</w:t>
      </w:r>
    </w:p>
    <w:p>
      <w:pPr>
        <w:spacing w:after="0" w:line="225" w:lineRule="exact"/>
        <w:rPr>
          <w:sz w:val="20"/>
          <w:szCs w:val="20"/>
          <w:color w:val="auto"/>
        </w:rPr>
      </w:pPr>
    </w:p>
    <w:p>
      <w:pPr>
        <w:ind w:right="20" w:firstLine="720"/>
        <w:spacing w:after="0" w:line="297" w:lineRule="auto"/>
        <w:rPr>
          <w:sz w:val="20"/>
          <w:szCs w:val="20"/>
          <w:color w:val="auto"/>
        </w:rPr>
      </w:pPr>
      <w:r>
        <w:rPr>
          <w:rFonts w:ascii="Arial" w:cs="Arial" w:eastAsia="Arial" w:hAnsi="Arial"/>
          <w:sz w:val="16"/>
          <w:szCs w:val="16"/>
          <w:color w:val="auto"/>
        </w:rPr>
        <w:t>Prior to September 1998, the Company paid and expensed $2.9 million in settlement and legal costs and for other costs in connection with the Company's defense of a lawsuit filed against it in Minnesota entitled DONNA M. COOKSEY, ET AL. V. HAWKINS CHEMICAL, INC. AND THE LYNDE COMPANY. The plaintiffs in the lawsuit sought damages for personal injury and other damages alleged to have been caused by the release of hazardous substances as a result of a fire at an office/warehouse facility occupied by The Lynde Company, formerly a wholly owned subsidiary of the Company. The Company entered into a Settlement Agreement with the plaintiffs. Most, but not all, of the claimants have now been paid under the Settlement Agreement.</w:t>
      </w:r>
    </w:p>
    <w:p>
      <w:pPr>
        <w:spacing w:after="0" w:line="158"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18"/>
          <w:szCs w:val="18"/>
          <w:color w:val="auto"/>
        </w:rPr>
        <w:t>The Company's primary and umbrella insurers denied coverage and refused to defend the lawsuit. During fiscal 1999, the Company prevailed in its claims against its insurers and has been reimbursed $2,851,708 for substantially all of its settlement and legal expenses. In addition, the Company anticipates that the defense and payment of the 3 remaining claims will be covered by the umbrella insurer.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SPECIAL CHARGES</w:t>
      </w:r>
    </w:p>
    <w:p>
      <w:pPr>
        <w:sectPr>
          <w:pgSz w:w="11900" w:h="16838" w:orient="portrait"/>
          <w:cols w:equalWidth="0" w:num="1">
            <w:col w:w="11400"/>
          </w:cols>
          <w:pgMar w:left="240" w:top="125" w:right="259" w:bottom="167" w:gutter="0" w:footer="0" w:header="0"/>
        </w:sectPr>
      </w:pPr>
    </w:p>
    <w:bookmarkStart w:id="6" w:name="page7"/>
    <w:bookmarkEnd w:id="6"/>
    <w:p>
      <w:pPr>
        <w:spacing w:after="0" w:line="56" w:lineRule="exact"/>
        <w:rPr>
          <w:sz w:val="20"/>
          <w:szCs w:val="20"/>
          <w:color w:val="auto"/>
        </w:rPr>
      </w:pPr>
    </w:p>
    <w:p>
      <w:pPr>
        <w:ind w:right="300" w:firstLine="720"/>
        <w:spacing w:after="0" w:line="277" w:lineRule="auto"/>
        <w:rPr>
          <w:sz w:val="20"/>
          <w:szCs w:val="20"/>
          <w:color w:val="auto"/>
        </w:rPr>
      </w:pPr>
      <w:r>
        <w:rPr>
          <w:rFonts w:ascii="Arial" w:cs="Arial" w:eastAsia="Arial" w:hAnsi="Arial"/>
          <w:sz w:val="18"/>
          <w:szCs w:val="18"/>
          <w:color w:val="auto"/>
        </w:rPr>
        <w:t>During fiscal 1999, the Company entered into termination agreements with three former employees due to corporate organizational changes and recorded Special Charges in the Statement of Income of $1,112,127.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25" w:lineRule="exact"/>
        <w:rPr>
          <w:sz w:val="20"/>
          <w:szCs w:val="20"/>
          <w:color w:val="auto"/>
        </w:rPr>
      </w:pPr>
    </w:p>
    <w:p>
      <w:pPr>
        <w:ind w:right="40" w:firstLine="720"/>
        <w:spacing w:after="0" w:line="257" w:lineRule="auto"/>
        <w:rPr>
          <w:sz w:val="20"/>
          <w:szCs w:val="20"/>
          <w:color w:val="auto"/>
        </w:rPr>
      </w:pPr>
      <w:r>
        <w:rPr>
          <w:rFonts w:ascii="Arial" w:cs="Arial" w:eastAsia="Arial" w:hAnsi="Arial"/>
          <w:sz w:val="18"/>
          <w:szCs w:val="18"/>
          <w:color w:val="auto"/>
        </w:rPr>
        <w:t>Interest income decreased $346,706 in fiscal 2001 as compared to the previous year due to less cash available for investment and a lower rate of return on the Company’s available for sale securities which consist primarily of municipal bonds and annuity contracts. Interest income decreased $48,116 in fiscal 2000 as compared to the previous year due to less cash available for investment. Interest expense decreased in fiscal 2001 and fiscal 2000 as compared to the previous year. Most of the interest expense is the result of the Company issuing a note payable to the seller in connection with the acquisition of the assets of Industrial Chemical &amp; Equipment Company in 1993.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40" w:firstLine="720"/>
        <w:spacing w:after="0" w:line="264" w:lineRule="auto"/>
        <w:rPr>
          <w:sz w:val="20"/>
          <w:szCs w:val="20"/>
          <w:color w:val="auto"/>
        </w:rPr>
      </w:pPr>
      <w:r>
        <w:rPr>
          <w:rFonts w:ascii="Arial" w:cs="Arial" w:eastAsia="Arial" w:hAnsi="Arial"/>
          <w:sz w:val="18"/>
          <w:szCs w:val="18"/>
          <w:color w:val="auto"/>
        </w:rPr>
        <w:t>The effective income tax rate was 33.8% for the fiscal year ended September 30, 2001, 39.2% for the fiscal year ended October 1, 2000, and 39.4% for the fiscal year ended October 3, 1999. The fiscal 2001 decrease compared to fiscal 2000 and 1999 was due to changes in state apportionment factors and a deduction for dividends paid on allocated shares held in the Employee Stock Ownership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QUARTERLY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90"/>
              </w:rPr>
              <w:t>Fiscal Year Ended September 30, 2001</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2"/>
              </w:rPr>
              <w:t>First</w:t>
            </w:r>
          </w:p>
        </w:tc>
        <w:tc>
          <w:tcPr>
            <w:tcW w:w="160" w:type="dxa"/>
            <w:vAlign w:val="bottom"/>
          </w:tcPr>
          <w:p>
            <w:pPr>
              <w:spacing w:after="0"/>
              <w:rPr>
                <w:sz w:val="16"/>
                <w:szCs w:val="16"/>
                <w:color w:val="auto"/>
              </w:rPr>
            </w:pPr>
          </w:p>
        </w:tc>
        <w:tc>
          <w:tcPr>
            <w:tcW w:w="16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6"/>
              </w:rPr>
              <w:t>Second</w:t>
            </w:r>
          </w:p>
        </w:tc>
        <w:tc>
          <w:tcPr>
            <w:tcW w:w="300" w:type="dxa"/>
            <w:vAlign w:val="bottom"/>
          </w:tcPr>
          <w:p>
            <w:pPr>
              <w:spacing w:after="0"/>
              <w:rPr>
                <w:sz w:val="16"/>
                <w:szCs w:val="16"/>
                <w:color w:val="auto"/>
              </w:rPr>
            </w:pPr>
          </w:p>
        </w:tc>
        <w:tc>
          <w:tcPr>
            <w:tcW w:w="150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6"/>
                <w:szCs w:val="16"/>
                <w:color w:val="auto"/>
              </w:rPr>
            </w:pPr>
          </w:p>
        </w:tc>
        <w:tc>
          <w:tcPr>
            <w:tcW w:w="130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24,256,916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26,152,722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28,978,656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28,543,374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5,075,036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5,368,722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7,080,326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6,773,503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1,340,378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1,248,290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2,082,953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2,445,957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080" w:type="dxa"/>
            <w:vAlign w:val="bottom"/>
            <w:gridSpan w:val="2"/>
          </w:tcPr>
          <w:p>
            <w:pPr>
              <w:spacing w:after="0" w:line="182" w:lineRule="exact"/>
              <w:rPr>
                <w:sz w:val="20"/>
                <w:szCs w:val="20"/>
                <w:color w:val="auto"/>
              </w:rPr>
            </w:pPr>
            <w:r>
              <w:rPr>
                <w:rFonts w:ascii="Arial" w:cs="Arial" w:eastAsia="Arial" w:hAnsi="Arial"/>
                <w:sz w:val="18"/>
                <w:szCs w:val="18"/>
                <w:color w:val="auto"/>
              </w:rPr>
              <w:t>Basic and diluted</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earnings per share</w:t>
            </w:r>
          </w:p>
        </w:tc>
        <w:tc>
          <w:tcPr>
            <w:tcW w:w="30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90"/>
              </w:rPr>
              <w:t>Fiscal Year Ended October 1, 2000</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2"/>
              </w:rPr>
              <w:t>First</w:t>
            </w:r>
          </w:p>
        </w:tc>
        <w:tc>
          <w:tcPr>
            <w:tcW w:w="160" w:type="dxa"/>
            <w:vAlign w:val="bottom"/>
          </w:tcPr>
          <w:p>
            <w:pPr>
              <w:spacing w:after="0"/>
              <w:rPr>
                <w:sz w:val="16"/>
                <w:szCs w:val="16"/>
                <w:color w:val="auto"/>
              </w:rPr>
            </w:pPr>
          </w:p>
        </w:tc>
        <w:tc>
          <w:tcPr>
            <w:tcW w:w="164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6"/>
              </w:rPr>
              <w:t>Second</w:t>
            </w:r>
          </w:p>
        </w:tc>
        <w:tc>
          <w:tcPr>
            <w:tcW w:w="300" w:type="dxa"/>
            <w:vAlign w:val="bottom"/>
          </w:tcPr>
          <w:p>
            <w:pPr>
              <w:spacing w:after="0"/>
              <w:rPr>
                <w:sz w:val="16"/>
                <w:szCs w:val="16"/>
                <w:color w:val="auto"/>
              </w:rPr>
            </w:pPr>
          </w:p>
        </w:tc>
        <w:tc>
          <w:tcPr>
            <w:tcW w:w="1500" w:type="dxa"/>
            <w:vAlign w:val="bottom"/>
            <w:gridSpan w:val="2"/>
          </w:tcPr>
          <w:p>
            <w:pPr>
              <w:jc w:val="center"/>
              <w:ind w:right="500"/>
              <w:spacing w:after="0" w:line="191" w:lineRule="exact"/>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6"/>
                <w:szCs w:val="16"/>
                <w:color w:val="auto"/>
              </w:rPr>
            </w:pPr>
          </w:p>
        </w:tc>
        <w:tc>
          <w:tcPr>
            <w:tcW w:w="130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4"/>
              </w:rPr>
              <w:t>Fourth</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21,875,319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22,923,362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27,084,652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26,138,398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4,972,352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5,386,900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7,641,925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6,800,999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1,639,687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1,774,690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2,742,460</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2,410,862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3080" w:type="dxa"/>
            <w:vAlign w:val="bottom"/>
            <w:gridSpan w:val="2"/>
          </w:tcPr>
          <w:p>
            <w:pPr>
              <w:spacing w:after="0" w:line="182" w:lineRule="exact"/>
              <w:rPr>
                <w:sz w:val="20"/>
                <w:szCs w:val="20"/>
                <w:color w:val="auto"/>
              </w:rPr>
            </w:pPr>
            <w:r>
              <w:rPr>
                <w:rFonts w:ascii="Arial" w:cs="Arial" w:eastAsia="Arial" w:hAnsi="Arial"/>
                <w:sz w:val="18"/>
                <w:szCs w:val="18"/>
                <w:color w:val="auto"/>
              </w:rPr>
              <w:t>Basic and diluted</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earnings per share</w:t>
            </w:r>
          </w:p>
        </w:tc>
        <w:tc>
          <w:tcPr>
            <w:tcW w:w="30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6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400" w:firstLine="8"/>
        <w:spacing w:after="0" w:line="34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Previously disclosed quarterly sales are restated due to the adoption of EITF 00-10, which had no effect on gross margin or net income as previously reported. EITF 00-10 required all amounts billed to customers in sales transactions relating to shipping and handling to be classified as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INFLATION</w:t>
      </w:r>
    </w:p>
    <w:p>
      <w:pPr>
        <w:spacing w:after="0" w:line="225" w:lineRule="exact"/>
        <w:rPr>
          <w:sz w:val="20"/>
          <w:szCs w:val="20"/>
          <w:color w:val="auto"/>
        </w:rPr>
      </w:pPr>
    </w:p>
    <w:p>
      <w:pPr>
        <w:ind w:right="180" w:firstLine="720"/>
        <w:spacing w:after="0" w:line="264" w:lineRule="auto"/>
        <w:rPr>
          <w:sz w:val="20"/>
          <w:szCs w:val="20"/>
          <w:color w:val="auto"/>
        </w:rPr>
      </w:pPr>
      <w:r>
        <w:rPr>
          <w:rFonts w:ascii="Arial" w:cs="Arial" w:eastAsia="Arial" w:hAnsi="Arial"/>
          <w:sz w:val="18"/>
          <w:szCs w:val="18"/>
          <w:color w:val="auto"/>
        </w:rPr>
        <w:t>Inflation has not had a significant impact on the Company during the past three fiscal years, as selling prices have generally been adjusted as the cost of materials and other expenses have changed. On occasion, however, slight fluctuations in the cost of a single, large-volume product historically have not been reflected in the selling price of that product.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25"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Cash provided by operations in fiscal 2001 was $9,950,745 compared with $9,693,479 in fiscal 2000 and $13,847,248 in fiscal 1999. The decrease in fiscal 2001 and 2000 compared to fiscal 1999 was due primarily to fluctuations in inventory values and to the recovery of litigation expenses in fiscal 1999.</w:t>
      </w:r>
    </w:p>
    <w:p>
      <w:pPr>
        <w:spacing w:after="0" w:line="124" w:lineRule="exact"/>
        <w:rPr>
          <w:sz w:val="20"/>
          <w:szCs w:val="20"/>
          <w:color w:val="auto"/>
        </w:rPr>
      </w:pPr>
    </w:p>
    <w:p>
      <w:pPr>
        <w:ind w:right="20" w:firstLine="720"/>
        <w:spacing w:after="0" w:line="257" w:lineRule="auto"/>
        <w:rPr>
          <w:sz w:val="20"/>
          <w:szCs w:val="20"/>
          <w:color w:val="auto"/>
        </w:rPr>
      </w:pPr>
      <w:r>
        <w:rPr>
          <w:rFonts w:ascii="Arial" w:cs="Arial" w:eastAsia="Arial" w:hAnsi="Arial"/>
          <w:sz w:val="18"/>
          <w:szCs w:val="18"/>
          <w:color w:val="auto"/>
        </w:rPr>
        <w:t>Cash and investments available-for-sale decreased by $1,618,752 to $12,600,871 at the end of fiscal 2001. The decrease was primarily attributable to capital expenditures. The Company is currently investing excess cash primarily in conservative investments. Cash equivalents consist of a money market account at a financial institution. Investments consist of investment contracts with high-rated, stable insurance companies, marketable securities consisting of variable rate municipal bonds and mutual funds carried at fair value. Investments are highly liquid and are available upon demand generally with only a minor penalty.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right="220" w:firstLine="720"/>
        <w:spacing w:after="0" w:line="286" w:lineRule="auto"/>
        <w:rPr>
          <w:sz w:val="20"/>
          <w:szCs w:val="20"/>
          <w:color w:val="auto"/>
        </w:rPr>
      </w:pPr>
      <w:r>
        <w:rPr>
          <w:rFonts w:ascii="Arial" w:cs="Arial" w:eastAsia="Arial" w:hAnsi="Arial"/>
          <w:sz w:val="17"/>
          <w:szCs w:val="17"/>
          <w:color w:val="auto"/>
        </w:rPr>
        <w:t>Capital expenditures in fiscal 2001, 2000 and 1999 were $7,056,226, $7,216,301 and $2,449,894, respectively. Of the fiscal 2001 capital expenditures, the new Red Rock facility accounted for $4.1 million, transportation equipment additions accounted for $1.3 million, building improvements and additions amounted to $0.3 million, and warehouse, laboratory and office machinery and equipment accounted for $1.4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REPURCHASES</w:t>
      </w:r>
    </w:p>
    <w:p>
      <w:pPr>
        <w:spacing w:after="0" w:line="225" w:lineRule="exact"/>
        <w:rPr>
          <w:sz w:val="20"/>
          <w:szCs w:val="20"/>
          <w:color w:val="auto"/>
        </w:rPr>
      </w:pPr>
    </w:p>
    <w:p>
      <w:pPr>
        <w:ind w:right="40" w:firstLine="720"/>
        <w:spacing w:after="0" w:line="277" w:lineRule="auto"/>
        <w:rPr>
          <w:sz w:val="20"/>
          <w:szCs w:val="20"/>
          <w:color w:val="auto"/>
        </w:rPr>
      </w:pPr>
      <w:r>
        <w:rPr>
          <w:rFonts w:ascii="Arial" w:cs="Arial" w:eastAsia="Arial" w:hAnsi="Arial"/>
          <w:sz w:val="18"/>
          <w:szCs w:val="18"/>
          <w:color w:val="auto"/>
        </w:rPr>
        <w:t>During fiscal 2001, the Company acquired and retired 168,951 shares of common stock for $1,421,641. During fiscal 2000, the Company acquired and retired 608,900 shares of common stock for $5,020,366.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225" w:lineRule="exact"/>
        <w:rPr>
          <w:sz w:val="20"/>
          <w:szCs w:val="20"/>
          <w:color w:val="auto"/>
        </w:rPr>
      </w:pPr>
    </w:p>
    <w:p>
      <w:pPr>
        <w:ind w:right="60" w:firstLine="720"/>
        <w:spacing w:after="0" w:line="342" w:lineRule="auto"/>
        <w:rPr>
          <w:sz w:val="20"/>
          <w:szCs w:val="20"/>
          <w:color w:val="auto"/>
        </w:rPr>
      </w:pPr>
      <w:r>
        <w:rPr>
          <w:rFonts w:ascii="Arial" w:cs="Arial" w:eastAsia="Arial" w:hAnsi="Arial"/>
          <w:sz w:val="16"/>
          <w:szCs w:val="16"/>
          <w:color w:val="auto"/>
        </w:rPr>
        <w:t>Management does not anticipate the need for stock or debt issuances in the short or long-term, as cash, investments and cash flows from operations have been more than adequate to fund working capital, capital investments, dividend needs and common stock repurchases. If the need for additional</w:t>
      </w:r>
    </w:p>
    <w:p>
      <w:pPr>
        <w:sectPr>
          <w:pgSz w:w="11900" w:h="16894" w:orient="portrait"/>
          <w:cols w:equalWidth="0" w:num="1">
            <w:col w:w="11400"/>
          </w:cols>
          <w:pgMar w:left="240" w:top="125" w:right="259" w:bottom="0" w:gutter="0" w:footer="0" w:header="0"/>
        </w:sectPr>
      </w:pPr>
    </w:p>
    <w:bookmarkStart w:id="7" w:name="page8"/>
    <w:bookmarkEnd w:id="7"/>
    <w:p>
      <w:pPr>
        <w:ind w:right="60"/>
        <w:spacing w:after="0" w:line="264" w:lineRule="auto"/>
        <w:rPr>
          <w:sz w:val="20"/>
          <w:szCs w:val="20"/>
          <w:color w:val="auto"/>
        </w:rPr>
      </w:pPr>
      <w:r>
        <w:rPr>
          <w:rFonts w:ascii="Arial" w:cs="Arial" w:eastAsia="Arial" w:hAnsi="Arial"/>
          <w:sz w:val="18"/>
          <w:szCs w:val="18"/>
          <w:color w:val="auto"/>
        </w:rPr>
        <w:t>financing arises, however, management will consider issuance of debt or equity if such financing can be obtained on favorable terms. Although management continually looks for companies to acquire and for ways to modernize its facilities and equipment, no material commitments for acquisitions or capital expenditures currently exist.</w:t>
      </w:r>
    </w:p>
    <w:p>
      <w:pPr>
        <w:spacing w:after="0" w:line="181"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Other than as discussed above, management is not aware of any matters or trends that have materially affected the results of operations for fiscal 2001 that are not expected to have either short or long-term implications, nor is it aware of any trends or other matters that have not materially affected results in fiscal 2001 but are expected to have a material effect on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w:t>
      </w:r>
    </w:p>
    <w:p>
      <w:pPr>
        <w:spacing w:after="0" w:line="225" w:lineRule="exact"/>
        <w:rPr>
          <w:sz w:val="20"/>
          <w:szCs w:val="20"/>
          <w:color w:val="auto"/>
        </w:rPr>
      </w:pPr>
    </w:p>
    <w:p>
      <w:pPr>
        <w:ind w:right="100" w:firstLine="720"/>
        <w:spacing w:after="0" w:line="259" w:lineRule="auto"/>
        <w:rPr>
          <w:sz w:val="20"/>
          <w:szCs w:val="20"/>
          <w:color w:val="auto"/>
        </w:rPr>
      </w:pPr>
      <w:r>
        <w:rPr>
          <w:rFonts w:ascii="Arial" w:cs="Arial" w:eastAsia="Arial" w:hAnsi="Arial"/>
          <w:sz w:val="18"/>
          <w:szCs w:val="18"/>
          <w:color w:val="auto"/>
        </w:rPr>
        <w:t>In 2000, the Financial Accounting Standards Board issued Emerging Issues Task Force (EITF) 00-10, “Accounting for Shipping and Handling Costs.” EITF 00-10 requires all amounts billed to customers in a sales transaction related to shipping and handling to be classified as sales. The Company records costs related to shipping and handling in cost of sales. Prior period sales and cost of sales have been adjusted for this change, which had no effect on previously reported net income.</w:t>
      </w:r>
    </w:p>
    <w:p>
      <w:pPr>
        <w:spacing w:after="0" w:line="187" w:lineRule="exact"/>
        <w:rPr>
          <w:sz w:val="20"/>
          <w:szCs w:val="20"/>
          <w:color w:val="auto"/>
        </w:rPr>
      </w:pPr>
    </w:p>
    <w:p>
      <w:pPr>
        <w:jc w:val="both"/>
        <w:ind w:right="160" w:firstLine="720"/>
        <w:spacing w:after="0" w:line="264" w:lineRule="auto"/>
        <w:rPr>
          <w:sz w:val="20"/>
          <w:szCs w:val="20"/>
          <w:color w:val="auto"/>
        </w:rPr>
      </w:pPr>
      <w:r>
        <w:rPr>
          <w:rFonts w:ascii="Arial" w:cs="Arial" w:eastAsia="Arial" w:hAnsi="Arial"/>
          <w:sz w:val="18"/>
          <w:szCs w:val="18"/>
          <w:color w:val="auto"/>
        </w:rPr>
        <w:t>In July 2001, the FASB issued Statement of Financial Accounting Standards (SFAS) No. 141, “Business Combinations.” SFAS No. 141 requires the use of the purchase method of accounting for all business combinations initiated after June 30, 2001 and all acquisitions dated July 1, 2001 or later. The Company adopted the provisions of SFAS No. 141 during fiscal 2001.</w:t>
      </w:r>
    </w:p>
    <w:p>
      <w:pPr>
        <w:spacing w:after="0" w:line="181" w:lineRule="exact"/>
        <w:rPr>
          <w:sz w:val="20"/>
          <w:szCs w:val="20"/>
          <w:color w:val="auto"/>
        </w:rPr>
      </w:pPr>
    </w:p>
    <w:p>
      <w:pPr>
        <w:ind w:firstLine="720"/>
        <w:spacing w:after="0" w:line="276" w:lineRule="auto"/>
        <w:rPr>
          <w:sz w:val="20"/>
          <w:szCs w:val="20"/>
          <w:color w:val="auto"/>
        </w:rPr>
      </w:pPr>
      <w:r>
        <w:rPr>
          <w:rFonts w:ascii="Arial" w:cs="Arial" w:eastAsia="Arial" w:hAnsi="Arial"/>
          <w:sz w:val="17"/>
          <w:szCs w:val="17"/>
          <w:color w:val="auto"/>
        </w:rPr>
        <w:t>In July 2001, the FASB also issued SFAS No. 142, “Goodwill and Other Intangible Assets.” The Company will adopt the provisions of SFAS No. 142 for other intangibles and goodwill acquired before June 30, 2001 on the first day of fiscal 2003. Under SFAS No. 142, goodwill as well as other intangibles determined to have an indefinite life will no longer be amortized; however, these assets will be reviewed for impairment on a periodic basis. SFAS No. 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w:t>
      </w:r>
    </w:p>
    <w:p>
      <w:pPr>
        <w:spacing w:after="0" w:line="173" w:lineRule="exact"/>
        <w:rPr>
          <w:sz w:val="20"/>
          <w:szCs w:val="20"/>
          <w:color w:val="auto"/>
        </w:rPr>
      </w:pPr>
    </w:p>
    <w:p>
      <w:pPr>
        <w:ind w:right="40" w:firstLine="720"/>
        <w:spacing w:after="0" w:line="264" w:lineRule="auto"/>
        <w:rPr>
          <w:sz w:val="20"/>
          <w:szCs w:val="20"/>
          <w:color w:val="auto"/>
        </w:rPr>
      </w:pPr>
      <w:r>
        <w:rPr>
          <w:rFonts w:ascii="Arial" w:cs="Arial" w:eastAsia="Arial" w:hAnsi="Arial"/>
          <w:sz w:val="18"/>
          <w:szCs w:val="18"/>
          <w:color w:val="auto"/>
        </w:rPr>
        <w:t>The Company does not expect the implementation of SFAS No. 142 to materially impact the Company’s financial statements. As of September 30, 2001 the Company had net other intangibles assets of $3,486,890. Amortization expense recorded during fiscal 2001, 2000, and 1999 was $283,485, $136,561 and $63,098, respectively.</w:t>
      </w:r>
    </w:p>
    <w:p>
      <w:pPr>
        <w:spacing w:after="0" w:line="181" w:lineRule="exact"/>
        <w:rPr>
          <w:sz w:val="20"/>
          <w:szCs w:val="20"/>
          <w:color w:val="auto"/>
        </w:rPr>
      </w:pPr>
    </w:p>
    <w:p>
      <w:pPr>
        <w:ind w:firstLine="720"/>
        <w:spacing w:after="0" w:line="293" w:lineRule="auto"/>
        <w:rPr>
          <w:sz w:val="20"/>
          <w:szCs w:val="20"/>
          <w:color w:val="auto"/>
        </w:rPr>
      </w:pPr>
      <w:r>
        <w:rPr>
          <w:rFonts w:ascii="Arial" w:cs="Arial" w:eastAsia="Arial" w:hAnsi="Arial"/>
          <w:sz w:val="16"/>
          <w:szCs w:val="16"/>
          <w:color w:val="auto"/>
        </w:rPr>
        <w:t>In August 2001, the FASB issued SFAS No. 143, “Accounting for Asset Retirement Obligations.” SFAS No. 143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present value each period, and the capitalized cost is depreciated over the useful life of the related asset. Upon settlement of the liability, an entity either settles the obligation for its recorded amount or incurs a gain or loss upon settlement. SFAS No. 143 is effective for fiscal years beginning after June 15, 2002. The Company expects to adopt SFAS No. 143 in fiscal 2003. The Company has not yet determined the impact of SFAS No. 143 on its financial position and results of operations.</w:t>
      </w:r>
    </w:p>
    <w:p>
      <w:pPr>
        <w:spacing w:after="0" w:line="165" w:lineRule="exact"/>
        <w:rPr>
          <w:sz w:val="20"/>
          <w:szCs w:val="20"/>
          <w:color w:val="auto"/>
        </w:rPr>
      </w:pPr>
    </w:p>
    <w:p>
      <w:pPr>
        <w:ind w:right="40" w:firstLine="720"/>
        <w:spacing w:after="0" w:line="272" w:lineRule="auto"/>
        <w:rPr>
          <w:sz w:val="20"/>
          <w:szCs w:val="20"/>
          <w:color w:val="auto"/>
        </w:rPr>
      </w:pPr>
      <w:r>
        <w:rPr>
          <w:rFonts w:ascii="Arial" w:cs="Arial" w:eastAsia="Arial" w:hAnsi="Arial"/>
          <w:sz w:val="17"/>
          <w:szCs w:val="17"/>
          <w:color w:val="auto"/>
        </w:rPr>
        <w:t>In September 2001, the FASB also issued SFAS No. 144, “Accounting for the Impairment or Disposal of Long-Lived Assets.” SFAS No. 144 requires that long-lived assets to be disposed of by sale, including discontinued operations, to be measured at the lower of the carrying cost or fair value less cost to sell, whether reported in continuing operations or discontinued operations. SFAS No. 144 also broadens the reporting of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and, generally, are to be applied prospectively. The Company expects to adopt SFAS No. 144 in fiscal 2003. The Company has not yet determined the impact of SFAS No. 144 on its financial position and results of operations.</w:t>
      </w:r>
    </w:p>
    <w:p>
      <w:pPr>
        <w:spacing w:after="0" w:line="17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 ABOUT MARKET RISK.</w:t>
      </w:r>
    </w:p>
    <w:p>
      <w:pPr>
        <w:spacing w:after="0" w:line="225" w:lineRule="exact"/>
        <w:rPr>
          <w:sz w:val="20"/>
          <w:szCs w:val="20"/>
          <w:color w:val="auto"/>
        </w:rPr>
      </w:pPr>
    </w:p>
    <w:p>
      <w:pPr>
        <w:ind w:right="60" w:firstLine="720"/>
        <w:spacing w:after="0" w:line="291" w:lineRule="auto"/>
        <w:rPr>
          <w:sz w:val="20"/>
          <w:szCs w:val="20"/>
          <w:color w:val="auto"/>
        </w:rPr>
      </w:pPr>
      <w:r>
        <w:rPr>
          <w:rFonts w:ascii="Arial" w:cs="Arial" w:eastAsia="Arial" w:hAnsi="Arial"/>
          <w:sz w:val="16"/>
          <w:szCs w:val="16"/>
          <w:color w:val="auto"/>
        </w:rPr>
        <w:t>At the end of fiscal 2001, the Company had an investment portfolio of fixed income securities of $1,491,152 and mutual funds of $2,202,115, excluding $11,054,304 classified as cash and cash equivalents and variable rate securities.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or the amount ultimately realized on the investment. The value of the mutual funds, like all mutual funds, may increase or decrease due to market volatility. The Company intends to hold the mutual funds and does not anticipate a need to liquidate its investments and therefore would not expect a material adverse impact on net income or cash flows or the amount ultimately realized on the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Hawkins, Inc.:</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audited the accompanying balance sheets of Hawkins, Inc. (the Company) as of September 30, 2001 and October 1, 2000, and the related statements of income, shareholders' equity, and cash flows for each of the three years in the period ended September 30, 2001.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Hawkins, Inc. at September 30, 2001 and October 1, 2000, and the results of its operations and cash flows for each of the three years in the period ended September 30, 2001 in conformity with accounting principles generally accepted in the United States of America.</w:t>
      </w:r>
    </w:p>
    <w:p>
      <w:pPr>
        <w:sectPr>
          <w:pgSz w:w="11900" w:h="16838" w:orient="portrait"/>
          <w:cols w:equalWidth="0" w:num="1">
            <w:col w:w="11400"/>
          </w:cols>
          <w:pgMar w:left="240" w:top="125" w:right="259" w:bottom="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ectPr>
          <w:pgSz w:w="11900" w:h="16838" w:orient="portrait"/>
          <w:cols w:equalWidth="0" w:num="1">
            <w:col w:w="11400"/>
          </w:cols>
          <w:pgMar w:left="240" w:top="125" w:right="259" w:bottom="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6, 2001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60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September 30,</w:t>
            </w:r>
          </w:p>
        </w:tc>
        <w:tc>
          <w:tcPr>
            <w:tcW w:w="2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October 1,</w:t>
            </w:r>
          </w:p>
        </w:tc>
      </w:tr>
      <w:tr>
        <w:trPr>
          <w:trHeight w:val="234"/>
        </w:trPr>
        <w:tc>
          <w:tcPr>
            <w:tcW w:w="7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2001</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2000</w:t>
            </w:r>
          </w:p>
        </w:tc>
        <w:tc>
          <w:tcPr>
            <w:tcW w:w="140" w:type="dxa"/>
            <w:vAlign w:val="bottom"/>
          </w:tcPr>
          <w:p>
            <w:pPr>
              <w:spacing w:after="0"/>
              <w:rPr>
                <w:sz w:val="20"/>
                <w:szCs w:val="20"/>
                <w:color w:val="auto"/>
              </w:rPr>
            </w:pPr>
          </w:p>
        </w:tc>
      </w:tr>
      <w:tr>
        <w:trPr>
          <w:trHeight w:val="210"/>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2,185,757</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Investments available-for-sale</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11,482,015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12,033,866</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receivables - less allowance for doubtful accounts: 2001, $335,000; 2000, $377,000</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12,212,402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11,610,606</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12,584,723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8,929,957</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1,268,522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2,816,576</w:t>
            </w:r>
          </w:p>
        </w:tc>
        <w:tc>
          <w:tcPr>
            <w:tcW w:w="140" w:type="dxa"/>
            <w:vAlign w:val="bottom"/>
            <w:shd w:val="clear" w:color="auto" w:fill="CCEEFF"/>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38,666,518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37,576,762</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631,662</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26,329,660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23,319,413</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9,986,305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8,078,640</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Transportation equipment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7,289,667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6,462,568</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2,666,900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1,839,836</w:t>
            </w:r>
          </w:p>
        </w:tc>
        <w:tc>
          <w:tcPr>
            <w:tcW w:w="140" w:type="dxa"/>
            <w:vAlign w:val="bottom"/>
            <w:shd w:val="clear" w:color="auto" w:fill="CCEEFF"/>
          </w:tcPr>
          <w:p>
            <w:pPr>
              <w:spacing w:after="0"/>
              <w:rPr>
                <w:sz w:val="18"/>
                <w:szCs w:val="18"/>
                <w:color w:val="auto"/>
              </w:rPr>
            </w:pPr>
          </w:p>
        </w:tc>
      </w:tr>
      <w:tr>
        <w:trPr>
          <w:trHeight w:val="210"/>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46,904,194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40,332,119</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18,734,077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16,644,782</w:t>
            </w:r>
          </w:p>
        </w:tc>
        <w:tc>
          <w:tcPr>
            <w:tcW w:w="140" w:type="dxa"/>
            <w:vAlign w:val="bottom"/>
            <w:shd w:val="clear" w:color="auto" w:fill="CCEEFF"/>
          </w:tcPr>
          <w:p>
            <w:pPr>
              <w:spacing w:after="0"/>
              <w:rPr>
                <w:sz w:val="18"/>
                <w:szCs w:val="18"/>
                <w:color w:val="auto"/>
              </w:rPr>
            </w:pPr>
          </w:p>
        </w:tc>
      </w:tr>
      <w:tr>
        <w:trPr>
          <w:trHeight w:val="210"/>
        </w:trPr>
        <w:tc>
          <w:tcPr>
            <w:tcW w:w="7700" w:type="dxa"/>
            <w:vAlign w:val="bottom"/>
          </w:tcPr>
          <w:p>
            <w:pPr>
              <w:ind w:left="380"/>
              <w:spacing w:after="0"/>
              <w:rPr>
                <w:sz w:val="20"/>
                <w:szCs w:val="20"/>
                <w:color w:val="auto"/>
              </w:rPr>
            </w:pPr>
            <w:r>
              <w:rPr>
                <w:rFonts w:ascii="Arial" w:cs="Arial" w:eastAsia="Arial" w:hAnsi="Arial"/>
                <w:sz w:val="18"/>
                <w:szCs w:val="18"/>
                <w:color w:val="auto"/>
              </w:rPr>
              <w:t>Net property, plant and equipment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28,170,117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23,687,337</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 less accumulated amortization: 2001, $876,159; 2000, $592,674</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3,486,890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3,770,375</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4,544,596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4,860,046</w:t>
            </w:r>
          </w:p>
        </w:tc>
        <w:tc>
          <w:tcPr>
            <w:tcW w:w="140" w:type="dxa"/>
            <w:vAlign w:val="bottom"/>
            <w:tcBorders>
              <w:bottom w:val="single" w:sz="8" w:color="CCEEFF"/>
            </w:tcBorders>
          </w:tcPr>
          <w:p>
            <w:pPr>
              <w:spacing w:after="0"/>
              <w:rPr>
                <w:sz w:val="18"/>
                <w:szCs w:val="18"/>
                <w:color w:val="auto"/>
              </w:rPr>
            </w:pPr>
          </w:p>
        </w:tc>
      </w:tr>
      <w:tr>
        <w:trPr>
          <w:trHeight w:val="210"/>
        </w:trPr>
        <w:tc>
          <w:tcPr>
            <w:tcW w:w="7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8,031,486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8,630,421</w:t>
            </w:r>
          </w:p>
        </w:tc>
        <w:tc>
          <w:tcPr>
            <w:tcW w:w="140" w:type="dxa"/>
            <w:vAlign w:val="bottom"/>
            <w:shd w:val="clear" w:color="auto" w:fill="CCEEFF"/>
          </w:tcPr>
          <w:p>
            <w:pPr>
              <w:spacing w:after="0"/>
              <w:rPr>
                <w:sz w:val="18"/>
                <w:szCs w:val="18"/>
                <w:color w:val="auto"/>
              </w:rPr>
            </w:pPr>
          </w:p>
        </w:tc>
      </w:tr>
      <w:tr>
        <w:trPr>
          <w:trHeight w:val="217"/>
        </w:trPr>
        <w:tc>
          <w:tcPr>
            <w:tcW w:w="7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74,868,121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69,894,520</w:t>
            </w:r>
          </w:p>
        </w:tc>
        <w:tc>
          <w:tcPr>
            <w:tcW w:w="140" w:type="dxa"/>
            <w:vAlign w:val="bottom"/>
            <w:tcBorders>
              <w:bottom w:val="single" w:sz="8" w:color="CCEEFF"/>
            </w:tcBorders>
          </w:tcPr>
          <w:p>
            <w:pPr>
              <w:spacing w:after="0"/>
              <w:rPr>
                <w:sz w:val="18"/>
                <w:szCs w:val="18"/>
                <w:color w:val="auto"/>
              </w:rPr>
            </w:pPr>
          </w:p>
        </w:tc>
      </w:tr>
      <w:tr>
        <w:trPr>
          <w:trHeight w:val="216"/>
        </w:trPr>
        <w:tc>
          <w:tcPr>
            <w:tcW w:w="7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 trade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7,294,730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5,006,580</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109,180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102,037</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1,537,805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1,566,036</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Accrued payroll and employee benefits</w:t>
            </w: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3,063,633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2,417,746</w:t>
            </w: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Container deposits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1,352,026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1,533,800</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accruals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836,819</w:t>
            </w:r>
          </w:p>
        </w:tc>
        <w:tc>
          <w:tcPr>
            <w:tcW w:w="140" w:type="dxa"/>
            <w:vAlign w:val="bottom"/>
            <w:tcBorders>
              <w:bottom w:val="single" w:sz="8" w:color="CCEEFF"/>
            </w:tcBorders>
          </w:tcPr>
          <w:p>
            <w:pPr>
              <w:spacing w:after="0"/>
              <w:rPr>
                <w:sz w:val="18"/>
                <w:szCs w:val="18"/>
                <w:color w:val="auto"/>
              </w:rPr>
            </w:pPr>
          </w:p>
        </w:tc>
      </w:tr>
      <w:tr>
        <w:trPr>
          <w:trHeight w:val="210"/>
        </w:trPr>
        <w:tc>
          <w:tcPr>
            <w:tcW w:w="7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14,517,995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11,463,018</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226,003</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596,943</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737,184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937,330</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(Notes 6 and 9)</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7700" w:type="dxa"/>
            <w:vAlign w:val="bottom"/>
          </w:tcPr>
          <w:p>
            <w:pPr>
              <w:ind w:left="200"/>
              <w:spacing w:after="0" w:line="201" w:lineRule="exact"/>
              <w:rPr>
                <w:sz w:val="20"/>
                <w:szCs w:val="20"/>
                <w:color w:val="auto"/>
              </w:rPr>
            </w:pPr>
            <w:r>
              <w:rPr>
                <w:rFonts w:ascii="Arial" w:cs="Arial" w:eastAsia="Arial" w:hAnsi="Arial"/>
                <w:sz w:val="18"/>
                <w:szCs w:val="18"/>
                <w:color w:val="auto"/>
                <w:w w:val="96"/>
              </w:rPr>
              <w:t>Common stock - authorized: 30,000,000 shares of $.05 par value; issued and outstanding: 2001 -</w:t>
            </w: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10,248,788 shares; 2000 - 10,417,739 shares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512,439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520,887</w:t>
            </w:r>
          </w:p>
        </w:tc>
        <w:tc>
          <w:tcPr>
            <w:tcW w:w="140" w:type="dxa"/>
            <w:vAlign w:val="bottom"/>
          </w:tcPr>
          <w:p>
            <w:pPr>
              <w:spacing w:after="0"/>
              <w:rPr>
                <w:sz w:val="20"/>
                <w:szCs w:val="20"/>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37,866,092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38,490,313</w:t>
            </w:r>
          </w:p>
        </w:tc>
        <w:tc>
          <w:tcPr>
            <w:tcW w:w="14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(192,258 )</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20,898,141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17,660,026</w:t>
            </w:r>
          </w:p>
        </w:tc>
        <w:tc>
          <w:tcPr>
            <w:tcW w:w="140" w:type="dxa"/>
            <w:vAlign w:val="bottom"/>
            <w:shd w:val="clear" w:color="auto" w:fill="CCEEFF"/>
          </w:tcPr>
          <w:p>
            <w:pPr>
              <w:spacing w:after="0"/>
              <w:rPr>
                <w:sz w:val="18"/>
                <w:szCs w:val="18"/>
                <w:color w:val="auto"/>
              </w:rPr>
            </w:pPr>
          </w:p>
        </w:tc>
      </w:tr>
      <w:tr>
        <w:trPr>
          <w:trHeight w:val="210"/>
        </w:trPr>
        <w:tc>
          <w:tcPr>
            <w:tcW w:w="7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59,084,414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56,671,226</w:t>
            </w:r>
          </w:p>
        </w:tc>
        <w:tc>
          <w:tcPr>
            <w:tcW w:w="140" w:type="dxa"/>
            <w:vAlign w:val="bottom"/>
            <w:tcBorders>
              <w:bottom w:val="single" w:sz="8" w:color="CCEEFF"/>
            </w:tcBorders>
          </w:tcPr>
          <w:p>
            <w:pPr>
              <w:spacing w:after="0"/>
              <w:rPr>
                <w:sz w:val="18"/>
                <w:szCs w:val="18"/>
                <w:color w:val="auto"/>
              </w:rPr>
            </w:pPr>
          </w:p>
        </w:tc>
      </w:tr>
      <w:tr>
        <w:trPr>
          <w:trHeight w:val="217"/>
        </w:trPr>
        <w:tc>
          <w:tcPr>
            <w:tcW w:w="7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74,868,121</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69,894,520</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60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For the Fiscal Years Ended</w:t>
      </w:r>
    </w:p>
    <w:p>
      <w:pPr>
        <w:spacing w:after="0" w:line="27" w:lineRule="exact"/>
        <w:rPr>
          <w:sz w:val="20"/>
          <w:szCs w:val="20"/>
          <w:color w:val="auto"/>
        </w:rPr>
      </w:pPr>
    </w:p>
    <w:p>
      <w:pPr>
        <w:ind w:left="6640"/>
        <w:spacing w:after="0"/>
        <w:tabs>
          <w:tab w:leader="none" w:pos="8420" w:val="left"/>
          <w:tab w:leader="none" w:pos="10100" w:val="left"/>
        </w:tabs>
        <w:rPr>
          <w:sz w:val="20"/>
          <w:szCs w:val="20"/>
          <w:color w:val="auto"/>
        </w:rPr>
      </w:pPr>
      <w:r>
        <w:rPr>
          <w:rFonts w:ascii="Arial" w:cs="Arial" w:eastAsia="Arial" w:hAnsi="Arial"/>
          <w:sz w:val="18"/>
          <w:szCs w:val="18"/>
          <w:b w:val="1"/>
          <w:bCs w:val="1"/>
          <w:color w:val="auto"/>
        </w:rPr>
        <w:t>September 30,</w:t>
      </w:r>
      <w:r>
        <w:rPr>
          <w:sz w:val="20"/>
          <w:szCs w:val="20"/>
          <w:color w:val="auto"/>
        </w:rPr>
        <w:tab/>
      </w:r>
      <w:r>
        <w:rPr>
          <w:rFonts w:ascii="Arial" w:cs="Arial" w:eastAsia="Arial" w:hAnsi="Arial"/>
          <w:sz w:val="18"/>
          <w:szCs w:val="18"/>
          <w:b w:val="1"/>
          <w:bCs w:val="1"/>
          <w:color w:val="auto"/>
        </w:rPr>
        <w:t>October 1,</w:t>
      </w:r>
      <w:r>
        <w:rPr>
          <w:sz w:val="20"/>
          <w:szCs w:val="20"/>
          <w:color w:val="auto"/>
        </w:rPr>
        <w:tab/>
      </w:r>
      <w:r>
        <w:rPr>
          <w:rFonts w:ascii="Arial" w:cs="Arial" w:eastAsia="Arial" w:hAnsi="Arial"/>
          <w:sz w:val="16"/>
          <w:szCs w:val="16"/>
          <w:b w:val="1"/>
          <w:bCs w:val="1"/>
          <w:color w:val="auto"/>
        </w:rPr>
        <w:t>October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078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420"/>
          </w:cols>
          <w:pgMar w:left="240" w:top="557" w:right="239" w:bottom="0" w:gutter="0" w:footer="0" w:header="0"/>
        </w:sectPr>
      </w:pPr>
    </w:p>
    <w:bookmarkStart w:id="9" w:name="page10"/>
    <w:bookmarkEnd w:id="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1999</w:t>
            </w:r>
          </w:p>
        </w:tc>
        <w:tc>
          <w:tcPr>
            <w:tcW w:w="140" w:type="dxa"/>
            <w:vAlign w:val="bottom"/>
          </w:tcPr>
          <w:p>
            <w:pPr>
              <w:spacing w:after="0"/>
              <w:rPr>
                <w:sz w:val="20"/>
                <w:szCs w:val="20"/>
                <w:color w:val="auto"/>
              </w:rPr>
            </w:pPr>
          </w:p>
        </w:tc>
      </w:tr>
      <w:tr>
        <w:trPr>
          <w:trHeight w:val="210"/>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107,931,668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98,021,731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96,734,470</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(83,634,081 )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(73,219,555 )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(72,790,300 )</w:t>
            </w:r>
          </w:p>
        </w:tc>
      </w:tr>
      <w:tr>
        <w:trPr>
          <w:trHeight w:val="210"/>
        </w:trPr>
        <w:tc>
          <w:tcPr>
            <w:tcW w:w="64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24,297,587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24,802,176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23,944,170</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(14,242,227 )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(11,765,758 )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(10,763,251 )</w:t>
            </w: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 proceeds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2,851,708</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(1,112,127 )</w:t>
            </w:r>
          </w:p>
        </w:tc>
      </w:tr>
      <w:tr>
        <w:trPr>
          <w:trHeight w:val="210"/>
        </w:trPr>
        <w:tc>
          <w:tcPr>
            <w:tcW w:w="64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10,055,360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13,036,418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14,920,500</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727,117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1,073,823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1,121,939</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(26,279 )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(30,192 )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(36,867 )</w:t>
            </w:r>
          </w:p>
        </w:tc>
      </w:tr>
      <w:tr>
        <w:trPr>
          <w:trHeight w:val="210"/>
        </w:trPr>
        <w:tc>
          <w:tcPr>
            <w:tcW w:w="64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10,756,198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14,080,049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16,005,572</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(3,638,620 )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(5,512,350 )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(6,306,930 )</w:t>
            </w:r>
          </w:p>
        </w:tc>
      </w:tr>
      <w:tr>
        <w:trPr>
          <w:trHeight w:val="210"/>
        </w:trPr>
        <w:tc>
          <w:tcPr>
            <w:tcW w:w="64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7,117,578</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8,567,699</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9,698,642</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10,346,964</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10,615,881</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11,130,970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635"/>
        </w:trPr>
        <w:tc>
          <w:tcPr>
            <w:tcW w:w="6440" w:type="dxa"/>
            <w:vAlign w:val="bottom"/>
          </w:tcPr>
          <w:p>
            <w:pPr>
              <w:spacing w:after="0"/>
              <w:rPr>
                <w:sz w:val="20"/>
                <w:szCs w:val="20"/>
                <w:color w:val="auto"/>
              </w:rPr>
            </w:pPr>
            <w:r>
              <w:rPr>
                <w:rFonts w:ascii="Arial" w:cs="Arial" w:eastAsia="Arial" w:hAnsi="Arial"/>
                <w:sz w:val="18"/>
                <w:szCs w:val="18"/>
                <w:color w:val="auto"/>
              </w:rPr>
              <w:t>See accompanying notes to financial statements.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43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ectPr>
          <w:pgSz w:w="11900" w:h="16870"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SEPTEMBER 27, 1998</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Cash dividend</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 acquired and retired</w:t>
      </w:r>
    </w:p>
    <w:p>
      <w:pPr>
        <w:ind w:left="380" w:right="320" w:hanging="179"/>
        <w:spacing w:after="0" w:line="237" w:lineRule="auto"/>
        <w:rPr>
          <w:sz w:val="20"/>
          <w:szCs w:val="20"/>
          <w:color w:val="auto"/>
        </w:rPr>
      </w:pPr>
      <w:r>
        <w:rPr>
          <w:rFonts w:ascii="Arial" w:cs="Arial" w:eastAsia="Arial" w:hAnsi="Arial"/>
          <w:sz w:val="14"/>
          <w:szCs w:val="14"/>
          <w:color w:val="auto"/>
        </w:rPr>
        <w:t>Income tax savings from dividends paid on ESOP shares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and comprehensive income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OCTOBER 3, 1999</w:t>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Cash dividend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 acquired and retired</w:t>
      </w:r>
    </w:p>
    <w:p>
      <w:pPr>
        <w:ind w:left="380" w:hanging="179"/>
        <w:spacing w:after="0" w:line="221" w:lineRule="auto"/>
        <w:rPr>
          <w:sz w:val="20"/>
          <w:szCs w:val="20"/>
          <w:color w:val="auto"/>
        </w:rPr>
      </w:pPr>
      <w:r>
        <w:rPr>
          <w:rFonts w:ascii="Arial" w:cs="Arial" w:eastAsia="Arial" w:hAnsi="Arial"/>
          <w:sz w:val="14"/>
          <w:szCs w:val="14"/>
          <w:color w:val="auto"/>
        </w:rPr>
        <w:t>Stock issued in conjunction with the acquisition of St. Mary’s Chemicals, Inc.</w:t>
      </w:r>
    </w:p>
    <w:p>
      <w:pPr>
        <w:spacing w:after="0" w:line="1" w:lineRule="exact"/>
        <w:rPr>
          <w:sz w:val="20"/>
          <w:szCs w:val="20"/>
          <w:color w:val="auto"/>
        </w:rPr>
      </w:pPr>
    </w:p>
    <w:p>
      <w:pPr>
        <w:ind w:left="380" w:right="320" w:hanging="179"/>
        <w:spacing w:after="0" w:line="237" w:lineRule="auto"/>
        <w:rPr>
          <w:sz w:val="20"/>
          <w:szCs w:val="20"/>
          <w:color w:val="auto"/>
        </w:rPr>
      </w:pPr>
      <w:r>
        <w:rPr>
          <w:rFonts w:ascii="Arial" w:cs="Arial" w:eastAsia="Arial" w:hAnsi="Arial"/>
          <w:sz w:val="14"/>
          <w:szCs w:val="14"/>
          <w:color w:val="auto"/>
        </w:rPr>
        <w:t>Income tax savings from dividends paid on ESOP shares</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and comprehensive income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OCTOBER 1, 2000</w:t>
      </w:r>
    </w:p>
    <w:p>
      <w:pPr>
        <w:spacing w:after="0" w:line="33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Cash dividend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 acquired and retired</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Comprehensive income:</w:t>
      </w:r>
    </w:p>
    <w:p>
      <w:pPr>
        <w:ind w:left="560" w:right="20" w:hanging="179"/>
        <w:spacing w:after="0" w:line="237" w:lineRule="auto"/>
        <w:rPr>
          <w:sz w:val="20"/>
          <w:szCs w:val="20"/>
          <w:color w:val="auto"/>
        </w:rPr>
      </w:pPr>
      <w:r>
        <w:rPr>
          <w:rFonts w:ascii="Arial" w:cs="Arial" w:eastAsia="Arial" w:hAnsi="Arial"/>
          <w:sz w:val="14"/>
          <w:szCs w:val="14"/>
          <w:color w:val="auto"/>
        </w:rPr>
        <w:t>Unrealized loss on investments available for sale</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Comprehensive income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SEPTEMBER 30, 2001</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r>
      <w:tr>
        <w:trPr>
          <w:trHeight w:val="201"/>
        </w:trPr>
        <w:tc>
          <w:tcPr>
            <w:tcW w:w="26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7"/>
                <w:szCs w:val="17"/>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Shareholders’</w:t>
            </w:r>
          </w:p>
        </w:tc>
      </w:tr>
      <w:tr>
        <w:trPr>
          <w:trHeight w:val="210"/>
        </w:trPr>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8"/>
                <w:szCs w:val="18"/>
                <w:color w:val="auto"/>
              </w:rPr>
            </w:pPr>
          </w:p>
        </w:tc>
      </w:tr>
      <w:tr>
        <w:trPr>
          <w:trHeight w:val="441"/>
        </w:trPr>
        <w:tc>
          <w:tcPr>
            <w:tcW w:w="1220" w:type="dxa"/>
            <w:vAlign w:val="bottom"/>
          </w:tcPr>
          <w:p>
            <w:pPr>
              <w:jc w:val="right"/>
              <w:spacing w:after="0"/>
              <w:rPr>
                <w:sz w:val="20"/>
                <w:szCs w:val="20"/>
                <w:color w:val="auto"/>
              </w:rPr>
            </w:pPr>
            <w:r>
              <w:rPr>
                <w:rFonts w:ascii="Arial" w:cs="Arial" w:eastAsia="Arial" w:hAnsi="Arial"/>
                <w:sz w:val="14"/>
                <w:szCs w:val="14"/>
                <w:color w:val="auto"/>
              </w:rPr>
              <w:t>11,450,895</w:t>
            </w:r>
          </w:p>
        </w:tc>
        <w:tc>
          <w:tcPr>
            <w:tcW w:w="16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572,545</w:t>
            </w:r>
          </w:p>
        </w:tc>
        <w:tc>
          <w:tcPr>
            <w:tcW w:w="16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41,960,535</w:t>
            </w:r>
          </w:p>
        </w:tc>
        <w:tc>
          <w:tcPr>
            <w:tcW w:w="16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10,946,888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53,479,968</w:t>
            </w:r>
          </w:p>
        </w:tc>
        <w:tc>
          <w:tcPr>
            <w:tcW w:w="6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(2,981,686 )</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(2,981,686 )</w:t>
            </w:r>
          </w:p>
        </w:tc>
      </w:tr>
      <w:tr>
        <w:trPr>
          <w:trHeight w:val="216"/>
        </w:trPr>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(499,614 )</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(24,981 )</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(1,830,786 )</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(3,032,521 )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(4,888,288 )</w:t>
            </w:r>
          </w:p>
        </w:tc>
      </w:tr>
      <w:tr>
        <w:trPr>
          <w:trHeight w:val="297"/>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266,580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266,580</w:t>
            </w:r>
          </w:p>
        </w:tc>
        <w:tc>
          <w:tcPr>
            <w:tcW w:w="60" w:type="dxa"/>
            <w:vAlign w:val="bottom"/>
          </w:tcPr>
          <w:p>
            <w:pPr>
              <w:spacing w:after="0"/>
              <w:rPr>
                <w:sz w:val="24"/>
                <w:szCs w:val="24"/>
                <w:color w:val="auto"/>
              </w:rPr>
            </w:pPr>
          </w:p>
        </w:tc>
      </w:tr>
      <w:tr>
        <w:trPr>
          <w:trHeight w:val="201"/>
        </w:trPr>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9,698,642</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9,698,642</w:t>
            </w:r>
          </w:p>
        </w:tc>
        <w:tc>
          <w:tcPr>
            <w:tcW w:w="60" w:type="dxa"/>
            <w:vAlign w:val="bottom"/>
          </w:tcPr>
          <w:p>
            <w:pPr>
              <w:spacing w:after="0"/>
              <w:rPr>
                <w:sz w:val="17"/>
                <w:szCs w:val="17"/>
                <w:color w:val="auto"/>
              </w:rPr>
            </w:pPr>
          </w:p>
        </w:tc>
      </w:tr>
      <w:tr>
        <w:trPr>
          <w:trHeight w:val="441"/>
        </w:trPr>
        <w:tc>
          <w:tcPr>
            <w:tcW w:w="1220" w:type="dxa"/>
            <w:vAlign w:val="bottom"/>
          </w:tcPr>
          <w:p>
            <w:pPr>
              <w:jc w:val="right"/>
              <w:spacing w:after="0"/>
              <w:rPr>
                <w:sz w:val="20"/>
                <w:szCs w:val="20"/>
                <w:color w:val="auto"/>
              </w:rPr>
            </w:pPr>
            <w:r>
              <w:rPr>
                <w:rFonts w:ascii="Arial" w:cs="Arial" w:eastAsia="Arial" w:hAnsi="Arial"/>
                <w:sz w:val="14"/>
                <w:szCs w:val="14"/>
                <w:color w:val="auto"/>
              </w:rPr>
              <w:t>10,951,281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547,564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40,129,749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14,897,903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55,575,216</w:t>
            </w:r>
          </w:p>
        </w:tc>
        <w:tc>
          <w:tcPr>
            <w:tcW w:w="6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(3,361,063 )</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(3,361,063 )</w:t>
            </w:r>
          </w:p>
        </w:tc>
      </w:tr>
      <w:tr>
        <w:trPr>
          <w:trHeight w:val="216"/>
        </w:trPr>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(608,900 )</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(30,445 )</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(2,235,668 )</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(2,754,253 )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(5,020,366 )</w:t>
            </w:r>
          </w:p>
        </w:tc>
      </w:tr>
      <w:tr>
        <w:trPr>
          <w:trHeight w:val="297"/>
        </w:trPr>
        <w:tc>
          <w:tcPr>
            <w:tcW w:w="1220" w:type="dxa"/>
            <w:vAlign w:val="bottom"/>
          </w:tcPr>
          <w:p>
            <w:pPr>
              <w:jc w:val="right"/>
              <w:spacing w:after="0"/>
              <w:rPr>
                <w:sz w:val="20"/>
                <w:szCs w:val="20"/>
                <w:color w:val="auto"/>
              </w:rPr>
            </w:pPr>
            <w:r>
              <w:rPr>
                <w:rFonts w:ascii="Arial" w:cs="Arial" w:eastAsia="Arial" w:hAnsi="Arial"/>
                <w:sz w:val="14"/>
                <w:szCs w:val="14"/>
                <w:color w:val="auto"/>
              </w:rPr>
              <w:t>75,358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3,768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596,232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600,000</w:t>
            </w:r>
          </w:p>
        </w:tc>
        <w:tc>
          <w:tcPr>
            <w:tcW w:w="60" w:type="dxa"/>
            <w:vAlign w:val="bottom"/>
          </w:tcPr>
          <w:p>
            <w:pPr>
              <w:spacing w:after="0"/>
              <w:rPr>
                <w:sz w:val="24"/>
                <w:szCs w:val="24"/>
                <w:color w:val="auto"/>
              </w:rPr>
            </w:pPr>
          </w:p>
        </w:tc>
      </w:tr>
      <w:tr>
        <w:trPr>
          <w:trHeight w:val="297"/>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309,740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309,740</w:t>
            </w:r>
          </w:p>
        </w:tc>
        <w:tc>
          <w:tcPr>
            <w:tcW w:w="60" w:type="dxa"/>
            <w:vAlign w:val="bottom"/>
          </w:tcPr>
          <w:p>
            <w:pPr>
              <w:spacing w:after="0"/>
              <w:rPr>
                <w:sz w:val="24"/>
                <w:szCs w:val="24"/>
                <w:color w:val="auto"/>
              </w:rPr>
            </w:pPr>
          </w:p>
        </w:tc>
      </w:tr>
      <w:tr>
        <w:trPr>
          <w:trHeight w:val="201"/>
        </w:trPr>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8,567,699</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8,567,699</w:t>
            </w:r>
          </w:p>
        </w:tc>
        <w:tc>
          <w:tcPr>
            <w:tcW w:w="60" w:type="dxa"/>
            <w:vAlign w:val="bottom"/>
          </w:tcPr>
          <w:p>
            <w:pPr>
              <w:spacing w:after="0"/>
              <w:rPr>
                <w:sz w:val="17"/>
                <w:szCs w:val="17"/>
                <w:color w:val="auto"/>
              </w:rPr>
            </w:pPr>
          </w:p>
        </w:tc>
      </w:tr>
      <w:tr>
        <w:trPr>
          <w:trHeight w:val="441"/>
        </w:trPr>
        <w:tc>
          <w:tcPr>
            <w:tcW w:w="1220" w:type="dxa"/>
            <w:vAlign w:val="bottom"/>
          </w:tcPr>
          <w:p>
            <w:pPr>
              <w:jc w:val="right"/>
              <w:spacing w:after="0"/>
              <w:rPr>
                <w:sz w:val="20"/>
                <w:szCs w:val="20"/>
                <w:color w:val="auto"/>
              </w:rPr>
            </w:pPr>
            <w:r>
              <w:rPr>
                <w:rFonts w:ascii="Arial" w:cs="Arial" w:eastAsia="Arial" w:hAnsi="Arial"/>
                <w:sz w:val="14"/>
                <w:szCs w:val="14"/>
                <w:color w:val="auto"/>
              </w:rPr>
              <w:t>10,417,739</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520,887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38,490,313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17,660,026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56,671,226</w:t>
            </w:r>
          </w:p>
        </w:tc>
        <w:tc>
          <w:tcPr>
            <w:tcW w:w="6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(3,090,491 )</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(3,090,491 )</w:t>
            </w:r>
          </w:p>
        </w:tc>
      </w:tr>
      <w:tr>
        <w:trPr>
          <w:trHeight w:val="216"/>
        </w:trPr>
        <w:tc>
          <w:tcPr>
            <w:tcW w:w="1380" w:type="dxa"/>
            <w:vAlign w:val="bottom"/>
            <w:gridSpan w:val="2"/>
          </w:tcPr>
          <w:p>
            <w:pPr>
              <w:jc w:val="right"/>
              <w:ind w:right="100"/>
              <w:spacing w:after="0"/>
              <w:rPr>
                <w:sz w:val="20"/>
                <w:szCs w:val="20"/>
                <w:color w:val="auto"/>
              </w:rPr>
            </w:pPr>
            <w:r>
              <w:rPr>
                <w:rFonts w:ascii="Arial" w:cs="Arial" w:eastAsia="Arial" w:hAnsi="Arial"/>
                <w:sz w:val="14"/>
                <w:szCs w:val="14"/>
                <w:color w:val="auto"/>
              </w:rPr>
              <w:t>(168,951 )</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(8,448 )</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(624,221 )</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(788,972 )</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(1,421,641 )</w:t>
            </w:r>
          </w:p>
        </w:tc>
      </w:tr>
      <w:tr>
        <w:trPr>
          <w:trHeight w:val="513"/>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(192,258 )</w:t>
            </w: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(192,258 )</w:t>
            </w:r>
          </w:p>
        </w:tc>
      </w:tr>
      <w:tr>
        <w:trPr>
          <w:trHeight w:val="201"/>
        </w:trPr>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7,117,578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7,117,578</w:t>
            </w:r>
          </w:p>
        </w:tc>
        <w:tc>
          <w:tcPr>
            <w:tcW w:w="60" w:type="dxa"/>
            <w:vAlign w:val="bottom"/>
          </w:tcPr>
          <w:p>
            <w:pPr>
              <w:spacing w:after="0"/>
              <w:rPr>
                <w:sz w:val="17"/>
                <w:szCs w:val="17"/>
                <w:color w:val="auto"/>
              </w:rPr>
            </w:pPr>
          </w:p>
        </w:tc>
      </w:tr>
      <w:tr>
        <w:trPr>
          <w:trHeight w:val="196"/>
        </w:trPr>
        <w:tc>
          <w:tcPr>
            <w:tcW w:w="12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6,925,320</w:t>
            </w:r>
          </w:p>
        </w:tc>
        <w:tc>
          <w:tcPr>
            <w:tcW w:w="60" w:type="dxa"/>
            <w:vAlign w:val="bottom"/>
          </w:tcPr>
          <w:p>
            <w:pPr>
              <w:spacing w:after="0"/>
              <w:rPr>
                <w:sz w:val="17"/>
                <w:szCs w:val="17"/>
                <w:color w:val="auto"/>
              </w:rPr>
            </w:pPr>
          </w:p>
        </w:tc>
      </w:tr>
      <w:tr>
        <w:trPr>
          <w:trHeight w:val="412"/>
        </w:trPr>
        <w:tc>
          <w:tcPr>
            <w:tcW w:w="1220" w:type="dxa"/>
            <w:vAlign w:val="bottom"/>
          </w:tcPr>
          <w:p>
            <w:pPr>
              <w:jc w:val="right"/>
              <w:spacing w:after="0"/>
              <w:rPr>
                <w:sz w:val="20"/>
                <w:szCs w:val="20"/>
                <w:color w:val="auto"/>
              </w:rPr>
            </w:pPr>
            <w:r>
              <w:rPr>
                <w:rFonts w:ascii="Arial" w:cs="Arial" w:eastAsia="Arial" w:hAnsi="Arial"/>
                <w:sz w:val="14"/>
                <w:szCs w:val="14"/>
                <w:color w:val="auto"/>
              </w:rPr>
              <w:t>10,248,788</w:t>
            </w:r>
          </w:p>
        </w:tc>
        <w:tc>
          <w:tcPr>
            <w:tcW w:w="16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512,439</w:t>
            </w:r>
          </w:p>
        </w:tc>
        <w:tc>
          <w:tcPr>
            <w:tcW w:w="16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37,866,092</w:t>
            </w:r>
          </w:p>
        </w:tc>
        <w:tc>
          <w:tcPr>
            <w:tcW w:w="16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20,898,141</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3"/>
          </w:tcPr>
          <w:p>
            <w:pPr>
              <w:jc w:val="right"/>
              <w:ind w:right="40"/>
              <w:spacing w:after="0"/>
              <w:rPr>
                <w:sz w:val="20"/>
                <w:szCs w:val="20"/>
                <w:color w:val="auto"/>
              </w:rPr>
            </w:pPr>
            <w:r>
              <w:rPr>
                <w:rFonts w:ascii="Arial" w:cs="Arial" w:eastAsia="Arial" w:hAnsi="Arial"/>
                <w:sz w:val="14"/>
                <w:szCs w:val="14"/>
                <w:color w:val="auto"/>
              </w:rPr>
              <w:t>(192,258 )  $</w:t>
            </w:r>
          </w:p>
        </w:tc>
        <w:tc>
          <w:tcPr>
            <w:tcW w:w="1080" w:type="dxa"/>
            <w:vAlign w:val="bottom"/>
          </w:tcPr>
          <w:p>
            <w:pPr>
              <w:jc w:val="right"/>
              <w:spacing w:after="0"/>
              <w:rPr>
                <w:sz w:val="20"/>
                <w:szCs w:val="20"/>
                <w:color w:val="auto"/>
              </w:rPr>
            </w:pPr>
            <w:r>
              <w:rPr>
                <w:rFonts w:ascii="Arial" w:cs="Arial" w:eastAsia="Arial" w:hAnsi="Arial"/>
                <w:sz w:val="14"/>
                <w:szCs w:val="14"/>
                <w:color w:val="auto"/>
              </w:rPr>
              <w:t>59,084,414</w:t>
            </w:r>
          </w:p>
        </w:tc>
        <w:tc>
          <w:tcPr>
            <w:tcW w:w="60" w:type="dxa"/>
            <w:vAlign w:val="bottom"/>
          </w:tcPr>
          <w:p>
            <w:pPr>
              <w:spacing w:after="0"/>
              <w:rPr>
                <w:sz w:val="24"/>
                <w:szCs w:val="24"/>
                <w:color w:val="auto"/>
              </w:rPr>
            </w:pPr>
          </w:p>
        </w:tc>
      </w:tr>
      <w:tr>
        <w:trPr>
          <w:trHeight w:val="27"/>
        </w:trPr>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-3669665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-3395345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-3121025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-2795270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-2512060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-2237740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-1911985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-1585595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-1303020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-1028700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-753745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-427990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-145415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3000" w:space="200"/>
            <w:col w:w="8220"/>
          </w:cols>
          <w:pgMar w:left="240" w:top="121" w:right="239"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financial statements.</w:t>
      </w:r>
    </w:p>
    <w:p>
      <w:pPr>
        <w:sectPr>
          <w:pgSz w:w="11900" w:h="16870" w:orient="portrait"/>
          <w:cols w:equalWidth="0" w:num="1">
            <w:col w:w="11420"/>
          </w:cols>
          <w:pgMar w:left="240" w:top="12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HAWKINS, INC.</w:t>
      </w:r>
    </w:p>
    <w:p>
      <w:pPr>
        <w:sectPr>
          <w:pgSz w:w="11900" w:h="16870" w:orient="portrait"/>
          <w:cols w:equalWidth="0" w:num="1">
            <w:col w:w="11420"/>
          </w:cols>
          <w:pgMar w:left="240" w:top="121" w:right="239" w:bottom="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52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center"/>
              <w:ind w:left="1070"/>
              <w:spacing w:after="0"/>
              <w:rPr>
                <w:sz w:val="20"/>
                <w:szCs w:val="20"/>
                <w:color w:val="auto"/>
              </w:rPr>
            </w:pPr>
            <w:r>
              <w:rPr>
                <w:rFonts w:ascii="Arial" w:cs="Arial" w:eastAsia="Arial" w:hAnsi="Arial"/>
                <w:sz w:val="18"/>
                <w:szCs w:val="18"/>
                <w:b w:val="1"/>
                <w:bCs w:val="1"/>
                <w:color w:val="auto"/>
                <w:w w:val="89"/>
              </w:rPr>
              <w:t>For the Fiscal Years Ended</w:t>
            </w:r>
          </w:p>
        </w:tc>
        <w:tc>
          <w:tcPr>
            <w:tcW w:w="1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29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240" w:type="dxa"/>
            <w:vAlign w:val="bottom"/>
          </w:tcPr>
          <w:p>
            <w:pPr>
              <w:spacing w:after="0"/>
              <w:rPr>
                <w:sz w:val="16"/>
                <w:szCs w:val="16"/>
                <w:color w:val="auto"/>
              </w:rPr>
            </w:pPr>
          </w:p>
        </w:tc>
        <w:tc>
          <w:tcPr>
            <w:tcW w:w="1460" w:type="dxa"/>
            <w:vAlign w:val="bottom"/>
            <w:gridSpan w:val="2"/>
          </w:tcPr>
          <w:p>
            <w:pPr>
              <w:jc w:val="center"/>
              <w:ind w:right="310"/>
              <w:spacing w:after="0" w:line="191" w:lineRule="exact"/>
              <w:rPr>
                <w:sz w:val="20"/>
                <w:szCs w:val="20"/>
                <w:color w:val="auto"/>
              </w:rPr>
            </w:pPr>
            <w:r>
              <w:rPr>
                <w:rFonts w:ascii="Arial" w:cs="Arial" w:eastAsia="Arial" w:hAnsi="Arial"/>
                <w:sz w:val="18"/>
                <w:szCs w:val="18"/>
                <w:b w:val="1"/>
                <w:bCs w:val="1"/>
                <w:color w:val="auto"/>
                <w:w w:val="92"/>
              </w:rPr>
              <w:t>October 1,</w:t>
            </w:r>
          </w:p>
        </w:tc>
        <w:tc>
          <w:tcPr>
            <w:tcW w:w="240" w:type="dxa"/>
            <w:vAlign w:val="bottom"/>
          </w:tcPr>
          <w:p>
            <w:pPr>
              <w:spacing w:after="0"/>
              <w:rPr>
                <w:sz w:val="16"/>
                <w:szCs w:val="16"/>
                <w:color w:val="auto"/>
              </w:rPr>
            </w:pPr>
          </w:p>
        </w:tc>
        <w:tc>
          <w:tcPr>
            <w:tcW w:w="132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October 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1999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7,117,578</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8,567,699</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9,698,642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to cash flows: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2,727,577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2,259,864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2,099,491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(970,950 )</w:t>
            </w:r>
          </w:p>
        </w:tc>
        <w:tc>
          <w:tcPr>
            <w:tcW w:w="0" w:type="dxa"/>
            <w:vAlign w:val="bottom"/>
          </w:tcPr>
          <w:p>
            <w:pPr>
              <w:spacing w:after="0"/>
              <w:rPr>
                <w:sz w:val="1"/>
                <w:szCs w:val="1"/>
                <w:color w:val="auto"/>
              </w:rPr>
            </w:pPr>
          </w:p>
        </w:tc>
      </w:tr>
      <w:tr>
        <w:trPr>
          <w:trHeight w:val="216"/>
        </w:trPr>
        <w:tc>
          <w:tcPr>
            <w:tcW w:w="6320" w:type="dxa"/>
            <w:vAlign w:val="bottom"/>
          </w:tcPr>
          <w:p>
            <w:pPr>
              <w:ind w:left="380"/>
              <w:spacing w:after="0"/>
              <w:rPr>
                <w:sz w:val="20"/>
                <w:szCs w:val="20"/>
                <w:color w:val="auto"/>
              </w:rPr>
            </w:pPr>
            <w:r>
              <w:rPr>
                <w:rFonts w:ascii="Arial" w:cs="Arial" w:eastAsia="Arial" w:hAnsi="Arial"/>
                <w:sz w:val="18"/>
                <w:szCs w:val="18"/>
                <w:color w:val="auto"/>
              </w:rPr>
              <w:t>Earnings on other assets</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(104,386 )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(108,643 )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(108,745 )</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(gain) from property disposals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(4,266 )</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(256,808 )</w:t>
            </w:r>
          </w:p>
        </w:tc>
        <w:tc>
          <w:tcPr>
            <w:tcW w:w="0" w:type="dxa"/>
            <w:vAlign w:val="bottom"/>
          </w:tcPr>
          <w:p>
            <w:pPr>
              <w:spacing w:after="0"/>
              <w:rPr>
                <w:sz w:val="1"/>
                <w:szCs w:val="1"/>
                <w:color w:val="auto"/>
              </w:rPr>
            </w:pPr>
          </w:p>
        </w:tc>
      </w:tr>
      <w:tr>
        <w:trPr>
          <w:trHeight w:val="216"/>
        </w:trPr>
        <w:tc>
          <w:tcPr>
            <w:tcW w:w="6320" w:type="dxa"/>
            <w:vAlign w:val="bottom"/>
          </w:tcPr>
          <w:p>
            <w:pPr>
              <w:ind w:left="380"/>
              <w:spacing w:after="0"/>
              <w:rPr>
                <w:sz w:val="20"/>
                <w:szCs w:val="20"/>
                <w:color w:val="auto"/>
              </w:rPr>
            </w:pPr>
            <w:r>
              <w:rPr>
                <w:rFonts w:ascii="Arial" w:cs="Arial" w:eastAsia="Arial" w:hAnsi="Arial"/>
                <w:sz w:val="18"/>
                <w:szCs w:val="18"/>
                <w:color w:val="auto"/>
              </w:rPr>
              <w:t>Changes in operating accounts (requiring) providing cash:</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Trade receivables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(601,796 )</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(281,395 )</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5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(3,654,766 )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(513,886 )</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2,437,232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(25,688 )</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5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602,677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(239,529 )</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210,786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(137,997 )</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9,950,745</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9,693,479</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13,847,248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(7,056,226 )</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(7,216,301 )</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(2,449,894 )</w:t>
            </w:r>
          </w:p>
        </w:tc>
        <w:tc>
          <w:tcPr>
            <w:tcW w:w="0" w:type="dxa"/>
            <w:vAlign w:val="bottom"/>
          </w:tcPr>
          <w:p>
            <w:pPr>
              <w:spacing w:after="0"/>
              <w:rPr>
                <w:sz w:val="1"/>
                <w:szCs w:val="1"/>
                <w:color w:val="auto"/>
              </w:rPr>
            </w:pPr>
          </w:p>
        </w:tc>
      </w:tr>
      <w:tr>
        <w:trPr>
          <w:trHeight w:val="216"/>
        </w:trPr>
        <w:tc>
          <w:tcPr>
            <w:tcW w:w="6320" w:type="dxa"/>
            <w:vAlign w:val="bottom"/>
          </w:tcPr>
          <w:p>
            <w:pPr>
              <w:ind w:left="20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(800,597 )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(2,247,230 )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(4,766,585 )</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investments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7,638,064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1,885,814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0"/>
              <w:spacing w:after="0"/>
              <w:rPr>
                <w:sz w:val="20"/>
                <w:szCs w:val="20"/>
                <w:color w:val="auto"/>
              </w:rPr>
            </w:pPr>
            <w:r>
              <w:rPr>
                <w:rFonts w:ascii="Arial" w:cs="Arial" w:eastAsia="Arial" w:hAnsi="Arial"/>
                <w:sz w:val="18"/>
                <w:szCs w:val="18"/>
                <w:color w:val="auto"/>
              </w:rPr>
              <w:t>Proceeds from property disposals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93,453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87,618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428,799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St. Mary’s Chemicals, Inc.</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(2,700,000 )</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Payments received on notes receivable</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356,106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376,862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427,810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(6,375,246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(4,060,987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(4,474,056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0"/>
              <w:spacing w:after="0"/>
              <w:rPr>
                <w:sz w:val="20"/>
                <w:szCs w:val="20"/>
                <w:color w:val="auto"/>
              </w:rPr>
            </w:pPr>
            <w:r>
              <w:rPr>
                <w:rFonts w:ascii="Arial" w:cs="Arial" w:eastAsia="Arial" w:hAnsi="Arial"/>
                <w:sz w:val="18"/>
                <w:szCs w:val="18"/>
                <w:color w:val="auto"/>
              </w:rPr>
              <w:t>Debt repayment</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(102,037 )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(95,362 )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(89,123 )</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(3,118,722 )</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(3,109,181 )</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(2,814,622 )</w:t>
            </w:r>
          </w:p>
        </w:tc>
        <w:tc>
          <w:tcPr>
            <w:tcW w:w="0" w:type="dxa"/>
            <w:vAlign w:val="bottom"/>
          </w:tcPr>
          <w:p>
            <w:pPr>
              <w:spacing w:after="0"/>
              <w:rPr>
                <w:sz w:val="1"/>
                <w:szCs w:val="1"/>
                <w:color w:val="auto"/>
              </w:rPr>
            </w:pPr>
          </w:p>
        </w:tc>
      </w:tr>
      <w:tr>
        <w:trPr>
          <w:trHeight w:val="216"/>
        </w:trPr>
        <w:tc>
          <w:tcPr>
            <w:tcW w:w="6320" w:type="dxa"/>
            <w:vAlign w:val="bottom"/>
          </w:tcPr>
          <w:p>
            <w:pPr>
              <w:ind w:left="200"/>
              <w:spacing w:after="0"/>
              <w:rPr>
                <w:sz w:val="20"/>
                <w:szCs w:val="20"/>
                <w:color w:val="auto"/>
              </w:rPr>
            </w:pPr>
            <w:r>
              <w:rPr>
                <w:rFonts w:ascii="Arial" w:cs="Arial" w:eastAsia="Arial" w:hAnsi="Arial"/>
                <w:sz w:val="18"/>
                <w:szCs w:val="18"/>
                <w:color w:val="auto"/>
              </w:rPr>
              <w:t>Acquisition and retirement of stock</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(1,421,641 )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(5,020,366 )</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(4,888,288 )</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(4,642,400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(8,224,909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(7,792,033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(1,066,901 )</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(2,592,417 )</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2,185,757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4,778,174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3,197,015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1,118,856</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2,185,757</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4,778,174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tcPr>
          <w:p>
            <w:pPr>
              <w:ind w:left="200"/>
              <w:spacing w:after="0" w:line="201" w:lineRule="exact"/>
              <w:rPr>
                <w:sz w:val="20"/>
                <w:szCs w:val="20"/>
                <w:color w:val="auto"/>
              </w:rPr>
            </w:pPr>
            <w:r>
              <w:rPr>
                <w:rFonts w:ascii="Arial" w:cs="Arial" w:eastAsia="Arial" w:hAnsi="Arial"/>
                <w:sz w:val="18"/>
                <w:szCs w:val="18"/>
                <w:color w:val="auto"/>
              </w:rPr>
              <w:t>Stock issued in conjunction with the acquisition of</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 Mary’s Chemicals, Inc.</w:t>
            </w: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0"/>
              <w:spacing w:after="0"/>
              <w:rPr>
                <w:sz w:val="20"/>
                <w:szCs w:val="20"/>
                <w:color w:val="auto"/>
              </w:rPr>
            </w:pPr>
            <w:r>
              <w:rPr>
                <w:rFonts w:ascii="Arial" w:cs="Arial" w:eastAsia="Arial" w:hAnsi="Arial"/>
                <w:sz w:val="18"/>
                <w:szCs w:val="18"/>
                <w:color w:val="auto"/>
              </w:rPr>
              <w:t>Cash paid during the year for:</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33,422</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36,867</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380"/>
              <w:spacing w:after="0" w:line="203" w:lineRule="exact"/>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2,078,071</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6,071,804</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6,079,339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NATURE OF BUSINESS AND SIGNIFICANT ACCOUNTING POLICIES</w:t>
      </w:r>
    </w:p>
    <w:p>
      <w:pPr>
        <w:spacing w:after="0" w:line="225"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i w:val="1"/>
          <w:iCs w:val="1"/>
          <w:color w:val="auto"/>
        </w:rPr>
        <w:t xml:space="preserve">Nature of Business </w:t>
      </w:r>
      <w:r>
        <w:rPr>
          <w:rFonts w:ascii="Arial" w:cs="Arial" w:eastAsia="Arial" w:hAnsi="Arial"/>
          <w:sz w:val="16"/>
          <w:szCs w:val="16"/>
          <w:color w:val="auto"/>
        </w:rPr>
        <w:t>- Hawkins, Inc. (the Company) has two reportable segments: Industrial and Water Treatment. The Industrial segment specializes</w:t>
      </w:r>
      <w:r>
        <w:rPr>
          <w:rFonts w:ascii="Arial" w:cs="Arial" w:eastAsia="Arial" w:hAnsi="Arial"/>
          <w:sz w:val="16"/>
          <w:szCs w:val="16"/>
          <w:i w:val="1"/>
          <w:iCs w:val="1"/>
          <w:color w:val="auto"/>
        </w:rPr>
        <w:t xml:space="preserve"> </w:t>
      </w:r>
      <w:r>
        <w:rPr>
          <w:rFonts w:ascii="Arial" w:cs="Arial" w:eastAsia="Arial" w:hAnsi="Arial"/>
          <w:sz w:val="16"/>
          <w:szCs w:val="16"/>
          <w:color w:val="auto"/>
        </w:rPr>
        <w:t>in providing industrial chemicals and services to the energy, electronics, and plating industries. In addition, the Industrial segment provides products and services to food manufacturers and processing plants and the pharmaceutical industry. The Water Treatment segment specializes in providing water and waste-water treatment equipment and chemicals and in helping customers find solutions to system problems.</w:t>
      </w:r>
    </w:p>
    <w:p>
      <w:pPr>
        <w:spacing w:after="0" w:line="154"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Company's fiscal year is a 52/53-week year ending on the Sunday closest to September 30. The fiscal years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2001, October 1, 2000 and October 3, 1999 were fifty-two, fifty-two and fifty-three week years, respectively.</w:t>
      </w:r>
    </w:p>
    <w:p>
      <w:pPr>
        <w:spacing w:after="0" w:line="170"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Cash equivalents include all liquid debt instruments (primarily cash funds, certificates of deposits, and a money market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with an original maturity of three months or less.</w:t>
      </w:r>
    </w:p>
    <w:p>
      <w:pPr>
        <w:spacing w:after="0" w:line="170"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i w:val="1"/>
          <w:iCs w:val="1"/>
          <w:color w:val="auto"/>
        </w:rPr>
        <w:t xml:space="preserve">Investments Available-For-Sale </w:t>
      </w:r>
      <w:r>
        <w:rPr>
          <w:rFonts w:ascii="Arial" w:cs="Arial" w:eastAsia="Arial" w:hAnsi="Arial"/>
          <w:sz w:val="16"/>
          <w:szCs w:val="16"/>
          <w:color w:val="auto"/>
        </w:rPr>
        <w:t>- In accordance with the provisions of Statement of Financial Accounting Standards (SFAS) No. 115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Certain Investments in Debt and Equity Securities” these investments are carried at fair market value with unrealized gains and losses reported in shareholders’ equity as a component of other comprehensive income (loss). Investments classified as available-for-sale securities consist of mutual funds (19%) and variable rate marketable securities, primarily municipal bonds (71%) and annuity contracts (10%) that will be held for indefinite periods of time, including securities that may be sold in response to changes in market interest or prepayment rates, needs for liquidity or changes in</w:t>
      </w:r>
    </w:p>
    <w:p>
      <w:pPr>
        <w:sectPr>
          <w:pgSz w:w="11900" w:h="16838" w:orient="portrait"/>
          <w:cols w:equalWidth="0" w:num="1">
            <w:col w:w="11420"/>
          </w:cols>
          <w:pgMar w:left="240" w:top="121" w:right="239" w:bottom="0" w:gutter="0" w:footer="0" w:header="0"/>
        </w:sectPr>
      </w:pPr>
    </w:p>
    <w:bookmarkStart w:id="11" w:name="page12"/>
    <w:bookmarkEnd w:id="11"/>
    <w:p>
      <w:pPr>
        <w:spacing w:after="0" w:line="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availability or yield of alternative investments. Gross unrealized losses, primarily within the mutual fund portfolio, were $320,430 as of September 30, 2001. In fiscal years 2001, 2000 and 1999, proceeds from the sale of investments available-for-sale were $1,032,018, $7,638,064, and $1,885,814, respectively. Gross realized gains and losses were not material for fiscal years 2001, 2000 and 1999.</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consisting primarily of finished goods, are primarily valued at the lower of cost or net realizable value, with cost being</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last-in, first-out (LIFO) method.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is stated at cost and depreciated over the lives of the assets using both straight-line and declining-balance</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Estimated lives are: 10 to 50 years for buildings and improvements; 3 to 15 years for machinery and equipment; 3 to 10 years for transportation equipment; and 3 to 10 years for office furniture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Intangibles Assets </w:t>
      </w:r>
      <w:r>
        <w:rPr>
          <w:rFonts w:ascii="Arial" w:cs="Arial" w:eastAsia="Arial" w:hAnsi="Arial"/>
          <w:sz w:val="16"/>
          <w:szCs w:val="16"/>
          <w:color w:val="auto"/>
        </w:rPr>
        <w:t>– Intangible assets consist primarily of customer lists, trademarks, and trade names acquired in previous business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values assigned to the intangible assets are being amortized primarily over 15 years.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Investments Held-To-Maturity </w:t>
      </w:r>
      <w:r>
        <w:rPr>
          <w:rFonts w:ascii="Arial" w:cs="Arial" w:eastAsia="Arial" w:hAnsi="Arial"/>
          <w:sz w:val="18"/>
          <w:szCs w:val="18"/>
          <w:color w:val="auto"/>
        </w:rPr>
        <w:t>- Held-to-maturity securities consist of Minnesota municipal bonds, which the Company has the intent and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hold to maturity, and are valued at amortized historical cost, increased for accretion of discounts and reduced by amortization of premiums, computed by the constant-yield method. Investments held-to-maturity, included within other assets, were $2,146,700 and $2,050,503 at September 30, 2001 and October 1, 2000, respectively.</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Recoverability of Long-Lived Assets </w:t>
      </w:r>
      <w:r>
        <w:rPr>
          <w:rFonts w:ascii="Arial" w:cs="Arial" w:eastAsia="Arial" w:hAnsi="Arial"/>
          <w:sz w:val="17"/>
          <w:szCs w:val="17"/>
          <w:color w:val="auto"/>
        </w:rPr>
        <w:t>- The Company reviews its long-lived assets whenever events or changes in circumstances indicate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 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revenues when transfer of title occurs.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Shipping and Handling – </w:t>
      </w:r>
      <w:r>
        <w:rPr>
          <w:rFonts w:ascii="Arial" w:cs="Arial" w:eastAsia="Arial" w:hAnsi="Arial"/>
          <w:sz w:val="18"/>
          <w:szCs w:val="18"/>
          <w:color w:val="auto"/>
        </w:rPr>
        <w:t>In fiscal 2001, the Company adopted Emerging Issues Task Force (EITF) 00-10, “Accounting for Shipping and Handling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EITF 00-10 requires all amounts billed to customers in a sales transaction related to shipping and handling to be classified as sales. Historically the Company recorded these amounts related to shipping and handling in cost of sales. Prior period sales and cost of sales have been adjusted for this change, which had no effect on previously reported net income.</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utilizes SFAS No. 109, “Accounting for Income Taxes.” Under SFAS No. 109, the deferred tax assets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are recognized based on differences between the financial statements and the tax bases of assets and liabilities using presently enacted tax rates.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Basic and diluted earnings per share are computed by dividing net income by the weighted average number of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Reclassifications </w:t>
      </w:r>
      <w:r>
        <w:rPr>
          <w:rFonts w:ascii="Arial" w:cs="Arial" w:eastAsia="Arial" w:hAnsi="Arial"/>
          <w:sz w:val="17"/>
          <w:szCs w:val="17"/>
          <w:color w:val="auto"/>
        </w:rPr>
        <w:t>– Certain reclassifications have been made to the fiscal 2000 and 1999 financial statements to conform to the presentation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fiscal 2001 financial statements. The reclassifications had no effect on shareholders’ equity or net income as previously reported.</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Concentrations of Credit Risk </w:t>
      </w:r>
      <w:r>
        <w:rPr>
          <w:rFonts w:ascii="Arial" w:cs="Arial" w:eastAsia="Arial" w:hAnsi="Arial"/>
          <w:sz w:val="18"/>
          <w:szCs w:val="18"/>
          <w:color w:val="auto"/>
        </w:rPr>
        <w:t>- Financial instruments which potentially subject the Company to a concentration of credit risk principally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cash, 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a money market account at a single financial institution. At September 30, 2001, the Company had deposits in excess of federally insured limits of approximately $1,000,000.</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the end of fiscal 2001, the Company also had an investment portfolio of fixed income securities, excluding $13,256,419 of those classified as cash and cash equivalents and variable rate securities, of $1,491,152.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on net income or cash flows.</w:t>
      </w:r>
    </w:p>
    <w:p>
      <w:pPr>
        <w:spacing w:after="0" w:line="17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Derivative Instruments and Hedging Activities </w:t>
      </w:r>
      <w:r>
        <w:rPr>
          <w:rFonts w:ascii="Arial" w:cs="Arial" w:eastAsia="Arial" w:hAnsi="Arial"/>
          <w:sz w:val="16"/>
          <w:szCs w:val="16"/>
          <w:color w:val="auto"/>
        </w:rPr>
        <w:t>– In fiscal 2001, the Company adopted SFAS No. 133, “Accounting for Derivative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Activities,” as amended by SFAS No. 138, “Accounting for Certain Derivative Instruments and Certain Hedging Activities.” SFAS No.</w:t>
      </w:r>
    </w:p>
    <w:p>
      <w:pPr>
        <w:ind w:right="20"/>
        <w:spacing w:after="0" w:line="290" w:lineRule="auto"/>
        <w:rPr>
          <w:sz w:val="20"/>
          <w:szCs w:val="20"/>
          <w:color w:val="auto"/>
        </w:rPr>
      </w:pPr>
      <w:r>
        <w:rPr>
          <w:rFonts w:ascii="Arial" w:cs="Arial" w:eastAsia="Arial" w:hAnsi="Arial"/>
          <w:sz w:val="16"/>
          <w:szCs w:val="16"/>
          <w:color w:val="auto"/>
        </w:rPr>
        <w:t>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No. 133 and has determined that the Company has no freestanding or embedded derivatives. All contracts that contain provisions meeting the definition of a derivative also meet the requirements of, and have been designated as, normal purchases and sales. The Company’s policy is to not use freestanding derivatives and to not enter into contracts with terms that cannot be designated as normal purchases or sales.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 There are no concentrations of business transacted with a particular customer or supplier nor concentrations of sales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service or geographic area that would severely impact the Company in the near term.</w:t>
      </w:r>
    </w:p>
    <w:p>
      <w:pPr>
        <w:spacing w:after="0" w:line="17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i w:val="1"/>
          <w:iCs w:val="1"/>
          <w:color w:val="auto"/>
        </w:rPr>
        <w:t xml:space="preserve">Accounting Pronouncements </w:t>
      </w:r>
      <w:r>
        <w:rPr>
          <w:rFonts w:ascii="Arial" w:cs="Arial" w:eastAsia="Arial" w:hAnsi="Arial"/>
          <w:sz w:val="17"/>
          <w:szCs w:val="17"/>
          <w:color w:val="auto"/>
        </w:rPr>
        <w:t>– In July 2001, the Financial Accounting Standards Board (FASB) issued SFAS No. 141, “Business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SFAS No. 141 requires the use of the purchase method of accounting for all business combination initiated after June 30, 2001 and all acquisitions dated July 1, 2001 or later. The Company adopted the provisions of SFAS No. 141 during fiscal 2001.</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July 2001, the FASB also issued SFAS No. 142, “Goodwill and Other Intangible Assets.” The Company will adopt the provisions of SFAS No. 142 for other intangibles and goodwill acquired before June 30, 2001 on the first day of fiscal 2003. Under SFAS No. 142, goodwill as well as other</w:t>
      </w:r>
    </w:p>
    <w:p>
      <w:pPr>
        <w:sectPr>
          <w:pgSz w:w="11900" w:h="16840" w:orient="portrait"/>
          <w:cols w:equalWidth="0" w:num="1">
            <w:col w:w="10760"/>
          </w:cols>
          <w:pgMar w:left="900" w:top="125" w:right="239" w:bottom="0" w:gutter="0" w:footer="0" w:header="0"/>
        </w:sectPr>
      </w:pPr>
    </w:p>
    <w:bookmarkStart w:id="12" w:name="page13"/>
    <w:bookmarkEnd w:id="12"/>
    <w:p>
      <w:pPr>
        <w:spacing w:after="0" w:line="8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intangibles determined to have an indefinite life will no longer be amortized; however, these assets will be reviewed for impairment on a periodic basis. SFAS No. 142 also includes provisions for the reclassification of certain existing recognized intangibles as goodwill, reclassification of certain intangibles out of previously reported goodwill and the identification of reporting units for purposes of assessing potential future impairments of goodwill.</w:t>
      </w:r>
    </w:p>
    <w:p>
      <w:pPr>
        <w:spacing w:after="0" w:line="18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The Company does not expect the implementation of the SFAS No. 142 to materially impact the Company’s financial statements. As of September 30, 2001 the Company had net other intangibles assets of $3,486,890. Amortization expense recorded during fiscal 2001, 2000, and 1999 was $283,485, $136,561 and $63,098, respectively.</w:t>
      </w:r>
    </w:p>
    <w:p>
      <w:pPr>
        <w:spacing w:after="0" w:line="181"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In August 2001, the FASB issued SFAS No. 143, “Accounting for Asset Retirement Obligations.” SFAS No. 143 requires entities to record the fair value of a liability for an asset retirement obligation in the period in which it is incurred. When the liability is initially recorded, the entity capitalizes a cost by increasing the carrying amount of the related long-lived asset. Over time, the liability is accreted to its present value each period, and the capitalized cost is depreciated over the useful life of the related asset. Upon settlement of the liability, an entity either settles the obligation for its recorded amount or incurs a gain or loss upon settlement. SFAS No. 143 is effective for fiscal years beginning after June 15, 2002. The Company expects to adopt SFAS No. 143 in fiscal 2003. The Company has not yet determined the impact of SFAS No. 143 on its financial position and results of operations.</w:t>
      </w:r>
    </w:p>
    <w:p>
      <w:pPr>
        <w:spacing w:after="0" w:line="189"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In September 2001, the FASB also issued SFAS No. 144, “Accounting for the Impairment or Disposal of Long-Lived Assets.” SFAS No. 144 requires that long-lived assets to be disposed of by sale, including discontinued operations, to be measured at the lower of the carrying cost or fair value less cost to sell, whether reported in continuing operations or in discontinued operations. SFAS No. 144 also broadens the reporting of discontinued operations to include all components of an entity with operations that can be distinguished from the rest of the entity and that will be eliminated from the ongoing operations of the entity in a disposal transaction. The provisions of SFAS No. 144 are effective for financial statements issued for fiscal years beginning after December 15, 2001, and, generally, are to be applied prospectively. The Company expects to adopt SFAS No. 144 in fiscal 2003. The Company has not yet determined the impact of SFAS No. 144 on its financial position and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0"/>
                <w:szCs w:val="20"/>
                <w:color w:val="auto"/>
              </w:rPr>
            </w:pPr>
          </w:p>
        </w:tc>
        <w:tc>
          <w:tcPr>
            <w:tcW w:w="6300" w:type="dxa"/>
            <w:vAlign w:val="bottom"/>
          </w:tcPr>
          <w:p>
            <w:pPr>
              <w:ind w:left="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560" w:type="dxa"/>
            <w:vAlign w:val="bottom"/>
            <w:gridSpan w:val="2"/>
          </w:tcPr>
          <w:p>
            <w:pPr>
              <w:ind w:left="260"/>
              <w:spacing w:after="0"/>
              <w:rPr>
                <w:sz w:val="20"/>
                <w:szCs w:val="20"/>
                <w:color w:val="auto"/>
              </w:rPr>
            </w:pPr>
            <w:r>
              <w:rPr>
                <w:rFonts w:ascii="Arial" w:cs="Arial" w:eastAsia="Arial" w:hAnsi="Arial"/>
                <w:sz w:val="18"/>
                <w:szCs w:val="18"/>
                <w:color w:val="auto"/>
                <w:w w:val="95"/>
              </w:rPr>
              <w:t>Inventories at September 30, 2001 and October 1, 2000 consisted of the following:</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2001</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2000</w:t>
            </w:r>
          </w:p>
        </w:tc>
        <w:tc>
          <w:tcPr>
            <w:tcW w:w="22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(FIFO basis)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15,697,925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9,505,795</w:t>
            </w:r>
          </w:p>
        </w:tc>
        <w:tc>
          <w:tcPr>
            <w:tcW w:w="22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LIFO reserve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(3,113,202 )</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(575,838 )</w:t>
            </w:r>
          </w:p>
        </w:tc>
      </w:tr>
      <w:tr>
        <w:trPr>
          <w:trHeight w:val="217"/>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inventory</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12,584,723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8,929,957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Inventories valued under the LIFO method for the fiscal years ended September 30, 2001 and October 1, 2000, were approximately $14,422,762 and $8,121,829, respectively. The balance of the inventory was valued under the FIFO method.</w:t>
      </w:r>
    </w:p>
    <w:p>
      <w:pPr>
        <w:spacing w:after="0" w:line="170"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NOTES RECEIVABLE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three notes receivable related to the sales of Tessman Seed, Inc., land and building, and The Lynde Company. At September 30,</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2001 and October 1, 2000, the net balance outstanding on the notes receivable were $2,413,172 and $2,769,278, respectively. The current portion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$221,431 and $157,701 at September 30, 2001 and October 1, 2000, respectively, are included within prepaid expenses and other current assets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remaining balances are included within other assets. The notes receivable bear interest at 8% and are due in equal monthly installments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$36,204 through September 1, 2010 at which time the remaining unpaid balance of $1,213,163 is due. The notes receivable are secured by land and</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building, and a personal guarantee.</w:t>
      </w:r>
    </w:p>
    <w:p>
      <w:pPr>
        <w:spacing w:after="0" w:line="211"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at September 30, 2001 and October 1, 2000 is summarized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2001</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2000</w:t>
            </w:r>
          </w:p>
        </w:tc>
        <w:tc>
          <w:tcPr>
            <w:tcW w:w="220" w:type="dxa"/>
            <w:vAlign w:val="bottom"/>
          </w:tcPr>
          <w:p>
            <w:pPr>
              <w:spacing w:after="0"/>
              <w:rPr>
                <w:sz w:val="20"/>
                <w:szCs w:val="20"/>
                <w:color w:val="auto"/>
              </w:rPr>
            </w:pPr>
          </w:p>
        </w:tc>
      </w:tr>
      <w:tr>
        <w:trPr>
          <w:trHeight w:val="210"/>
        </w:trPr>
        <w:tc>
          <w:tcPr>
            <w:tcW w:w="6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Note payable, due in annual installments to October 2002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328,040</w:t>
            </w:r>
          </w:p>
        </w:tc>
        <w:tc>
          <w:tcPr>
            <w:tcW w:w="220" w:type="dxa"/>
            <w:vAlign w:val="bottom"/>
            <w:shd w:val="clear" w:color="auto" w:fill="CCEEFF"/>
          </w:tcPr>
          <w:p>
            <w:pPr>
              <w:spacing w:after="0"/>
              <w:rPr>
                <w:sz w:val="18"/>
                <w:szCs w:val="18"/>
                <w:color w:val="auto"/>
              </w:rPr>
            </w:pPr>
          </w:p>
        </w:tc>
      </w:tr>
      <w:tr>
        <w:trPr>
          <w:trHeight w:val="216"/>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109,180</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102,037</w:t>
            </w:r>
          </w:p>
        </w:tc>
        <w:tc>
          <w:tcPr>
            <w:tcW w:w="220" w:type="dxa"/>
            <w:vAlign w:val="bottom"/>
            <w:tcBorders>
              <w:bottom w:val="single" w:sz="8" w:color="CCEEFF"/>
            </w:tcBorders>
          </w:tcPr>
          <w:p>
            <w:pPr>
              <w:spacing w:after="0"/>
              <w:rPr>
                <w:sz w:val="18"/>
                <w:szCs w:val="18"/>
                <w:color w:val="auto"/>
              </w:rPr>
            </w:pPr>
          </w:p>
        </w:tc>
      </w:tr>
      <w:tr>
        <w:trPr>
          <w:trHeight w:val="217"/>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116,823</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226,003</w:t>
            </w:r>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maturities for the fiscal years subsequent to 2001 are: 2002 - $109,180 and 2003 - $116,823.</w:t>
      </w:r>
    </w:p>
    <w:p>
      <w:pPr>
        <w:spacing w:after="0" w:line="225"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SHAREHOLDERS' EQUITY</w:t>
      </w:r>
    </w:p>
    <w:p>
      <w:pPr>
        <w:spacing w:after="0" w:line="22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During fiscal 2001, 2000 and 1999, the Company acquired and retired 168,951, 608,900 and 499,614, shares of common stock, respectively, for $1,421,641, $5,020,366 and $4,888,288, respectively.</w:t>
      </w:r>
    </w:p>
    <w:p>
      <w:pPr>
        <w:spacing w:after="0" w:line="170"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The Company has various operating leases for land and buildings on which some of its operations are located. Total rental expense for fiscal 2001, 2000 and 1999 was $172,552, $136,416 and $53,843, respectively. Future minimum lease payments due under operating leases with an initial term of one year or more at September 30, 2001 are $176,212 in 2002, $176,183 in 2003, $112,416 in 2004, $94,204 in 2005, $94,204 in 2006, and $2,074,040 thereafter.</w:t>
      </w:r>
    </w:p>
    <w:p>
      <w:pPr>
        <w:spacing w:after="0" w:line="187"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PENSION AND EMPLOYEE STOCK OWNERSHIP PLANS</w:t>
      </w:r>
    </w:p>
    <w:p>
      <w:pPr>
        <w:spacing w:after="0" w:line="225" w:lineRule="exact"/>
        <w:rPr>
          <w:sz w:val="20"/>
          <w:szCs w:val="20"/>
          <w:color w:val="auto"/>
        </w:rPr>
      </w:pPr>
    </w:p>
    <w:p>
      <w:pPr>
        <w:ind w:left="660" w:right="220"/>
        <w:spacing w:after="0" w:line="312" w:lineRule="auto"/>
        <w:rPr>
          <w:sz w:val="20"/>
          <w:szCs w:val="20"/>
          <w:color w:val="auto"/>
        </w:rPr>
      </w:pPr>
      <w:r>
        <w:rPr>
          <w:rFonts w:ascii="Arial" w:cs="Arial" w:eastAsia="Arial" w:hAnsi="Arial"/>
          <w:sz w:val="16"/>
          <w:szCs w:val="16"/>
          <w:color w:val="auto"/>
        </w:rPr>
        <w:t>The Company has a defined contribution pension plan covering substantially all of its non-union employees. Pension expense for the years ended September 30, 2001, October 1, 2000 and October 3, 1999 was $870,787, $751,936 and $578,975, respectively. Beginning in fiscal 2000, the Company's cost for the pension plan is determined as 10% of each employee's covered compensation compared to 7% in prior years. Amounts</w:t>
      </w:r>
    </w:p>
    <w:p>
      <w:pPr>
        <w:sectPr>
          <w:pgSz w:w="11900" w:h="16925" w:orient="portrait"/>
          <w:cols w:equalWidth="0" w:num="1">
            <w:col w:w="11400"/>
          </w:cols>
          <w:pgMar w:left="240" w:top="125" w:right="259" w:bottom="0" w:gutter="0" w:footer="0" w:header="0"/>
        </w:sectPr>
      </w:pPr>
    </w:p>
    <w:bookmarkStart w:id="13" w:name="page14"/>
    <w:bookmarkEnd w:id="13"/>
    <w:p>
      <w:pPr>
        <w:ind w:left="660" w:right="160"/>
        <w:spacing w:after="0" w:line="277" w:lineRule="auto"/>
        <w:rPr>
          <w:sz w:val="20"/>
          <w:szCs w:val="20"/>
          <w:color w:val="auto"/>
        </w:rPr>
      </w:pPr>
      <w:r>
        <w:rPr>
          <w:rFonts w:ascii="Arial" w:cs="Arial" w:eastAsia="Arial" w:hAnsi="Arial"/>
          <w:sz w:val="18"/>
          <w:szCs w:val="18"/>
          <w:color w:val="auto"/>
        </w:rPr>
        <w:t>charged to pension expense and contributed to union multi-employer pension plans (not included in the above amounts) were not material. It is the Company's policy to fund all pension costs accrued.</w:t>
      </w:r>
    </w:p>
    <w:p>
      <w:pPr>
        <w:spacing w:after="0" w:line="170"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The Company has an employee stock ownership plan covering substantially all of its non-union employees. Contributions are made at the discretion of the Board of Directors subject to a maximum amount allowed under the Internal Revenue Code. Contributions for the years ended September 30, 2001, October 1, 2000 and October 3, 1999 were $1,027,828, $787,667 and $1,049,779,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currently offer any post-retirement benefits, deferred stock or stock-based compensation plans.</w:t>
      </w:r>
    </w:p>
    <w:p>
      <w:pPr>
        <w:spacing w:after="0" w:line="225"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 CHARGES</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During fiscal 1999, the Company entered into termination agreements with three former employees and recorded Special Charges in the Statement of Income of $1,112,127. At September 30, 2001, the Company is required to make future payments to the individuals for periods of 3 months to 4 years. The present value of the future payments to be paid in fiscal 2002 is included in Other Accruals and the present value of the remaining payments is included in Other Long-term Liabilities.</w:t>
      </w:r>
    </w:p>
    <w:p>
      <w:pPr>
        <w:spacing w:after="0" w:line="187" w:lineRule="exact"/>
        <w:rPr>
          <w:sz w:val="20"/>
          <w:szCs w:val="20"/>
          <w:color w:val="auto"/>
        </w:rPr>
      </w:pPr>
    </w:p>
    <w:p>
      <w:pPr>
        <w:ind w:left="720" w:hanging="712"/>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225" w:lineRule="exact"/>
        <w:rPr>
          <w:sz w:val="20"/>
          <w:szCs w:val="20"/>
          <w:color w:val="auto"/>
        </w:rPr>
      </w:pPr>
    </w:p>
    <w:p>
      <w:pPr>
        <w:ind w:left="660" w:right="180"/>
        <w:spacing w:after="0" w:line="257" w:lineRule="auto"/>
        <w:rPr>
          <w:sz w:val="20"/>
          <w:szCs w:val="20"/>
          <w:color w:val="auto"/>
        </w:rPr>
      </w:pPr>
      <w:r>
        <w:rPr>
          <w:rFonts w:ascii="Arial" w:cs="Arial" w:eastAsia="Arial" w:hAnsi="Arial"/>
          <w:sz w:val="18"/>
          <w:szCs w:val="18"/>
          <w:color w:val="auto"/>
        </w:rPr>
        <w:t>During 1995, there was a fire in the office/warehouse of The Lynde Company, a former wholly-owned subsidiary of the Company. Charges of $1,771,439 in 1997 and $750,000 in 1995 were recorded to cover legal fees and settlement costs in connection with the Company's defense of a lawsuit filed against it as a result of the fire. Other costs paid amounted to approximately $300,000. Most, but not all, of the claimants have now been paid under a settlement agreement and the Company anticipates that the remaining claims will be covered by the Company's umbrella insurer as to the cost of defense and claims payment.</w:t>
      </w:r>
    </w:p>
    <w:p>
      <w:pPr>
        <w:spacing w:after="0" w:line="188"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Company's primary and umbrella insurers denied coverage and refused to defend the lawsuit. During fiscal 1999, the Company prevailed in its claims against its insurers and has been reimbursed for substantially all of its settlement and legal expenses.</w:t>
      </w:r>
    </w:p>
    <w:p>
      <w:pPr>
        <w:spacing w:after="0" w:line="170"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In addition, 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181"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provisions (benefits) for income taxes for the fiscal years ended September 30, 2001, October 1, 2000 and October 3, 1999 are as follows: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1999</w:t>
            </w:r>
          </w:p>
        </w:tc>
        <w:tc>
          <w:tcPr>
            <w:tcW w:w="200" w:type="dxa"/>
            <w:vAlign w:val="bottom"/>
          </w:tcPr>
          <w:p>
            <w:pPr>
              <w:spacing w:after="0"/>
              <w:rPr>
                <w:sz w:val="20"/>
                <w:szCs w:val="20"/>
                <w:color w:val="auto"/>
              </w:rPr>
            </w:pPr>
          </w:p>
        </w:tc>
      </w:tr>
      <w:tr>
        <w:trPr>
          <w:trHeight w:val="210"/>
        </w:trPr>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Federal - current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2,591,327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4,094,040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5,862,780</w:t>
            </w: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States - current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632,652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1,240,990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1,415,100</w:t>
            </w: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414,641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(970,950 )</w:t>
            </w:r>
          </w:p>
        </w:tc>
      </w:tr>
      <w:tr>
        <w:trPr>
          <w:trHeight w:val="217"/>
        </w:trPr>
        <w:tc>
          <w:tcPr>
            <w:tcW w:w="4800" w:type="dxa"/>
            <w:vAlign w:val="bottom"/>
          </w:tcPr>
          <w:p>
            <w:pPr>
              <w:ind w:left="180"/>
              <w:spacing w:after="0"/>
              <w:rPr>
                <w:sz w:val="20"/>
                <w:szCs w:val="20"/>
                <w:color w:val="auto"/>
              </w:rPr>
            </w:pPr>
            <w:r>
              <w:rPr>
                <w:rFonts w:ascii="Arial" w:cs="Arial" w:eastAsia="Arial" w:hAnsi="Arial"/>
                <w:sz w:val="18"/>
                <w:szCs w:val="18"/>
                <w:color w:val="auto"/>
              </w:rPr>
              <w:t>Total provision</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3,638,620</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5,512,350</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6,306,930</w:t>
            </w:r>
          </w:p>
        </w:tc>
        <w:tc>
          <w:tcPr>
            <w:tcW w:w="200" w:type="dxa"/>
            <w:vAlign w:val="bottom"/>
          </w:tcPr>
          <w:p>
            <w:pPr>
              <w:spacing w:after="0"/>
              <w:rPr>
                <w:sz w:val="18"/>
                <w:szCs w:val="18"/>
                <w:color w:val="auto"/>
              </w:rPr>
            </w:pPr>
          </w:p>
        </w:tc>
      </w:tr>
    </w:tbl>
    <w:p>
      <w:pPr>
        <w:spacing w:after="0" w:line="202"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Reconciliation of the provision for income taxes, based on income from continuing operations, to the applicable federal statutory income tax rate of 35% for the fiscal years ended September 30, 2001, October 1, 2000 and October 3, 1999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1999</w:t>
            </w:r>
          </w:p>
        </w:tc>
        <w:tc>
          <w:tcPr>
            <w:tcW w:w="160" w:type="dxa"/>
            <w:vAlign w:val="bottom"/>
          </w:tcPr>
          <w:p>
            <w:pPr>
              <w:spacing w:after="0"/>
              <w:rPr>
                <w:sz w:val="20"/>
                <w:szCs w:val="20"/>
                <w:color w:val="auto"/>
              </w:rPr>
            </w:pPr>
          </w:p>
        </w:tc>
      </w:tr>
      <w:tr>
        <w:trPr>
          <w:trHeight w:val="210"/>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3,764,669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4,928,017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5,601,950</w:t>
            </w: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490,750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806,644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919,815</w:t>
            </w: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(139,329 )</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(142,344 )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(165,390 )</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ESOP dividend deduction on allocated shares</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(235,902 )</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(241,568 )</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(79,967 )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(49,445 )</w:t>
            </w:r>
          </w:p>
        </w:tc>
      </w:tr>
      <w:tr>
        <w:trPr>
          <w:trHeight w:val="217"/>
        </w:trPr>
        <w:tc>
          <w:tcPr>
            <w:tcW w:w="476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3,638,620</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5,512,350</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6,306,930</w:t>
            </w:r>
          </w:p>
        </w:tc>
        <w:tc>
          <w:tcPr>
            <w:tcW w:w="16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tax effects of items comprising the Company's net deferred tax asset (liability) as of September 30, 2001 and October 1, 2000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2000</w:t>
            </w:r>
          </w:p>
        </w:tc>
        <w:tc>
          <w:tcPr>
            <w:tcW w:w="16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130,650</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908,000</w:t>
            </w:r>
          </w:p>
        </w:tc>
        <w:tc>
          <w:tcPr>
            <w:tcW w:w="1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Accruals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302,893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386,960</w:t>
            </w:r>
          </w:p>
        </w:tc>
        <w:tc>
          <w:tcPr>
            <w:tcW w:w="160" w:type="dxa"/>
            <w:vAlign w:val="bottom"/>
            <w:tcBorders>
              <w:bottom w:val="single" w:sz="8" w:color="CCEEFF"/>
            </w:tcBorders>
          </w:tcPr>
          <w:p>
            <w:pPr>
              <w:spacing w:after="0"/>
              <w:rPr>
                <w:sz w:val="18"/>
                <w:szCs w:val="18"/>
                <w:color w:val="auto"/>
              </w:rPr>
            </w:pPr>
          </w:p>
        </w:tc>
      </w:tr>
      <w:tr>
        <w:trPr>
          <w:trHeight w:val="217"/>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958,345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1,444,960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Gain on sale of The Lynde Company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740" w:type="dxa"/>
            <w:vAlign w:val="bottom"/>
            <w:gridSpan w:val="3"/>
          </w:tcPr>
          <w:p>
            <w:pPr>
              <w:jc w:val="right"/>
              <w:ind w:right="150"/>
              <w:spacing w:after="0"/>
              <w:rPr>
                <w:sz w:val="20"/>
                <w:szCs w:val="20"/>
                <w:color w:val="auto"/>
              </w:rPr>
            </w:pPr>
            <w:r>
              <w:rPr>
                <w:rFonts w:ascii="Arial" w:cs="Arial" w:eastAsia="Arial" w:hAnsi="Arial"/>
                <w:sz w:val="18"/>
                <w:szCs w:val="18"/>
                <w:color w:val="auto"/>
              </w:rPr>
              <w:t>(610,643 )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(331,000 )</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basis difference</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(254,713 )</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(606,330 )</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loss on investments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r>
      <w:tr>
        <w:trPr>
          <w:trHeight w:val="230"/>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(737,184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419"/>
        </w:trPr>
        <w:tc>
          <w:tcPr>
            <w:tcW w:w="440" w:type="dxa"/>
            <w:vAlign w:val="bottom"/>
          </w:tcPr>
          <w:p>
            <w:pPr>
              <w:spacing w:after="0"/>
              <w:rPr>
                <w:sz w:val="24"/>
                <w:szCs w:val="24"/>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*Included in prepaid expenses and other current assets on the balance sheet.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40" w:type="dxa"/>
            <w:vAlign w:val="bottom"/>
          </w:tcPr>
          <w:p>
            <w:pPr>
              <w:jc w:val="right"/>
              <w:ind w:right="130"/>
              <w:spacing w:after="0"/>
              <w:rPr>
                <w:sz w:val="20"/>
                <w:szCs w:val="20"/>
                <w:color w:val="auto"/>
              </w:rPr>
            </w:pPr>
            <w:r>
              <w:rPr>
                <w:rFonts w:ascii="Arial" w:cs="Arial" w:eastAsia="Arial" w:hAnsi="Arial"/>
                <w:sz w:val="18"/>
                <w:szCs w:val="18"/>
                <w:color w:val="auto"/>
                <w:w w:val="79"/>
              </w:rPr>
              <w:t>11.</w:t>
            </w:r>
          </w:p>
        </w:tc>
        <w:tc>
          <w:tcPr>
            <w:tcW w:w="220" w:type="dxa"/>
            <w:vAlign w:val="bottom"/>
          </w:tcPr>
          <w:p>
            <w:pPr>
              <w:spacing w:after="0"/>
              <w:rPr>
                <w:sz w:val="24"/>
                <w:szCs w:val="24"/>
                <w:color w:val="auto"/>
              </w:rPr>
            </w:pPr>
          </w:p>
        </w:tc>
        <w:tc>
          <w:tcPr>
            <w:tcW w:w="6280" w:type="dxa"/>
            <w:vAlign w:val="bottom"/>
          </w:tcPr>
          <w:p>
            <w:pPr>
              <w:ind w:left="60"/>
              <w:spacing w:after="0"/>
              <w:rPr>
                <w:sz w:val="20"/>
                <w:szCs w:val="20"/>
                <w:color w:val="auto"/>
              </w:rPr>
            </w:pPr>
            <w:r>
              <w:rPr>
                <w:rFonts w:ascii="Arial" w:cs="Arial" w:eastAsia="Arial" w:hAnsi="Arial"/>
                <w:sz w:val="18"/>
                <w:szCs w:val="18"/>
                <w:color w:val="auto"/>
              </w:rPr>
              <w:t>ST. MARY’S CHEMICALS, INC. ACQUISITION</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420"/>
          </w:cols>
          <w:pgMar w:left="240" w:top="125" w:right="239" w:bottom="157" w:gutter="0" w:footer="0" w:header="0"/>
        </w:sectPr>
      </w:pPr>
    </w:p>
    <w:bookmarkStart w:id="14" w:name="page15"/>
    <w:bookmarkEnd w:id="14"/>
    <w:p>
      <w:pPr>
        <w:ind w:left="660"/>
        <w:spacing w:after="0" w:line="312" w:lineRule="auto"/>
        <w:rPr>
          <w:sz w:val="20"/>
          <w:szCs w:val="20"/>
          <w:color w:val="auto"/>
        </w:rPr>
      </w:pPr>
      <w:r>
        <w:rPr>
          <w:rFonts w:ascii="Arial" w:cs="Arial" w:eastAsia="Arial" w:hAnsi="Arial"/>
          <w:sz w:val="16"/>
          <w:szCs w:val="16"/>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In connection with the acquisition, assets purchased, common stock issued, and cash consideration paid were as follows:</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Assets acquired:</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36,843</w:t>
            </w:r>
          </w:p>
        </w:tc>
        <w:tc>
          <w:tcPr>
            <w:tcW w:w="14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12,692</w:t>
            </w:r>
          </w:p>
        </w:tc>
        <w:tc>
          <w:tcPr>
            <w:tcW w:w="140" w:type="dxa"/>
            <w:vAlign w:val="bottom"/>
          </w:tcPr>
          <w:p>
            <w:pPr>
              <w:spacing w:after="0"/>
              <w:rPr>
                <w:sz w:val="18"/>
                <w:szCs w:val="18"/>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3,250,465</w:t>
            </w:r>
          </w:p>
        </w:tc>
        <w:tc>
          <w:tcPr>
            <w:tcW w:w="140" w:type="dxa"/>
            <w:vAlign w:val="bottom"/>
            <w:shd w:val="clear" w:color="auto" w:fill="CCEEFF"/>
          </w:tcPr>
          <w:p>
            <w:pPr>
              <w:spacing w:after="0"/>
              <w:rPr>
                <w:sz w:val="18"/>
                <w:szCs w:val="18"/>
                <w:color w:val="auto"/>
              </w:rPr>
            </w:pPr>
          </w:p>
        </w:tc>
      </w:tr>
      <w:tr>
        <w:trPr>
          <w:trHeight w:val="210"/>
        </w:trPr>
        <w:tc>
          <w:tcPr>
            <w:tcW w:w="7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3,300,000</w:t>
            </w:r>
          </w:p>
        </w:tc>
        <w:tc>
          <w:tcPr>
            <w:tcW w:w="14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(75,358 shares)</w:t>
            </w:r>
          </w:p>
        </w:tc>
        <w:tc>
          <w:tcPr>
            <w:tcW w:w="4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r>
      <w:tr>
        <w:trPr>
          <w:trHeight w:val="217"/>
        </w:trPr>
        <w:tc>
          <w:tcPr>
            <w:tcW w:w="7960" w:type="dxa"/>
            <w:vAlign w:val="bottom"/>
          </w:tcPr>
          <w:p>
            <w:pPr>
              <w:spacing w:after="0"/>
              <w:rPr>
                <w:sz w:val="20"/>
                <w:szCs w:val="20"/>
                <w:color w:val="auto"/>
              </w:rPr>
            </w:pPr>
            <w:r>
              <w:rPr>
                <w:rFonts w:ascii="Arial" w:cs="Arial" w:eastAsia="Arial" w:hAnsi="Arial"/>
                <w:sz w:val="18"/>
                <w:szCs w:val="18"/>
                <w:color w:val="auto"/>
              </w:rPr>
              <w:t>Cash consideration paid</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2,700,000</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jc w:val="both"/>
        <w:ind w:left="660" w:right="80"/>
        <w:spacing w:after="0" w:line="264" w:lineRule="auto"/>
        <w:rPr>
          <w:sz w:val="20"/>
          <w:szCs w:val="20"/>
          <w:color w:val="auto"/>
        </w:rPr>
      </w:pPr>
      <w:r>
        <w:rPr>
          <w:rFonts w:ascii="Arial" w:cs="Arial" w:eastAsia="Arial" w:hAnsi="Arial"/>
          <w:sz w:val="18"/>
          <w:szCs w:val="18"/>
          <w:color w:val="auto"/>
        </w:rPr>
        <w:t>The acquisition was accounted for using the purchase method of accounting. The operations of Universal Chemicals are included in the Company's statement of income beginning on May 26, 2000. The pro forma effect of this acquisition on prior periods sales, operating income, and earnings per share were not significant.</w:t>
      </w:r>
    </w:p>
    <w:p>
      <w:pPr>
        <w:spacing w:after="0" w:line="181"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On May 26, 2000, the Company also entered into a five-year employment agreement with one of the previous owners of Universal Chemicals and consulting agreements with the other two previous owners of Universal Chemicals. The employment agreement and consulting agreements contain performance bonuses and non-compete provisions. The agreements are based on Universal Chemicals' operating results, as defined, for five years after the acquisition date and have a maximum payment of $3,520,000. The non-compete provisions cover a period of five years after the termination of the employment or consulting agreements, and require annual payments of $100,000 to $200,000 depending on Universal Chemicals' operating results, as defined, for five years after the termination date.</w:t>
      </w:r>
    </w:p>
    <w:p>
      <w:pPr>
        <w:spacing w:after="0" w:line="178"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Company has two reportable segments: Industrial and Water Treatment. The Industrial segment specializes in providing industrial chemicals and services to the energy, electronics, and plating industries. In addition, the Industrial segment provides products and services to the food manufacturers and processing plants and the pharmaceutical industry. The Water Treatment segment specializes in providing water and waste-water treatment equipment and chemicals and in helping customers find solutions to system problems.</w:t>
      </w:r>
    </w:p>
    <w:p>
      <w:pPr>
        <w:spacing w:after="0" w:line="187"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Water</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Reportable Segments</w:t>
            </w:r>
          </w:p>
        </w:tc>
        <w:tc>
          <w:tcPr>
            <w:tcW w:w="24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Industrial</w:t>
            </w:r>
          </w:p>
        </w:tc>
        <w:tc>
          <w:tcPr>
            <w:tcW w:w="22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Treatment</w:t>
            </w:r>
          </w:p>
        </w:tc>
        <w:tc>
          <w:tcPr>
            <w:tcW w:w="3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73,818,768</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34,112,900</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107,931,668</w:t>
            </w:r>
          </w:p>
        </w:tc>
        <w:tc>
          <w:tcPr>
            <w:tcW w:w="1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59,990,184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23,643,897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83,634,081</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13,828,584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10,469,003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24,297,587</w:t>
            </w:r>
          </w:p>
        </w:tc>
        <w:tc>
          <w:tcPr>
            <w:tcW w:w="1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3,850,444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6,204,916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10,055,360</w:t>
            </w: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44,622,720</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14,244,584</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58,867,304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67,324,400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30,697,331</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98,021,731</w:t>
            </w:r>
          </w:p>
        </w:tc>
        <w:tc>
          <w:tcPr>
            <w:tcW w:w="1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52,088,658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21,130,897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73,219,555</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15,235,742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9,566,434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24,802,176</w:t>
            </w:r>
          </w:p>
        </w:tc>
        <w:tc>
          <w:tcPr>
            <w:tcW w:w="1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7,526,740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5,509,678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13,036,418</w:t>
            </w: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42,710,196</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8,057,357</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50,767,553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1999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67,823,960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28,910,510</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96,734,470</w:t>
            </w:r>
          </w:p>
        </w:tc>
        <w:tc>
          <w:tcPr>
            <w:tcW w:w="1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52,845,755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19,944,545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72,790,300</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14,978,205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8,965,965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23,944,170</w:t>
            </w:r>
          </w:p>
        </w:tc>
        <w:tc>
          <w:tcPr>
            <w:tcW w:w="1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6,902,505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5,166,287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12,068,792</w:t>
            </w:r>
          </w:p>
        </w:tc>
        <w:tc>
          <w:tcPr>
            <w:tcW w:w="1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36,763,233</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5,357,446</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42,120,679</w:t>
            </w:r>
          </w:p>
        </w:tc>
        <w:tc>
          <w:tcPr>
            <w:tcW w:w="16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Profit Reconciliation</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2000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1999</w:t>
            </w:r>
          </w:p>
        </w:tc>
        <w:tc>
          <w:tcPr>
            <w:tcW w:w="160" w:type="dxa"/>
            <w:vAlign w:val="bottom"/>
          </w:tcPr>
          <w:p>
            <w:pPr>
              <w:spacing w:after="0"/>
              <w:rPr>
                <w:sz w:val="20"/>
                <w:szCs w:val="20"/>
                <w:color w:val="auto"/>
              </w:rPr>
            </w:pPr>
          </w:p>
        </w:tc>
      </w:tr>
      <w:tr>
        <w:trPr>
          <w:trHeight w:val="210"/>
        </w:trPr>
        <w:tc>
          <w:tcPr>
            <w:tcW w:w="4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for reportable segments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10,055,360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13,036,418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12,068,792</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Unallocated corporate income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2,851,708</w:t>
            </w:r>
          </w:p>
        </w:tc>
        <w:tc>
          <w:tcPr>
            <w:tcW w:w="160" w:type="dxa"/>
            <w:vAlign w:val="bottom"/>
            <w:tcBorders>
              <w:bottom w:val="single" w:sz="8" w:color="CCEEFF"/>
            </w:tcBorders>
          </w:tcPr>
          <w:p>
            <w:pPr>
              <w:spacing w:after="0"/>
              <w:rPr>
                <w:sz w:val="18"/>
                <w:szCs w:val="18"/>
                <w:color w:val="auto"/>
              </w:rPr>
            </w:pPr>
          </w:p>
        </w:tc>
      </w:tr>
      <w:tr>
        <w:trPr>
          <w:trHeight w:val="217"/>
        </w:trPr>
        <w:tc>
          <w:tcPr>
            <w:tcW w:w="4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10,055,360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13,036,418</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14,920,500</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25" w:lineRule="exact"/>
        <w:rPr>
          <w:sz w:val="20"/>
          <w:szCs w:val="20"/>
          <w:color w:val="auto"/>
        </w:rPr>
      </w:pPr>
    </w:p>
    <w:p>
      <w:pPr>
        <w:ind w:right="440" w:firstLine="720"/>
        <w:spacing w:after="0" w:line="277" w:lineRule="auto"/>
        <w:rPr>
          <w:sz w:val="20"/>
          <w:szCs w:val="20"/>
          <w:color w:val="auto"/>
        </w:rPr>
      </w:pPr>
      <w:r>
        <w:rPr>
          <w:rFonts w:ascii="Arial" w:cs="Arial" w:eastAsia="Arial" w:hAnsi="Arial"/>
          <w:sz w:val="18"/>
          <w:szCs w:val="18"/>
          <w:color w:val="auto"/>
        </w:rPr>
        <w:t>No changes in accountants or disagreements between the Registrant and its accountants regarding accounting principles or financial statement disclosure have occurred during the Registrant's two most recent fiscal years or any subsequent interim period.</w:t>
      </w:r>
    </w:p>
    <w:p>
      <w:pPr>
        <w:sectPr>
          <w:pgSz w:w="11900" w:h="16838" w:orient="portrait"/>
          <w:cols w:equalWidth="0" w:num="1">
            <w:col w:w="11400"/>
          </w:cols>
          <w:pgMar w:left="240" w:top="125" w:right="259" w:bottom="0" w:gutter="0" w:footer="0" w:header="0"/>
        </w:sectPr>
      </w:pPr>
    </w:p>
    <w:bookmarkStart w:id="15" w:name="page16"/>
    <w:bookmarkEnd w:id="15"/>
    <w:p>
      <w:pPr>
        <w:ind w:left="5380"/>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AND EXECUTIVE OFFICERS OF THE REGISTRANT.</w:t>
      </w:r>
    </w:p>
    <w:p>
      <w:pPr>
        <w:spacing w:after="0" w:line="225" w:lineRule="exact"/>
        <w:rPr>
          <w:sz w:val="20"/>
          <w:szCs w:val="20"/>
          <w:color w:val="auto"/>
        </w:rPr>
      </w:pPr>
    </w:p>
    <w:p>
      <w:pPr>
        <w:ind w:right="240" w:firstLine="720"/>
        <w:spacing w:after="0" w:line="277" w:lineRule="auto"/>
        <w:rPr>
          <w:sz w:val="20"/>
          <w:szCs w:val="20"/>
          <w:color w:val="auto"/>
        </w:rPr>
      </w:pPr>
      <w:r>
        <w:rPr>
          <w:rFonts w:ascii="Arial" w:cs="Arial" w:eastAsia="Arial" w:hAnsi="Arial"/>
          <w:sz w:val="18"/>
          <w:szCs w:val="18"/>
          <w:color w:val="auto"/>
        </w:rPr>
        <w:t>The information under the captions "Election of Directors" and "Section 16 (a) Beneficial Ownership Reporting Compliance" in the 2002 Proxy Statement is incorporated herein by this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information under the caption "Compensation of Executive Officers and Directors" in the 2002 Proxy Statement is incorporated herein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w:t>
      </w:r>
    </w:p>
    <w:p>
      <w:pPr>
        <w:spacing w:after="0" w:line="225" w:lineRule="exact"/>
        <w:rPr>
          <w:sz w:val="20"/>
          <w:szCs w:val="20"/>
          <w:color w:val="auto"/>
        </w:rPr>
      </w:pPr>
    </w:p>
    <w:p>
      <w:pPr>
        <w:ind w:right="200" w:firstLine="720"/>
        <w:spacing w:after="0" w:line="277" w:lineRule="auto"/>
        <w:rPr>
          <w:sz w:val="20"/>
          <w:szCs w:val="20"/>
          <w:color w:val="auto"/>
        </w:rPr>
      </w:pPr>
      <w:r>
        <w:rPr>
          <w:rFonts w:ascii="Arial" w:cs="Arial" w:eastAsia="Arial" w:hAnsi="Arial"/>
          <w:sz w:val="18"/>
          <w:szCs w:val="18"/>
          <w:color w:val="auto"/>
        </w:rPr>
        <w:t>The information under the caption "Security Ownership of Management and Beneficial Ownership" in the 2002 Proxy Statement is incorporated herein by this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w:t>
      </w:r>
    </w:p>
    <w:p>
      <w:pPr>
        <w:spacing w:after="0" w:line="225"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The information under the captions "Election of Directors" and "Related Party Transactions" in the 2002 Proxy Statement is incorporated herein by this reference.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14.  EXHIBITS, FINANCIAL STATEMENT SCHEDULES, AND REPORTS ON FORM 8-K.</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REGISTRANT.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Auditors' Report.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Sheets at September 30, 2001 and October 1, 2000.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Income for the Years Ended September 30, 2001, October 1, 2000, and October 3, 1999.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Shareholders' Equity for the Years Ended September 30, 2001, October 1, 2000, and October 3, 1999.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Statements of Cash Flows for the Years Ended September 30, 2001, October 1, 2000, and October 3, 1999.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REGISTRANT.</w:t>
      </w:r>
    </w:p>
    <w:p>
      <w:pPr>
        <w:spacing w:after="0" w:line="225"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Auditors' Report on Schedule.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financial statement schedule for the years ended September 30, 2001, October 1, 2000 and October 3, 1999 is included herein.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and Exhibits attached as a separate section of this Annual Report on Form 10-K.</w:t>
      </w:r>
    </w:p>
    <w:p>
      <w:pPr>
        <w:spacing w:after="0" w:line="22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A copy of any of the exhibits listed or referred to above will be furnished at a reasonable cost to any person who is a shareholder of the Registrant upon receipt from any such person of a written request for any such exhibit. Such request should be sent to Hawkins, Inc., 3100 East Hennepin Avenue, Minneapolis, Minnesota, 55413, Attention: Corporate Secretary.</w:t>
      </w:r>
    </w:p>
    <w:p>
      <w:pPr>
        <w:spacing w:after="0" w:line="181"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There are no management contracts or compensatory plans or arrangements required to be filed as an exhibit to this Annual Report on Form 10-K pursuant to Item 14(a)(3).</w:t>
      </w:r>
    </w:p>
    <w:p>
      <w:pPr>
        <w:spacing w:after="0" w:line="170" w:lineRule="exact"/>
        <w:rPr>
          <w:sz w:val="20"/>
          <w:szCs w:val="20"/>
          <w:color w:val="auto"/>
        </w:rPr>
      </w:pPr>
    </w:p>
    <w:p>
      <w:pPr>
        <w:ind w:left="660" w:right="8620" w:hanging="652"/>
        <w:spacing w:after="0" w:line="528" w:lineRule="auto"/>
        <w:tabs>
          <w:tab w:leader="none" w:pos="7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ON FORM 8-K. None.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0" w:firstLine="7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on December 20, 2001.</w:t>
      </w:r>
    </w:p>
    <w:p>
      <w:pPr>
        <w:sectPr>
          <w:pgSz w:w="11900" w:h="16838" w:orient="portrait"/>
          <w:cols w:equalWidth="0" w:num="1">
            <w:col w:w="11340"/>
          </w:cols>
          <w:pgMar w:left="240" w:top="341" w:right="319" w:bottom="0" w:gutter="0" w:footer="0" w:header="0"/>
        </w:sectPr>
      </w:pPr>
    </w:p>
    <w:bookmarkStart w:id="16" w:name="page17"/>
    <w:bookmarkEnd w:id="16"/>
    <w:p>
      <w:pPr>
        <w:spacing w:after="0" w:line="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HAWKINS, INC.</w:t>
      </w:r>
    </w:p>
    <w:p>
      <w:pPr>
        <w:spacing w:after="0" w:line="23" w:lineRule="exact"/>
        <w:rPr>
          <w:sz w:val="20"/>
          <w:szCs w:val="20"/>
          <w:color w:val="auto"/>
        </w:rPr>
      </w:pPr>
    </w:p>
    <w:p>
      <w:pPr>
        <w:ind w:left="55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R. Hawkins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R. Hawkins,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Pursuant to the requirements of the Securities Exchange Act of 1934,this report has also been signed below by the following persons on behalf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and in the capacities indicated on December 20,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John R. Hawkins</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John R. Hawkins, Chief Executive Officer,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Kurt R. Norman</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Kurt R. Norman, President,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Dean L. Hahn</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Dean L. Hahn,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Donald L. Shipp</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Donald L. Shipp,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Howard M. Hawkins</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Howard M. Hawkins,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John S. McKeon</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John S. McKeon,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Duane M. Jergenson</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Duane M. Jergenson,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G. Robert Gey</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G. Robert Gey,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Daryl I. Skaar</w:t>
            </w:r>
          </w:p>
        </w:tc>
      </w:tr>
      <w:tr>
        <w:trPr>
          <w:trHeight w:val="224"/>
        </w:trPr>
        <w:tc>
          <w:tcPr>
            <w:tcW w:w="520" w:type="dxa"/>
            <w:vAlign w:val="bottom"/>
          </w:tcPr>
          <w:p>
            <w:pPr>
              <w:spacing w:after="0"/>
              <w:rPr>
                <w:sz w:val="19"/>
                <w:szCs w:val="19"/>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Daryl I. Skaar, Director</w:t>
            </w: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Marvin E. Dee</w:t>
            </w:r>
          </w:p>
        </w:tc>
      </w:tr>
      <w:tr>
        <w:trPr>
          <w:trHeight w:val="195"/>
        </w:trPr>
        <w:tc>
          <w:tcPr>
            <w:tcW w:w="520" w:type="dxa"/>
            <w:vAlign w:val="bottom"/>
          </w:tcPr>
          <w:p>
            <w:pPr>
              <w:spacing w:after="0"/>
              <w:rPr>
                <w:sz w:val="16"/>
                <w:szCs w:val="16"/>
                <w:color w:val="auto"/>
              </w:rPr>
            </w:pPr>
          </w:p>
        </w:tc>
        <w:tc>
          <w:tcPr>
            <w:tcW w:w="5060" w:type="dxa"/>
            <w:vAlign w:val="bottom"/>
          </w:tcPr>
          <w:p>
            <w:pPr>
              <w:ind w:left="280"/>
              <w:spacing w:after="0" w:line="195" w:lineRule="exact"/>
              <w:rPr>
                <w:sz w:val="20"/>
                <w:szCs w:val="20"/>
                <w:color w:val="auto"/>
              </w:rPr>
            </w:pPr>
            <w:r>
              <w:rPr>
                <w:rFonts w:ascii="Arial" w:cs="Arial" w:eastAsia="Arial" w:hAnsi="Arial"/>
                <w:sz w:val="18"/>
                <w:szCs w:val="18"/>
                <w:color w:val="auto"/>
              </w:rPr>
              <w:t>Marvin E. Dee, Chief Financial Officer,</w:t>
            </w:r>
          </w:p>
        </w:tc>
      </w:tr>
      <w:tr>
        <w:trPr>
          <w:trHeight w:val="230"/>
        </w:trPr>
        <w:tc>
          <w:tcPr>
            <w:tcW w:w="520" w:type="dxa"/>
            <w:vAlign w:val="bottom"/>
          </w:tcPr>
          <w:p>
            <w:pPr>
              <w:spacing w:after="0"/>
              <w:rPr>
                <w:sz w:val="20"/>
                <w:szCs w:val="20"/>
                <w:color w:val="auto"/>
              </w:rPr>
            </w:pPr>
          </w:p>
        </w:tc>
        <w:tc>
          <w:tcPr>
            <w:tcW w:w="5060" w:type="dxa"/>
            <w:vAlign w:val="bottom"/>
          </w:tcPr>
          <w:p>
            <w:pPr>
              <w:ind w:left="280"/>
              <w:spacing w:after="0"/>
              <w:rPr>
                <w:sz w:val="20"/>
                <w:szCs w:val="20"/>
                <w:color w:val="auto"/>
              </w:rPr>
            </w:pPr>
            <w:r>
              <w:rPr>
                <w:rFonts w:ascii="Arial" w:cs="Arial" w:eastAsia="Arial" w:hAnsi="Arial"/>
                <w:sz w:val="18"/>
                <w:szCs w:val="18"/>
                <w:color w:val="auto"/>
              </w:rPr>
              <w:t>Vice President, Secretary, Treasurer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 ON SCHEDULE</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audited the financial statements of Hawkins, Inc. (the Company) as of September 30, 2001 and October 1, 2000, and for each of the three years in the period ended September 30, 2001, and have issued our report thereon dated December 6, 2001; such report is included elsewhere in this Form 10-K. Our audits also included the financial statement schedule of the Company, listed in Item 14(a)(2). This financial statement schedule is the responsibility of the Company's management. Our responsibility is to express an opinion based on our audits. In our opinion, this financial statement schedule, when considered in relation to the basic financial statements taken as a whole, presents fairly in all material respects the information set forth therein.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6, 2001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YEARS ENDED SEPTEMBER 30, 2001, OCTOBER 1, 2000 AND OCTOBER 3,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43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8"/>
              </w:rPr>
              <w:t>Balance at</w:t>
            </w:r>
          </w:p>
        </w:tc>
        <w:tc>
          <w:tcPr>
            <w:tcW w:w="2820" w:type="dxa"/>
            <w:vAlign w:val="bottom"/>
            <w:gridSpan w:val="4"/>
          </w:tcPr>
          <w:p>
            <w:pPr>
              <w:ind w:left="940"/>
              <w:spacing w:after="0"/>
              <w:rPr>
                <w:sz w:val="20"/>
                <w:szCs w:val="20"/>
                <w:color w:val="auto"/>
              </w:rPr>
            </w:pPr>
            <w:r>
              <w:rPr>
                <w:rFonts w:ascii="Arial" w:cs="Arial" w:eastAsia="Arial" w:hAnsi="Arial"/>
                <w:sz w:val="18"/>
                <w:szCs w:val="18"/>
                <w:b w:val="1"/>
                <w:bCs w:val="1"/>
                <w:color w:val="auto"/>
              </w:rPr>
              <w:t>Additions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2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Charged to</w:t>
            </w:r>
          </w:p>
        </w:tc>
        <w:tc>
          <w:tcPr>
            <w:tcW w:w="1220" w:type="dxa"/>
            <w:vAlign w:val="bottom"/>
            <w:tcBorders>
              <w:top w:val="single" w:sz="8" w:color="auto"/>
            </w:tcBorders>
          </w:tcPr>
          <w:p>
            <w:pPr>
              <w:ind w:left="280"/>
              <w:spacing w:after="0" w:line="191" w:lineRule="exact"/>
              <w:rPr>
                <w:sz w:val="20"/>
                <w:szCs w:val="20"/>
                <w:color w:val="auto"/>
              </w:rPr>
            </w:pPr>
            <w:r>
              <w:rPr>
                <w:rFonts w:ascii="Arial" w:cs="Arial" w:eastAsia="Arial" w:hAnsi="Arial"/>
                <w:sz w:val="18"/>
                <w:szCs w:val="18"/>
                <w:b w:val="1"/>
                <w:bCs w:val="1"/>
                <w:color w:val="auto"/>
              </w:rPr>
              <w:t>Charged</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Beginning</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Costs and</w:t>
            </w: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 Other</w:t>
            </w: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Deductions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34"/>
        </w:trPr>
        <w:tc>
          <w:tcPr>
            <w:tcW w:w="4360" w:type="dxa"/>
            <w:vAlign w:val="bottom"/>
            <w:gridSpan w:val="2"/>
          </w:tcPr>
          <w:p>
            <w:pPr>
              <w:ind w:left="1640"/>
              <w:spacing w:after="0"/>
              <w:rPr>
                <w:sz w:val="20"/>
                <w:szCs w:val="20"/>
                <w:color w:val="auto"/>
              </w:rPr>
            </w:pPr>
            <w:r>
              <w:rPr>
                <w:rFonts w:ascii="Arial" w:cs="Arial" w:eastAsia="Arial" w:hAnsi="Arial"/>
                <w:sz w:val="18"/>
                <w:szCs w:val="18"/>
                <w:b w:val="1"/>
                <w:bCs w:val="1"/>
                <w:color w:val="auto"/>
              </w:rPr>
              <w:t>Description</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of Year</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Expenses</w:t>
            </w:r>
          </w:p>
        </w:tc>
        <w:tc>
          <w:tcPr>
            <w:tcW w:w="1400" w:type="dxa"/>
            <w:vAlign w:val="bottom"/>
            <w:gridSpan w:val="2"/>
          </w:tcPr>
          <w:p>
            <w:pPr>
              <w:ind w:left="260"/>
              <w:spacing w:after="0"/>
              <w:rPr>
                <w:sz w:val="20"/>
                <w:szCs w:val="20"/>
                <w:color w:val="auto"/>
              </w:rPr>
            </w:pPr>
            <w:r>
              <w:rPr>
                <w:rFonts w:ascii="Arial" w:cs="Arial" w:eastAsia="Arial" w:hAnsi="Arial"/>
                <w:sz w:val="18"/>
                <w:szCs w:val="18"/>
                <w:b w:val="1"/>
                <w:bCs w:val="1"/>
                <w:color w:val="auto"/>
              </w:rPr>
              <w:t>Accounts</w:t>
            </w: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Write-Offs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Reserve deducted from</w:t>
            </w:r>
          </w:p>
        </w:tc>
        <w:tc>
          <w:tcPr>
            <w:tcW w:w="300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1"/>
              </w:rPr>
              <w:t>asset to which it applies -</w:t>
            </w: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4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6"/>
        </w:trPr>
        <w:tc>
          <w:tcPr>
            <w:tcW w:w="1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2"/>
        </w:trPr>
        <w:tc>
          <w:tcPr>
            <w:tcW w:w="1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YEAR ENDED:</w:t>
            </w:r>
          </w:p>
        </w:tc>
        <w:tc>
          <w:tcPr>
            <w:tcW w:w="3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September 30, 2001</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70,803</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112,803</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335,000</w:t>
            </w:r>
          </w:p>
        </w:tc>
      </w:tr>
      <w:tr>
        <w:trPr>
          <w:trHeight w:val="216"/>
        </w:trPr>
        <w:tc>
          <w:tcPr>
            <w:tcW w:w="1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2"/>
        </w:trPr>
        <w:tc>
          <w:tcPr>
            <w:tcW w:w="1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YEAR ENDED</w:t>
            </w:r>
          </w:p>
        </w:tc>
        <w:tc>
          <w:tcPr>
            <w:tcW w:w="3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1, 2000</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380,000</w:t>
            </w:r>
          </w:p>
        </w:tc>
        <w:tc>
          <w:tcPr>
            <w:tcW w:w="4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377,000</w:t>
            </w:r>
          </w:p>
        </w:tc>
      </w:tr>
      <w:tr>
        <w:trPr>
          <w:trHeight w:val="216"/>
        </w:trPr>
        <w:tc>
          <w:tcPr>
            <w:tcW w:w="17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2"/>
        </w:trPr>
        <w:tc>
          <w:tcPr>
            <w:tcW w:w="1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YEAR ENDED:</w:t>
            </w:r>
          </w:p>
        </w:tc>
        <w:tc>
          <w:tcPr>
            <w:tcW w:w="3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1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 1999</w:t>
            </w:r>
          </w:p>
        </w:tc>
        <w:tc>
          <w:tcPr>
            <w:tcW w:w="3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378,726</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131,771</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130,497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134" w:right="2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gridSpan w:val="2"/>
          </w:tcPr>
          <w:p>
            <w:pPr>
              <w:ind w:left="380"/>
              <w:spacing w:after="0"/>
              <w:rPr>
                <w:sz w:val="20"/>
                <w:szCs w:val="20"/>
                <w:color w:val="auto"/>
              </w:rPr>
            </w:pPr>
            <w:r>
              <w:rPr>
                <w:rFonts w:ascii="Arial" w:cs="Arial" w:eastAsia="Arial" w:hAnsi="Arial"/>
                <w:sz w:val="18"/>
                <w:szCs w:val="18"/>
                <w:b w:val="1"/>
                <w:bCs w:val="1"/>
                <w:color w:val="auto"/>
              </w:rPr>
              <w:t>Exhibit No.</w:t>
            </w:r>
          </w:p>
        </w:tc>
        <w:tc>
          <w:tcPr>
            <w:tcW w:w="4640" w:type="dxa"/>
            <w:vAlign w:val="bottom"/>
          </w:tcPr>
          <w:p>
            <w:pPr>
              <w:ind w:left="1460"/>
              <w:spacing w:after="0"/>
              <w:rPr>
                <w:sz w:val="20"/>
                <w:szCs w:val="20"/>
                <w:color w:val="auto"/>
              </w:rPr>
            </w:pPr>
            <w:r>
              <w:rPr>
                <w:rFonts w:ascii="Arial" w:cs="Arial" w:eastAsia="Arial" w:hAnsi="Arial"/>
                <w:sz w:val="18"/>
                <w:szCs w:val="18"/>
                <w:b w:val="1"/>
                <w:bCs w:val="1"/>
                <w:color w:val="auto"/>
              </w:rPr>
              <w:t>Description of Exhibit</w:t>
            </w:r>
          </w:p>
        </w:tc>
      </w:tr>
      <w:tr>
        <w:trPr>
          <w:trHeight w:val="411"/>
        </w:trPr>
        <w:tc>
          <w:tcPr>
            <w:tcW w:w="16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4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Amended and Second Restated Articles of Incorporation as</w:t>
            </w:r>
          </w:p>
        </w:tc>
      </w:tr>
      <w:tr>
        <w:trPr>
          <w:trHeight w:val="230"/>
        </w:trPr>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amended through February 27, 2001.</w:t>
            </w:r>
          </w:p>
        </w:tc>
      </w:tr>
      <w:tr>
        <w:trPr>
          <w:trHeight w:val="418"/>
        </w:trPr>
        <w:tc>
          <w:tcPr>
            <w:tcW w:w="1620" w:type="dxa"/>
            <w:vAlign w:val="bottom"/>
          </w:tcPr>
          <w:p>
            <w:pPr>
              <w:jc w:val="right"/>
              <w:ind w:right="59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w w:val="99"/>
              </w:rPr>
              <w:t>Second Amended and Superseding By-Laws as amended</w:t>
            </w:r>
          </w:p>
        </w:tc>
      </w:tr>
      <w:tr>
        <w:trPr>
          <w:trHeight w:val="230"/>
        </w:trPr>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40" w:type="dxa"/>
            <w:vAlign w:val="bottom"/>
          </w:tcPr>
          <w:p>
            <w:pPr>
              <w:ind w:left="20"/>
              <w:spacing w:after="0"/>
              <w:rPr>
                <w:sz w:val="20"/>
                <w:szCs w:val="20"/>
                <w:color w:val="auto"/>
              </w:rPr>
            </w:pPr>
            <w:r>
              <w:rPr>
                <w:rFonts w:ascii="Arial" w:cs="Arial" w:eastAsia="Arial" w:hAnsi="Arial"/>
                <w:sz w:val="18"/>
                <w:szCs w:val="18"/>
                <w:color w:val="auto"/>
              </w:rPr>
              <w:t>through February 15, 1995.</w:t>
            </w:r>
          </w:p>
        </w:tc>
      </w:tr>
    </w:tbl>
    <w:p>
      <w:pPr>
        <w:spacing w:after="0" w:line="200" w:lineRule="exact"/>
        <w:rPr>
          <w:sz w:val="20"/>
          <w:szCs w:val="20"/>
          <w:color w:val="auto"/>
        </w:rPr>
      </w:pPr>
    </w:p>
    <w:p>
      <w:pPr>
        <w:spacing w:after="0" w:line="218" w:lineRule="exact"/>
        <w:rPr>
          <w:sz w:val="20"/>
          <w:szCs w:val="20"/>
          <w:color w:val="auto"/>
        </w:rPr>
      </w:pPr>
    </w:p>
    <w:p>
      <w:pPr>
        <w:ind w:left="1920" w:hanging="1147"/>
        <w:spacing w:after="0"/>
        <w:tabs>
          <w:tab w:leader="none" w:pos="1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Exhibits 3.1 and 3.2 above.</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840" w:type="dxa"/>
            <w:vAlign w:val="bottom"/>
          </w:tcPr>
          <w:p>
            <w:pPr>
              <w:jc w:val="right"/>
              <w:ind w:right="390"/>
              <w:spacing w:after="0"/>
              <w:rPr>
                <w:sz w:val="20"/>
                <w:szCs w:val="20"/>
                <w:color w:val="auto"/>
              </w:rPr>
            </w:pPr>
            <w:r>
              <w:rPr>
                <w:rFonts w:ascii="Arial" w:cs="Arial" w:eastAsia="Arial" w:hAnsi="Arial"/>
                <w:sz w:val="18"/>
                <w:szCs w:val="18"/>
                <w:color w:val="auto"/>
                <w:w w:val="96"/>
              </w:rPr>
              <w:t>10.1</w:t>
            </w:r>
          </w:p>
        </w:tc>
        <w:tc>
          <w:tcPr>
            <w:tcW w:w="4600" w:type="dxa"/>
            <w:vAlign w:val="bottom"/>
          </w:tcPr>
          <w:p>
            <w:pPr>
              <w:ind w:left="460"/>
              <w:spacing w:after="0"/>
              <w:rPr>
                <w:sz w:val="20"/>
                <w:szCs w:val="20"/>
                <w:color w:val="auto"/>
              </w:rPr>
            </w:pPr>
            <w:r>
              <w:rPr>
                <w:rFonts w:ascii="Arial" w:cs="Arial" w:eastAsia="Arial" w:hAnsi="Arial"/>
                <w:sz w:val="18"/>
                <w:szCs w:val="18"/>
                <w:color w:val="auto"/>
                <w:w w:val="88"/>
              </w:rPr>
              <w:t>Asset purchase agreement dated May 26, 2000 among St.</w:t>
            </w:r>
          </w:p>
        </w:tc>
      </w:tr>
      <w:tr>
        <w:trPr>
          <w:trHeight w:val="230"/>
        </w:trPr>
        <w:tc>
          <w:tcPr>
            <w:tcW w:w="840" w:type="dxa"/>
            <w:vAlign w:val="bottom"/>
          </w:tcPr>
          <w:p>
            <w:pPr>
              <w:spacing w:after="0"/>
              <w:rPr>
                <w:sz w:val="20"/>
                <w:szCs w:val="20"/>
                <w:color w:val="auto"/>
              </w:rPr>
            </w:pPr>
          </w:p>
        </w:tc>
        <w:tc>
          <w:tcPr>
            <w:tcW w:w="4600" w:type="dxa"/>
            <w:vAlign w:val="bottom"/>
          </w:tcPr>
          <w:p>
            <w:pPr>
              <w:ind w:left="460"/>
              <w:spacing w:after="0"/>
              <w:rPr>
                <w:sz w:val="20"/>
                <w:szCs w:val="20"/>
                <w:color w:val="auto"/>
              </w:rPr>
            </w:pPr>
            <w:r>
              <w:rPr>
                <w:rFonts w:ascii="Arial" w:cs="Arial" w:eastAsia="Arial" w:hAnsi="Arial"/>
                <w:sz w:val="18"/>
                <w:szCs w:val="18"/>
                <w:color w:val="auto"/>
                <w:w w:val="91"/>
              </w:rPr>
              <w:t>Mary’s Chemicals, Inc., its shareholders, and Registrant.</w:t>
            </w:r>
          </w:p>
        </w:tc>
      </w:tr>
      <w:tr>
        <w:trPr>
          <w:trHeight w:val="648"/>
        </w:trPr>
        <w:tc>
          <w:tcPr>
            <w:tcW w:w="840" w:type="dxa"/>
            <w:vAlign w:val="bottom"/>
          </w:tcPr>
          <w:p>
            <w:pPr>
              <w:jc w:val="right"/>
              <w:ind w:right="350"/>
              <w:spacing w:after="0"/>
              <w:rPr>
                <w:sz w:val="20"/>
                <w:szCs w:val="20"/>
                <w:color w:val="auto"/>
              </w:rPr>
            </w:pPr>
            <w:r>
              <w:rPr>
                <w:rFonts w:ascii="Arial" w:cs="Arial" w:eastAsia="Arial" w:hAnsi="Arial"/>
                <w:sz w:val="18"/>
                <w:szCs w:val="18"/>
                <w:color w:val="auto"/>
                <w:w w:val="90"/>
              </w:rPr>
              <w:t>23.1*</w:t>
            </w:r>
          </w:p>
        </w:tc>
        <w:tc>
          <w:tcPr>
            <w:tcW w:w="4600" w:type="dxa"/>
            <w:vAlign w:val="bottom"/>
          </w:tcPr>
          <w:p>
            <w:pPr>
              <w:ind w:left="460"/>
              <w:spacing w:after="0"/>
              <w:rPr>
                <w:sz w:val="20"/>
                <w:szCs w:val="20"/>
                <w:color w:val="auto"/>
              </w:rPr>
            </w:pPr>
            <w:r>
              <w:rPr>
                <w:rFonts w:ascii="Arial" w:cs="Arial" w:eastAsia="Arial" w:hAnsi="Arial"/>
                <w:sz w:val="18"/>
                <w:szCs w:val="18"/>
                <w:color w:val="auto"/>
              </w:rPr>
              <w:t>Independent Auditor's Consent.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941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electronically</w:t>
      </w:r>
    </w:p>
    <w:p>
      <w:pPr>
        <w:spacing w:after="0" w:line="200" w:lineRule="exact"/>
        <w:rPr>
          <w:sz w:val="20"/>
          <w:szCs w:val="20"/>
          <w:color w:val="auto"/>
        </w:rPr>
      </w:pPr>
    </w:p>
    <w:p>
      <w:pPr>
        <w:spacing w:after="0" w:line="24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Incorporated by reference to Exhibit 3.2 to the Registrant's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Incorporated by reference to Exhibit 10.1 to the Registrant’s Quarterly Report on Form 10-Q for the Quarter ended June 30, 2000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electronically</w:t>
      </w:r>
    </w:p>
    <w:p>
      <w:pPr>
        <w:spacing w:after="0" w:line="223" w:lineRule="exact"/>
        <w:rPr>
          <w:sz w:val="20"/>
          <w:szCs w:val="20"/>
          <w:color w:val="auto"/>
        </w:rPr>
      </w:pPr>
    </w:p>
    <w:p>
      <w:pPr>
        <w:sectPr>
          <w:pgSz w:w="11900" w:h="16838" w:orient="portrait"/>
          <w:cols w:equalWidth="0" w:num="2">
            <w:col w:w="6540" w:space="260"/>
            <w:col w:w="4620"/>
          </w:cols>
          <w:pgMar w:left="240" w:top="134" w:right="23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Denotes previously unfiled documents.</w:t>
      </w:r>
    </w:p>
    <w:p>
      <w:pPr>
        <w:sectPr>
          <w:pgSz w:w="11900" w:h="16838" w:orient="portrait"/>
          <w:cols w:equalWidth="0" w:num="1">
            <w:col w:w="11420"/>
          </w:cols>
          <w:pgMar w:left="240" w:top="134" w:right="2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SECOND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HAWKINS CHEMICAL,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ON FEBRUARY 17, 1983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through February 27, 2001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such Amendments are specifically identified)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February 27, 2001)</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name of this Corporation is HAWKINS,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duration of this Corporation shall be perpetual.</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purposes for which this Corporation is organized are as follows:</w:t>
      </w:r>
    </w:p>
    <w:p>
      <w:pPr>
        <w:spacing w:after="0" w:line="225" w:lineRule="exact"/>
        <w:rPr>
          <w:sz w:val="20"/>
          <w:szCs w:val="20"/>
          <w:color w:val="auto"/>
        </w:rPr>
      </w:pPr>
    </w:p>
    <w:p>
      <w:pPr>
        <w:ind w:left="1360" w:hanging="70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business purposes.</w:t>
      </w:r>
    </w:p>
    <w:p>
      <w:pPr>
        <w:spacing w:after="0" w:line="225" w:lineRule="exact"/>
        <w:rPr>
          <w:rFonts w:ascii="Arial" w:cs="Arial" w:eastAsia="Arial" w:hAnsi="Arial"/>
          <w:sz w:val="18"/>
          <w:szCs w:val="18"/>
          <w:color w:val="auto"/>
        </w:rPr>
      </w:pPr>
    </w:p>
    <w:p>
      <w:pPr>
        <w:jc w:val="both"/>
        <w:ind w:left="1300" w:right="180" w:hanging="644"/>
        <w:spacing w:after="0" w:line="264" w:lineRule="auto"/>
        <w:tabs>
          <w:tab w:leader="none" w:pos="13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do everything necessary, proper, advisable and convenient for the accomplishment of the purposes hereinabove set forth, and to do all other things incidental thereto or connected therewith, which are not forbidden by the laws under which this Corporation is organized, by other laws, or by these Articles of Incorporation.</w:t>
      </w:r>
    </w:p>
    <w:p>
      <w:pPr>
        <w:spacing w:after="0" w:line="181" w:lineRule="exact"/>
        <w:rPr>
          <w:rFonts w:ascii="Arial" w:cs="Arial" w:eastAsia="Arial" w:hAnsi="Arial"/>
          <w:sz w:val="18"/>
          <w:szCs w:val="18"/>
          <w:color w:val="auto"/>
        </w:rPr>
      </w:pPr>
    </w:p>
    <w:p>
      <w:pPr>
        <w:ind w:left="1300" w:right="40" w:hanging="644"/>
        <w:spacing w:after="0" w:line="302" w:lineRule="auto"/>
        <w:tabs>
          <w:tab w:leader="none" w:pos="136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carry out the purposes hereinabove set forth in any state, territory, district or possession of the United States, or in any foreign country, to the extent that such purposes are not forbidden by the laws thereof; and, in the case of any state, territory, district or possession of the United States, or any foreign country, in which one or more of such purposes are forbidden by law, to limit, in any certificate for application to do business, the purpose or purposes which the Corporation proposes to carry on therein to such as are not forbidden by the law thereof.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both"/>
        <w:ind w:right="80" w:firstLine="720"/>
        <w:spacing w:after="0" w:line="264" w:lineRule="auto"/>
        <w:rPr>
          <w:sz w:val="20"/>
          <w:szCs w:val="20"/>
          <w:color w:val="auto"/>
        </w:rPr>
      </w:pPr>
      <w:r>
        <w:rPr>
          <w:rFonts w:ascii="Arial" w:cs="Arial" w:eastAsia="Arial" w:hAnsi="Arial"/>
          <w:sz w:val="18"/>
          <w:szCs w:val="18"/>
          <w:color w:val="auto"/>
        </w:rPr>
        <w:t>This Corporation shall have all the powers granted to private corporations organized for profit by said Minnesota Business Corporation Act, and, in furtherance, and not in limitation, of the powers conferred by the laws of the State of Minnesota upon corporations organized for the foregoing purposes, the Corporation shall have the power:</w:t>
      </w:r>
    </w:p>
    <w:p>
      <w:pPr>
        <w:spacing w:after="0" w:line="181" w:lineRule="exact"/>
        <w:rPr>
          <w:sz w:val="20"/>
          <w:szCs w:val="20"/>
          <w:color w:val="auto"/>
        </w:rPr>
      </w:pPr>
    </w:p>
    <w:p>
      <w:pPr>
        <w:jc w:val="both"/>
        <w:ind w:left="1300" w:right="140" w:hanging="644"/>
        <w:spacing w:after="0" w:line="286" w:lineRule="auto"/>
        <w:tabs>
          <w:tab w:leader="none" w:pos="136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 issue bonds, debentures or other obligations of the Corporation, to guaranty obligations of others and to contract indebtedness without limit as to amount for any of the objects and purposes of the Corporation, and to secure the same by mortgage or mortgages, deed or deeds of trust, or pledge, or lien, on any or all of the real or personal property, or both, of the Corporation.</w:t>
      </w:r>
    </w:p>
    <w:p>
      <w:pPr>
        <w:spacing w:after="0" w:line="171" w:lineRule="exact"/>
        <w:rPr>
          <w:rFonts w:ascii="Arial" w:cs="Arial" w:eastAsia="Arial" w:hAnsi="Arial"/>
          <w:sz w:val="17"/>
          <w:szCs w:val="17"/>
          <w:color w:val="auto"/>
        </w:rPr>
      </w:pPr>
    </w:p>
    <w:p>
      <w:pPr>
        <w:ind w:left="1300" w:hanging="644"/>
        <w:spacing w:after="0" w:line="298" w:lineRule="auto"/>
        <w:tabs>
          <w:tab w:leader="none" w:pos="13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acquire, hold, mortgage, pledge or dispose of the shares, bonds, securities or other evidences of indebtedness of the United States of America, or of any domestic or foreign corporation, and while the holder of such shares, to exercise all the privileges of ownership, including the right to vote thereon, to the same extent as a natural person might or could do, by the president of this Corporation or by proxy appointed by him, unless some other person, by resolution of the Board of Directors, shall be appointed to vote such shares.</w:t>
      </w:r>
    </w:p>
    <w:p>
      <w:pPr>
        <w:spacing w:after="0" w:line="160" w:lineRule="exact"/>
        <w:rPr>
          <w:rFonts w:ascii="Arial" w:cs="Arial" w:eastAsia="Arial" w:hAnsi="Arial"/>
          <w:sz w:val="16"/>
          <w:szCs w:val="16"/>
          <w:color w:val="auto"/>
        </w:rPr>
      </w:pPr>
    </w:p>
    <w:p>
      <w:pPr>
        <w:ind w:left="1300" w:right="160" w:hanging="644"/>
        <w:spacing w:after="0" w:line="277" w:lineRule="auto"/>
        <w:tabs>
          <w:tab w:leader="none" w:pos="13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purchase or otherwise acquire on such terms and in such manner as the By-Laws of this Corporation from time to time provide, and to own and hold, shares of the capital stock of this Corporation, and to reissue the same from time to time.</w:t>
      </w:r>
    </w:p>
    <w:p>
      <w:pPr>
        <w:spacing w:after="0" w:line="170" w:lineRule="exact"/>
        <w:rPr>
          <w:rFonts w:ascii="Arial" w:cs="Arial" w:eastAsia="Arial" w:hAnsi="Arial"/>
          <w:sz w:val="18"/>
          <w:szCs w:val="18"/>
          <w:color w:val="auto"/>
        </w:rPr>
      </w:pPr>
    </w:p>
    <w:p>
      <w:pPr>
        <w:ind w:left="1300" w:right="60" w:hanging="644"/>
        <w:spacing w:after="0" w:line="257" w:lineRule="auto"/>
        <w:tabs>
          <w:tab w:leader="none" w:pos="13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and as authorized by the vote of the holders of not less than a majority of the shares entitled to vote, at a shareholders' meeting called for that purpose or when authorized upon written consent of the holders of a majority of such shares, to sell, lease, exchange or otherwise dispose of all, or substantially all, of its property and assets, including its good will, upon such terms and for such considerations, which may be money, shares, bonds, or other instruments for the payment of money or other property, as the Board of Directors deems expedient or advisable.</w:t>
      </w:r>
    </w:p>
    <w:p>
      <w:pPr>
        <w:spacing w:after="0" w:line="188" w:lineRule="exact"/>
        <w:rPr>
          <w:rFonts w:ascii="Arial" w:cs="Arial" w:eastAsia="Arial" w:hAnsi="Arial"/>
          <w:sz w:val="18"/>
          <w:szCs w:val="18"/>
          <w:color w:val="auto"/>
        </w:rPr>
      </w:pPr>
    </w:p>
    <w:p>
      <w:pPr>
        <w:ind w:left="1300" w:right="240" w:hanging="644"/>
        <w:spacing w:after="0" w:line="277" w:lineRule="auto"/>
        <w:tabs>
          <w:tab w:leader="none" w:pos="13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acquire, hold, lease, encumber, convey, or otherwise dispose of, either alone or in conjunction with others, real and personal property within or without the state; and to take real and personal property by will or gift.</w:t>
      </w:r>
    </w:p>
    <w:p>
      <w:pPr>
        <w:spacing w:after="0" w:line="170" w:lineRule="exact"/>
        <w:rPr>
          <w:rFonts w:ascii="Arial" w:cs="Arial" w:eastAsia="Arial" w:hAnsi="Arial"/>
          <w:sz w:val="18"/>
          <w:szCs w:val="18"/>
          <w:color w:val="auto"/>
        </w:rPr>
      </w:pPr>
    </w:p>
    <w:p>
      <w:pPr>
        <w:ind w:left="1300" w:right="160" w:hanging="644"/>
        <w:spacing w:after="0" w:line="312" w:lineRule="auto"/>
        <w:tabs>
          <w:tab w:leader="none" w:pos="13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acquire, hold, take over as a going concern and thereafter to carry on, mortgage, sell or otherwise dispose of, either alone or in conjunction with others, the rights, property and business of any person, entity, partnership, association, or corporation heretofore or hereafter engaged in any business, the purpose of which is similar to the purposes set forth in Article III of these Articles of Incorporation.</w:t>
      </w:r>
    </w:p>
    <w:p>
      <w:pPr>
        <w:spacing w:after="0" w:line="146" w:lineRule="exact"/>
        <w:rPr>
          <w:rFonts w:ascii="Arial" w:cs="Arial" w:eastAsia="Arial" w:hAnsi="Arial"/>
          <w:sz w:val="16"/>
          <w:szCs w:val="16"/>
          <w:color w:val="auto"/>
        </w:rPr>
      </w:pPr>
    </w:p>
    <w:p>
      <w:pPr>
        <w:ind w:left="1300" w:right="100" w:hanging="644"/>
        <w:spacing w:after="0" w:line="259" w:lineRule="auto"/>
        <w:tabs>
          <w:tab w:leader="none" w:pos="13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enter into any lawful arrangement for sharing of profits, union of interest, reciprocal association, or cooperative association with any corporation, association, partnership, individual, or other legal entity, for the carrying on of any business, the purpose of which is similar to the purposes set forth in Article III of these Articles of Incorporation, and, insofar as it is lawful, to enter into any general or limited partnership, the purpose of which is similar to such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ectPr>
          <w:pgSz w:w="11900" w:h="16838" w:orient="portrait"/>
          <w:cols w:equalWidth="0" w:num="1">
            <w:col w:w="11420"/>
          </w:cols>
          <w:pgMar w:left="240" w:top="337" w:right="239" w:bottom="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(As amended on February 28, 1989)</w:t>
      </w:r>
    </w:p>
    <w:p>
      <w:pPr>
        <w:spacing w:after="0" w:line="225" w:lineRule="exact"/>
        <w:rPr>
          <w:sz w:val="20"/>
          <w:szCs w:val="20"/>
          <w:color w:val="auto"/>
        </w:rPr>
      </w:pPr>
    </w:p>
    <w:p>
      <w:pPr>
        <w:jc w:val="both"/>
        <w:ind w:right="20" w:firstLine="720"/>
        <w:spacing w:after="0" w:line="286" w:lineRule="auto"/>
        <w:rPr>
          <w:sz w:val="20"/>
          <w:szCs w:val="20"/>
          <w:color w:val="auto"/>
        </w:rPr>
      </w:pPr>
      <w:r>
        <w:rPr>
          <w:rFonts w:ascii="Arial" w:cs="Arial" w:eastAsia="Arial" w:hAnsi="Arial"/>
          <w:sz w:val="17"/>
          <w:szCs w:val="17"/>
          <w:color w:val="auto"/>
        </w:rPr>
        <w:t>An agreement for consolidation or merger with one or more foreign or domestic corporations may be authorized by vote of the shareholders entitled to exercise at least two-thirds of the shares entitled to vote unless the necessary affirmative vote to authorize any particular merger or consolidation is reduced by the Board of Directors, which reduction shall be to not less than a majority of the shares entitled to vote.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right="840" w:firstLine="720"/>
        <w:spacing w:after="0" w:line="277" w:lineRule="auto"/>
        <w:rPr>
          <w:sz w:val="20"/>
          <w:szCs w:val="20"/>
          <w:color w:val="auto"/>
        </w:rPr>
      </w:pPr>
      <w:r>
        <w:rPr>
          <w:rFonts w:ascii="Arial" w:cs="Arial" w:eastAsia="Arial" w:hAnsi="Arial"/>
          <w:sz w:val="18"/>
          <w:szCs w:val="18"/>
          <w:color w:val="auto"/>
        </w:rPr>
        <w:t>The location and post office address of the registered office of this Corporation in the State of Minnesota is 3100 East Hennepin Avenue, Minneapolis, Minnesota 55413.</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amended on June 7, 1999)</w:t>
      </w:r>
    </w:p>
    <w:p>
      <w:pPr>
        <w:spacing w:after="0" w:line="225" w:lineRule="exact"/>
        <w:rPr>
          <w:sz w:val="20"/>
          <w:szCs w:val="20"/>
          <w:color w:val="auto"/>
        </w:rPr>
      </w:pPr>
    </w:p>
    <w:p>
      <w:pPr>
        <w:ind w:right="300" w:firstLine="720"/>
        <w:spacing w:after="0" w:line="277" w:lineRule="auto"/>
        <w:rPr>
          <w:sz w:val="20"/>
          <w:szCs w:val="20"/>
          <w:color w:val="auto"/>
        </w:rPr>
      </w:pPr>
      <w:r>
        <w:rPr>
          <w:rFonts w:ascii="Arial" w:cs="Arial" w:eastAsia="Arial" w:hAnsi="Arial"/>
          <w:sz w:val="18"/>
          <w:szCs w:val="18"/>
          <w:color w:val="auto"/>
        </w:rPr>
        <w:t>The aggregate number of shares which this Corporation shall have authority to issue is 30,000,000, with a par value of $.05 per share, having an aggregate par value of $1,500,000, which shall be known as "Common Shares."</w:t>
      </w:r>
    </w:p>
    <w:p>
      <w:pPr>
        <w:spacing w:after="0" w:line="170" w:lineRule="exact"/>
        <w:rPr>
          <w:sz w:val="20"/>
          <w:szCs w:val="20"/>
          <w:color w:val="auto"/>
        </w:rPr>
      </w:pPr>
    </w:p>
    <w:p>
      <w:pPr>
        <w:ind w:left="1300" w:right="380" w:hanging="644"/>
        <w:spacing w:after="0" w:line="342" w:lineRule="auto"/>
        <w:tabs>
          <w:tab w:leader="none" w:pos="1362"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holders of Common Shares shall be entitled to receive, when and as declared by the Board of Directors, out of earnings or surplus legally available therefor, dividends, payable either in cash, in property, or in shares of the capital stock of the corporation.</w:t>
      </w:r>
    </w:p>
    <w:p>
      <w:pPr>
        <w:spacing w:after="0" w:line="123" w:lineRule="exact"/>
        <w:rPr>
          <w:rFonts w:ascii="Arial" w:cs="Arial" w:eastAsia="Arial" w:hAnsi="Arial"/>
          <w:sz w:val="16"/>
          <w:szCs w:val="16"/>
          <w:color w:val="auto"/>
        </w:rPr>
      </w:pPr>
    </w:p>
    <w:p>
      <w:pPr>
        <w:ind w:left="1300" w:right="40" w:hanging="644"/>
        <w:spacing w:after="0" w:line="255" w:lineRule="auto"/>
        <w:tabs>
          <w:tab w:leader="none" w:pos="13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Common Shares may be allotted as and when the Board of Directors shall determine, and, under and pursuant to the laws of the State of Minnesota, the Board of Directors shall have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 The Board of Directors shall also have the power to fix the terms, provisions and conditions of options to purchase or subscribe for shares of any class or classes, including the price and conversion basis thereof, and to authorize the issuance thereof.</w:t>
      </w:r>
    </w:p>
    <w:p>
      <w:pPr>
        <w:spacing w:after="0" w:line="193" w:lineRule="exact"/>
        <w:rPr>
          <w:rFonts w:ascii="Arial" w:cs="Arial" w:eastAsia="Arial" w:hAnsi="Arial"/>
          <w:sz w:val="18"/>
          <w:szCs w:val="18"/>
          <w:color w:val="auto"/>
        </w:rPr>
      </w:pPr>
    </w:p>
    <w:p>
      <w:pPr>
        <w:ind w:left="1360" w:hanging="70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holder of shares of the Corporation shall be entitled to any cumulative voting rights.</w:t>
      </w:r>
    </w:p>
    <w:p>
      <w:pPr>
        <w:spacing w:after="0" w:line="225" w:lineRule="exact"/>
        <w:rPr>
          <w:rFonts w:ascii="Arial" w:cs="Arial" w:eastAsia="Arial" w:hAnsi="Arial"/>
          <w:sz w:val="18"/>
          <w:szCs w:val="18"/>
          <w:color w:val="auto"/>
        </w:rPr>
      </w:pPr>
    </w:p>
    <w:p>
      <w:pPr>
        <w:ind w:left="1300" w:right="180" w:hanging="644"/>
        <w:spacing w:after="0" w:line="264" w:lineRule="auto"/>
        <w:tabs>
          <w:tab w:leader="none" w:pos="13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holder of stock of the Corporation shall have any preferential, pre-emptive, or other right of subscription to any shares of any class of stock of the Corporation allotted or sold or be allotted or sold and now or hereafter authorized, or to any right of subscription to any part thereof.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right="80" w:firstLine="720"/>
        <w:spacing w:after="0" w:line="259" w:lineRule="auto"/>
        <w:rPr>
          <w:sz w:val="20"/>
          <w:szCs w:val="20"/>
          <w:color w:val="auto"/>
        </w:rPr>
      </w:pPr>
      <w:r>
        <w:rPr>
          <w:rFonts w:ascii="Arial" w:cs="Arial" w:eastAsia="Arial" w:hAnsi="Arial"/>
          <w:sz w:val="18"/>
          <w:szCs w:val="18"/>
          <w:color w:val="auto"/>
        </w:rPr>
        <w:t>Section 1. The business of this Corporation shall be managed by a Board of Directors, who shall be elected at the annual meeting of the shareholders; provided, however, that vacancies in the Board of Directors may be filled by the remaining Directors, and each person so elected shall be a Director until his successor is elected at an annual meeting of shareholders or at a special meeting duly called therefor. Until otherwise fixed by the By-Laws, the Board shall consist of three members. A Director need not be a shareholder.</w:t>
      </w:r>
    </w:p>
    <w:p>
      <w:pPr>
        <w:spacing w:after="0" w:line="187" w:lineRule="exact"/>
        <w:rPr>
          <w:sz w:val="20"/>
          <w:szCs w:val="20"/>
          <w:color w:val="auto"/>
        </w:rPr>
      </w:pPr>
    </w:p>
    <w:p>
      <w:pPr>
        <w:ind w:right="200" w:firstLine="720"/>
        <w:spacing w:after="0" w:line="277" w:lineRule="auto"/>
        <w:rPr>
          <w:sz w:val="20"/>
          <w:szCs w:val="20"/>
          <w:color w:val="auto"/>
        </w:rPr>
      </w:pPr>
      <w:r>
        <w:rPr>
          <w:rFonts w:ascii="Arial" w:cs="Arial" w:eastAsia="Arial" w:hAnsi="Arial"/>
          <w:sz w:val="18"/>
          <w:szCs w:val="18"/>
          <w:color w:val="auto"/>
        </w:rPr>
        <w:t>Section 2. The Board of Directors shall have all of the powers of the Corporation, subject to such action restricting said powers as may legally be taken from time to time by the shareholders either at an annual meeting or at a special meeting duly called therefor.</w:t>
      </w:r>
    </w:p>
    <w:p>
      <w:pPr>
        <w:spacing w:after="0" w:line="170" w:lineRule="exact"/>
        <w:rPr>
          <w:sz w:val="20"/>
          <w:szCs w:val="20"/>
          <w:color w:val="auto"/>
        </w:rPr>
      </w:pPr>
    </w:p>
    <w:p>
      <w:pPr>
        <w:ind w:right="380" w:firstLine="720"/>
        <w:spacing w:after="0" w:line="342" w:lineRule="auto"/>
        <w:rPr>
          <w:sz w:val="20"/>
          <w:szCs w:val="20"/>
          <w:color w:val="auto"/>
        </w:rPr>
      </w:pPr>
      <w:r>
        <w:rPr>
          <w:rFonts w:ascii="Arial" w:cs="Arial" w:eastAsia="Arial" w:hAnsi="Arial"/>
          <w:sz w:val="16"/>
          <w:szCs w:val="16"/>
          <w:color w:val="auto"/>
        </w:rPr>
        <w:t>Section 3. The Board of Directors shall have authority to make and alter By-Laws, subject to the power of the shareholders to change or repeal such By-Laws, provided, however, that the Board shall not make or alter any By-Law fixing the number, qualifications, or term of office of Directors.</w:t>
      </w:r>
    </w:p>
    <w:p>
      <w:pPr>
        <w:spacing w:after="0" w:line="124" w:lineRule="exact"/>
        <w:rPr>
          <w:sz w:val="20"/>
          <w:szCs w:val="20"/>
          <w:color w:val="auto"/>
        </w:rPr>
      </w:pPr>
    </w:p>
    <w:p>
      <w:pPr>
        <w:ind w:firstLine="720"/>
        <w:spacing w:after="0" w:line="272" w:lineRule="auto"/>
        <w:rPr>
          <w:sz w:val="20"/>
          <w:szCs w:val="20"/>
          <w:color w:val="auto"/>
        </w:rPr>
      </w:pPr>
      <w:r>
        <w:rPr>
          <w:rFonts w:ascii="Arial" w:cs="Arial" w:eastAsia="Arial" w:hAnsi="Arial"/>
          <w:sz w:val="17"/>
          <w:szCs w:val="17"/>
          <w:color w:val="auto"/>
        </w:rPr>
        <w:t>Section 4. Any contract or other transaction between the Corporation and any corporation, association or firm of which one or more of its Directors are shareholders, members, directors, officers or employees, or in which they are interested, shall be valid for all purposes, notwithstanding the presence and participation of such Director or Directors at the meeting of the Board of Directors of the Corporation which acts upon or in reference to such contract or transaction, if the fact of such interest shall be disclosed or known to the Board of Directors, and the Board of Directors shall, nevertheless, authorize, approve and ratify such contract or transaction by a vote of a majority of the Directors present, such interested Director or Directors to be counted in determining whether a quorum is present, but not to be counted in calculating the majority necessary to carry such vote. This Section shall not be construed to invalidate any contract or transaction which would otherwise be valid under the laws applicable thereto.</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Section 5. The annual meeting of the Board of Directors shall be held immediately following the ann</w:t>
      </w:r>
      <w:r>
        <w:rPr>
          <w:rFonts w:ascii="Arial" w:cs="Arial" w:eastAsia="Arial" w:hAnsi="Arial"/>
          <w:sz w:val="15"/>
          <w:szCs w:val="15"/>
          <w:color w:val="auto"/>
        </w:rPr>
        <w:t>ual meeting of the shareholders, and at the same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11" w:lineRule="exact"/>
        <w:rPr>
          <w:sz w:val="20"/>
          <w:szCs w:val="20"/>
          <w:color w:val="auto"/>
        </w:rPr>
      </w:pPr>
    </w:p>
    <w:p>
      <w:pPr>
        <w:ind w:right="20" w:firstLine="720"/>
        <w:spacing w:after="0" w:line="264" w:lineRule="auto"/>
        <w:rPr>
          <w:sz w:val="20"/>
          <w:szCs w:val="20"/>
          <w:color w:val="auto"/>
        </w:rPr>
      </w:pPr>
      <w:r>
        <w:rPr>
          <w:rFonts w:ascii="Arial" w:cs="Arial" w:eastAsia="Arial" w:hAnsi="Arial"/>
          <w:sz w:val="18"/>
          <w:szCs w:val="18"/>
          <w:color w:val="auto"/>
        </w:rPr>
        <w:t>Section 6. (As adopted on February 28, 1989) A Director of this Corporation shall not be personally liable to the Corporation or its shareholders for monetary damages for breach of fiduciary duty as a Director, except to the extent such exemption from liability or limitation thereof is not permitted under Chapter 302A of the Minnesota Statutes as the same exists or may hereafter be amended.</w:t>
      </w:r>
    </w:p>
    <w:p>
      <w:pPr>
        <w:spacing w:after="0" w:line="181" w:lineRule="exact"/>
        <w:rPr>
          <w:sz w:val="20"/>
          <w:szCs w:val="20"/>
          <w:color w:val="auto"/>
        </w:rPr>
      </w:pPr>
    </w:p>
    <w:p>
      <w:pPr>
        <w:ind w:right="100" w:firstLine="720"/>
        <w:spacing w:after="0" w:line="264" w:lineRule="auto"/>
        <w:rPr>
          <w:sz w:val="20"/>
          <w:szCs w:val="20"/>
          <w:color w:val="auto"/>
        </w:rPr>
      </w:pPr>
      <w:r>
        <w:rPr>
          <w:rFonts w:ascii="Arial" w:cs="Arial" w:eastAsia="Arial" w:hAnsi="Arial"/>
          <w:sz w:val="18"/>
          <w:szCs w:val="18"/>
          <w:color w:val="auto"/>
        </w:rPr>
        <w:t>If Chapter 302A of the Minnesota Statutes hereafter is amended to authorize the further elimination or limitation of the liabilities of directors, then, in addition to the limitation on personal liability provided herein, the liability of a Director of the Corporation shall be limited to fullest extent permitted by the amended Chapter 302A of the Minnesota Statutes.</w:t>
      </w:r>
    </w:p>
    <w:p>
      <w:pPr>
        <w:spacing w:after="0" w:line="181" w:lineRule="exact"/>
        <w:rPr>
          <w:sz w:val="20"/>
          <w:szCs w:val="20"/>
          <w:color w:val="auto"/>
        </w:rPr>
      </w:pPr>
    </w:p>
    <w:p>
      <w:pPr>
        <w:ind w:right="60" w:firstLine="720"/>
        <w:spacing w:after="0" w:line="277" w:lineRule="auto"/>
        <w:rPr>
          <w:sz w:val="20"/>
          <w:szCs w:val="20"/>
          <w:color w:val="auto"/>
        </w:rPr>
      </w:pPr>
      <w:r>
        <w:rPr>
          <w:rFonts w:ascii="Arial" w:cs="Arial" w:eastAsia="Arial" w:hAnsi="Arial"/>
          <w:sz w:val="18"/>
          <w:szCs w:val="18"/>
          <w:color w:val="auto"/>
        </w:rPr>
        <w:t>Any repeal or modification of this Section 6 of Article VIII by the shareholders of the Corporation shall be prospective only and shall not adversely affect any limitation on the personal liability of a Director of the Corporation existing at the time of such repeal or modification.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right="20" w:firstLine="720"/>
        <w:spacing w:after="0" w:line="277" w:lineRule="auto"/>
        <w:rPr>
          <w:sz w:val="20"/>
          <w:szCs w:val="20"/>
          <w:color w:val="auto"/>
        </w:rPr>
      </w:pPr>
      <w:r>
        <w:rPr>
          <w:rFonts w:ascii="Arial" w:cs="Arial" w:eastAsia="Arial" w:hAnsi="Arial"/>
          <w:sz w:val="18"/>
          <w:szCs w:val="18"/>
          <w:color w:val="auto"/>
        </w:rPr>
        <w:t>The names and post office addresses of the existing members of the Board of Directors at the time of the adoption of these Second Restated Articles of Incorporation are as follows:</w:t>
      </w:r>
    </w:p>
    <w:p>
      <w:pPr>
        <w:spacing w:after="0" w:line="170" w:lineRule="exact"/>
        <w:rPr>
          <w:sz w:val="20"/>
          <w:szCs w:val="20"/>
          <w:color w:val="auto"/>
        </w:rPr>
      </w:pPr>
    </w:p>
    <w:p>
      <w:pPr>
        <w:ind w:left="660"/>
        <w:spacing w:after="0"/>
        <w:tabs>
          <w:tab w:leader="none" w:pos="5300" w:val="left"/>
        </w:tabs>
        <w:rPr>
          <w:sz w:val="20"/>
          <w:szCs w:val="20"/>
          <w:color w:val="auto"/>
        </w:rPr>
      </w:pPr>
      <w:r>
        <w:rPr>
          <w:rFonts w:ascii="Arial" w:cs="Arial" w:eastAsia="Arial" w:hAnsi="Arial"/>
          <w:sz w:val="18"/>
          <w:szCs w:val="18"/>
          <w:color w:val="auto"/>
        </w:rPr>
        <w:t>Howard J. Hawkins</w:t>
      </w:r>
      <w:r>
        <w:rPr>
          <w:sz w:val="20"/>
          <w:szCs w:val="20"/>
          <w:color w:val="auto"/>
        </w:rPr>
        <w:tab/>
      </w:r>
      <w:r>
        <w:rPr>
          <w:rFonts w:ascii="Arial" w:cs="Arial" w:eastAsia="Arial" w:hAnsi="Arial"/>
          <w:sz w:val="16"/>
          <w:szCs w:val="16"/>
          <w:color w:val="auto"/>
        </w:rPr>
        <w:t>Norman P. Anderson</w:t>
      </w:r>
    </w:p>
    <w:p>
      <w:pPr>
        <w:sectPr>
          <w:pgSz w:w="11900" w:h="16838" w:orient="portrait"/>
          <w:cols w:equalWidth="0" w:num="1">
            <w:col w:w="11420"/>
          </w:cols>
          <w:pgMar w:left="240" w:top="125" w:right="23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3660 Glenhurst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Minneapolis, Minnesota 55416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225 Holly Road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Hopkins, Minnesota 55343</w:t>
      </w:r>
    </w:p>
    <w:p>
      <w:pPr>
        <w:spacing w:after="0" w:line="200" w:lineRule="exact"/>
        <w:rPr>
          <w:sz w:val="20"/>
          <w:szCs w:val="20"/>
          <w:color w:val="auto"/>
        </w:rPr>
      </w:pPr>
    </w:p>
    <w:p>
      <w:pPr>
        <w:sectPr>
          <w:pgSz w:w="11900" w:h="16838" w:orient="portrait"/>
          <w:cols w:equalWidth="0" w:num="2">
            <w:col w:w="4600" w:space="720"/>
            <w:col w:w="6020"/>
          </w:cols>
          <w:pgMar w:left="240" w:top="125" w:right="319" w:bottom="1440" w:gutter="0" w:footer="0" w:header="0"/>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Carl J. Ahlgren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1721 Shryer Avenue West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 Paul, Minnesota 55113</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Dean L. Hahn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13404 Knob Hill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Burnsville, Minnesota 55337</w:t>
      </w:r>
    </w:p>
    <w:p>
      <w:pPr>
        <w:spacing w:after="0" w:line="200" w:lineRule="exact"/>
        <w:rPr>
          <w:sz w:val="20"/>
          <w:szCs w:val="20"/>
          <w:color w:val="auto"/>
        </w:rPr>
      </w:pPr>
    </w:p>
    <w:p>
      <w:pPr>
        <w:sectPr>
          <w:pgSz w:w="11900" w:h="16838" w:orient="portrait"/>
          <w:cols w:equalWidth="0" w:num="2">
            <w:col w:w="4600" w:space="720"/>
            <w:col w:w="6020"/>
          </w:cols>
          <w:pgMar w:left="240" w:top="125" w:right="31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Howard M. Hawkins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22312 Sugarbush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Elk River, Minnesota 55330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 Thomas Rempfer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4113 Highwood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 55416</w:t>
      </w:r>
    </w:p>
    <w:p>
      <w:pPr>
        <w:spacing w:after="0" w:line="200" w:lineRule="exact"/>
        <w:rPr>
          <w:sz w:val="20"/>
          <w:szCs w:val="20"/>
          <w:color w:val="auto"/>
        </w:rPr>
      </w:pPr>
    </w:p>
    <w:p>
      <w:pPr>
        <w:sectPr>
          <w:pgSz w:w="11900" w:h="16838" w:orient="portrait"/>
          <w:cols w:equalWidth="0" w:num="2">
            <w:col w:w="4600" w:space="720"/>
            <w:col w:w="6020"/>
          </w:cols>
          <w:pgMar w:left="240" w:top="125" w:right="31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Donald L. Shipp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Route 1, Box 54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Center City, Minnesota 55012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 Charles Jackson,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465 Bovey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Wayzata, Minnesota 55391</w:t>
      </w:r>
    </w:p>
    <w:p>
      <w:pPr>
        <w:spacing w:after="0" w:line="200" w:lineRule="exact"/>
        <w:rPr>
          <w:sz w:val="20"/>
          <w:szCs w:val="20"/>
          <w:color w:val="auto"/>
        </w:rPr>
      </w:pPr>
    </w:p>
    <w:p>
      <w:pPr>
        <w:sectPr>
          <w:pgSz w:w="11900" w:h="16838" w:orient="portrait"/>
          <w:cols w:equalWidth="0" w:num="2">
            <w:col w:w="4600" w:space="720"/>
            <w:col w:w="6020"/>
          </w:cols>
          <w:pgMar w:left="240" w:top="125" w:right="319" w:bottom="1440" w:gutter="0" w:footer="0" w:header="0"/>
          <w:type w:val="continuous"/>
        </w:sectPr>
      </w:pPr>
    </w:p>
    <w:p>
      <w:pPr>
        <w:spacing w:after="0" w:line="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ARTICLE X</w:t>
      </w:r>
    </w:p>
    <w:p>
      <w:pPr>
        <w:sectPr>
          <w:pgSz w:w="11900" w:h="16838" w:orient="portrait"/>
          <w:cols w:equalWidth="0" w:num="1">
            <w:col w:w="11340"/>
          </w:cols>
          <w:pgMar w:left="240" w:top="125" w:right="319" w:bottom="1440" w:gutter="0" w:footer="0" w:header="0"/>
          <w:type w:val="continuous"/>
        </w:sectPr>
      </w:pPr>
    </w:p>
    <w:p>
      <w:pPr>
        <w:spacing w:after="0" w:line="237"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Any provision contained in these Articles of Incorporation may be amended solely by the affirmative vote of the holders of a majority of the shares entitled to vote.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These Second Restated Articles of Incorporation supersede and take the place of existing Reinstated Articles of Incorporation and all amendments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ectPr>
          <w:pgSz w:w="11900" w:h="16838" w:orient="portrait"/>
          <w:cols w:equalWidth="0" w:num="1">
            <w:col w:w="11340"/>
          </w:cols>
          <w:pgMar w:left="240" w:top="125" w:right="319" w:bottom="1440" w:gutter="0" w:footer="0" w:header="0"/>
          <w:type w:val="continuous"/>
        </w:sectPr>
      </w:pPr>
    </w:p>
    <w:bookmarkStart w:id="21" w:name="page22"/>
    <w:bookmarkEnd w:id="21"/>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CONSENT</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33-41323 of Hawkins, Inc. (the Company) on Form S-8 of our Independent Auditors’ Report on the Company’s financial statements dated December 6, 2001 included in the Annual Report on Form 10-K for the Company for the year ended September 30, 2001.</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2001</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1"/>
    </w:lvl>
  </w:abstractNum>
  <w:abstractNum w:abstractNumId="1">
    <w:nsid w:val="140E0F76"/>
    <w:multiLevelType w:val="hybridMultilevel"/>
    <w:lvl w:ilvl="0">
      <w:lvlJc w:val="left"/>
      <w:lvlText w:val="(%1)"/>
      <w:numFmt w:val="lowerRoman"/>
      <w:start w:val="1"/>
    </w:lvl>
    <w:lvl w:ilvl="1">
      <w:lvlJc w:val="left"/>
      <w:lvlText w:val="(%2)"/>
      <w:numFmt w:val="upperLetter"/>
      <w:start w:val="1"/>
    </w:lvl>
  </w:abstractNum>
  <w:abstractNum w:abstractNumId="2">
    <w:nsid w:val="3352255A"/>
    <w:multiLevelType w:val="hybridMultilevel"/>
    <w:lvl w:ilvl="0">
      <w:lvlJc w:val="left"/>
      <w:lvlText w:val="(%1)"/>
      <w:numFmt w:val="lowerRoman"/>
      <w:start w:val="2"/>
    </w:lvl>
  </w:abstractNum>
  <w:abstractNum w:abstractNumId="3">
    <w:nsid w:val="109CF92E"/>
    <w:multiLevelType w:val="hybridMultilevel"/>
    <w:lvl w:ilvl="0">
      <w:lvlJc w:val="left"/>
      <w:lvlText w:val="(%1)"/>
      <w:numFmt w:val="lowerRoman"/>
      <w:start w:val="5"/>
    </w:lvl>
  </w:abstractNum>
  <w:abstractNum w:abstractNumId="4">
    <w:nsid w:val="DED7263"/>
    <w:multiLevelType w:val="hybridMultilevel"/>
    <w:lvl w:ilvl="0">
      <w:lvlJc w:val="left"/>
      <w:lvlText w:val="(%1)"/>
      <w:numFmt w:val="lowerLetter"/>
      <w:start w:val="4"/>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3"/>
    </w:lvl>
  </w:abstractNum>
  <w:abstractNum w:abstractNumId="10">
    <w:nsid w:val="25E45D32"/>
    <w:multiLevelType w:val="hybridMultilevel"/>
    <w:lvl w:ilvl="0">
      <w:lvlJc w:val="left"/>
      <w:lvlText w:val="%1."/>
      <w:numFmt w:val="decimal"/>
      <w:start w:val="4"/>
    </w:lvl>
  </w:abstractNum>
  <w:abstractNum w:abstractNumId="11">
    <w:nsid w:val="519B500D"/>
    <w:multiLevelType w:val="hybridMultilevel"/>
    <w:lvl w:ilvl="0">
      <w:lvlJc w:val="left"/>
      <w:lvlText w:val="%1."/>
      <w:numFmt w:val="decimal"/>
      <w:start w:val="5"/>
    </w:lvl>
  </w:abstractNum>
  <w:abstractNum w:abstractNumId="12">
    <w:nsid w:val="431BD7B7"/>
    <w:multiLevelType w:val="hybridMultilevel"/>
    <w:lvl w:ilvl="0">
      <w:lvlJc w:val="left"/>
      <w:lvlText w:val="%1."/>
      <w:numFmt w:val="decimal"/>
      <w:start w:val="6"/>
    </w:lvl>
  </w:abstractNum>
  <w:abstractNum w:abstractNumId="13">
    <w:nsid w:val="3F2DBA31"/>
    <w:multiLevelType w:val="hybridMultilevel"/>
    <w:lvl w:ilvl="0">
      <w:lvlJc w:val="left"/>
      <w:lvlText w:val="%1."/>
      <w:numFmt w:val="decimal"/>
      <w:start w:val="7"/>
    </w:lvl>
  </w:abstractNum>
  <w:abstractNum w:abstractNumId="14">
    <w:nsid w:val="7C83E458"/>
    <w:multiLevelType w:val="hybridMultilevel"/>
    <w:lvl w:ilvl="0">
      <w:lvlJc w:val="left"/>
      <w:lvlText w:val="%1."/>
      <w:numFmt w:val="decimal"/>
      <w:start w:val="8"/>
    </w:lvl>
  </w:abstractNum>
  <w:abstractNum w:abstractNumId="15">
    <w:nsid w:val="257130A3"/>
    <w:multiLevelType w:val="hybridMultilevel"/>
    <w:lvl w:ilvl="0">
      <w:lvlJc w:val="left"/>
      <w:lvlText w:val="%1."/>
      <w:numFmt w:val="decimal"/>
      <w:start w:val="9"/>
    </w:lvl>
  </w:abstractNum>
  <w:abstractNum w:abstractNumId="16">
    <w:nsid w:val="62BBD95A"/>
    <w:multiLevelType w:val="hybridMultilevel"/>
    <w:lvl w:ilvl="0">
      <w:lvlJc w:val="left"/>
      <w:lvlText w:val="%1."/>
      <w:numFmt w:val="decimal"/>
      <w:start w:val="10"/>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4"/>
      <w:numFmt w:val="bullet"/>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2019-12-12T09:39:34Z</dcterms:created>
  <dcterms:modified xsi:type="dcterms:W3CDTF">2019-12-12T09:39:34Z</dcterms:modified>
</cp:coreProperties>
</file>