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40"/>
          </w:cols>
          <w:pgMar w:left="240" w:top="476" w:right="219" w:bottom="1440" w:gutter="0" w:footer="0" w:header="0"/>
        </w:sectPr>
      </w:pPr>
    </w:p>
    <w:p>
      <w:pPr>
        <w:spacing w:after="0" w:line="105"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0D0E00"/>
        </w:rPr>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0D0E00"/>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0D0E00"/>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225425</wp:posOffset>
            </wp:positionV>
            <wp:extent cx="147066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0D0E00"/>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93980</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0D0E00"/>
        </w:rPr>
        <w:t>QUARTERLY REPORT PURSUANT TO SECTION 13 OR 15(d) OF THE</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0D0E00"/>
        </w:rPr>
        <w:t>SECURITIES EXCHANGE ACT OF 1934</w:t>
      </w:r>
    </w:p>
    <w:p>
      <w:pPr>
        <w:spacing w:after="0" w:line="20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0D0E00"/>
        </w:rPr>
        <w:t>For the quarterly period ended September 30, 2010</w:t>
      </w:r>
    </w:p>
    <w:p>
      <w:pPr>
        <w:spacing w:after="0" w:line="233"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0D0E00"/>
        </w:rPr>
        <w:t>Commission file number 0-7647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231775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0D0E00"/>
        </w:rPr>
        <w:t>HAWKINS, INC.</w:t>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0D0E00"/>
        </w:rPr>
        <w:t>(Exact name of registrant as specified in its charter)</w:t>
      </w:r>
    </w:p>
    <w:p>
      <w:pPr>
        <w:spacing w:after="0" w:line="223" w:lineRule="exact"/>
        <w:rPr>
          <w:sz w:val="24"/>
          <w:szCs w:val="24"/>
          <w:color w:val="auto"/>
        </w:rPr>
      </w:pPr>
    </w:p>
    <w:p>
      <w:pPr>
        <w:ind w:left="2200"/>
        <w:spacing w:after="0"/>
        <w:tabs>
          <w:tab w:leader="none" w:pos="8020" w:val="left"/>
        </w:tabs>
        <w:rPr>
          <w:sz w:val="20"/>
          <w:szCs w:val="20"/>
          <w:color w:val="auto"/>
        </w:rPr>
      </w:pPr>
      <w:r>
        <w:rPr>
          <w:rFonts w:ascii="Arial" w:cs="Arial" w:eastAsia="Arial" w:hAnsi="Arial"/>
          <w:sz w:val="22"/>
          <w:szCs w:val="22"/>
          <w:b w:val="1"/>
          <w:bCs w:val="1"/>
          <w:color w:val="0D0E00"/>
        </w:rPr>
        <w:t>MINNESOTA</w:t>
      </w:r>
      <w:r>
        <w:rPr>
          <w:sz w:val="20"/>
          <w:szCs w:val="20"/>
          <w:color w:val="auto"/>
        </w:rPr>
        <w:tab/>
      </w:r>
      <w:r>
        <w:rPr>
          <w:rFonts w:ascii="Arial" w:cs="Arial" w:eastAsia="Arial" w:hAnsi="Arial"/>
          <w:sz w:val="22"/>
          <w:szCs w:val="22"/>
          <w:b w:val="1"/>
          <w:bCs w:val="1"/>
          <w:color w:val="0D0E00"/>
        </w:rPr>
        <w:t>41-0771293</w:t>
      </w:r>
    </w:p>
    <w:p>
      <w:pPr>
        <w:spacing w:after="0" w:line="19" w:lineRule="exact"/>
        <w:rPr>
          <w:sz w:val="24"/>
          <w:szCs w:val="24"/>
          <w:color w:val="auto"/>
        </w:rPr>
      </w:pPr>
    </w:p>
    <w:p>
      <w:pPr>
        <w:ind w:left="1820"/>
        <w:spacing w:after="0"/>
        <w:tabs>
          <w:tab w:leader="none" w:pos="7240" w:val="left"/>
        </w:tabs>
        <w:rPr>
          <w:sz w:val="20"/>
          <w:szCs w:val="20"/>
          <w:color w:val="auto"/>
        </w:rPr>
      </w:pPr>
      <w:r>
        <w:rPr>
          <w:rFonts w:ascii="Arial" w:cs="Arial" w:eastAsia="Arial" w:hAnsi="Arial"/>
          <w:sz w:val="18"/>
          <w:szCs w:val="18"/>
          <w:color w:val="0D0E00"/>
        </w:rPr>
        <w:t>(State or other jurisdiction of</w:t>
      </w:r>
      <w:r>
        <w:rPr>
          <w:sz w:val="20"/>
          <w:szCs w:val="20"/>
          <w:color w:val="auto"/>
        </w:rPr>
        <w:tab/>
      </w:r>
      <w:r>
        <w:rPr>
          <w:rFonts w:ascii="Arial" w:cs="Arial" w:eastAsia="Arial" w:hAnsi="Arial"/>
          <w:sz w:val="17"/>
          <w:szCs w:val="17"/>
          <w:color w:val="0D0E00"/>
        </w:rPr>
        <w:t>(I.R.S. Employer Identification No.)</w:t>
      </w:r>
    </w:p>
    <w:p>
      <w:pPr>
        <w:spacing w:after="0" w:line="7" w:lineRule="exact"/>
        <w:rPr>
          <w:sz w:val="24"/>
          <w:szCs w:val="24"/>
          <w:color w:val="auto"/>
        </w:rPr>
      </w:pPr>
    </w:p>
    <w:p>
      <w:pPr>
        <w:ind w:left="1780"/>
        <w:spacing w:after="0"/>
        <w:rPr>
          <w:sz w:val="20"/>
          <w:szCs w:val="20"/>
          <w:color w:val="auto"/>
        </w:rPr>
      </w:pPr>
      <w:r>
        <w:rPr>
          <w:rFonts w:ascii="Arial" w:cs="Arial" w:eastAsia="Arial" w:hAnsi="Arial"/>
          <w:sz w:val="18"/>
          <w:szCs w:val="18"/>
          <w:color w:val="0D0E00"/>
        </w:rPr>
        <w:t>incorporation or organization)</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0D0E00"/>
        </w:rPr>
        <w:t>3100 EAST HENNEPIN AVENUE, MINNEAPOLIS, MINNESOTA 55413</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0D0E00"/>
        </w:rPr>
        <w:t>(Address of principal executive offices, including zip code)</w:t>
      </w:r>
    </w:p>
    <w:p>
      <w:pPr>
        <w:spacing w:after="0" w:line="223"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0D0E00"/>
        </w:rPr>
        <w:t>(612) 331-6910</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0D0E00"/>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225425</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ind w:right="500"/>
        <w:spacing w:after="0" w:line="264" w:lineRule="auto"/>
        <w:rPr>
          <w:sz w:val="20"/>
          <w:szCs w:val="20"/>
          <w:color w:val="auto"/>
        </w:rPr>
      </w:pPr>
      <w:r>
        <w:rPr>
          <w:rFonts w:ascii="Arial" w:cs="Arial" w:eastAsia="Arial" w:hAnsi="Arial"/>
          <w:sz w:val="18"/>
          <w:szCs w:val="18"/>
          <w:color w:val="0D0E0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08" w:lineRule="exact"/>
        <w:rPr>
          <w:sz w:val="24"/>
          <w:szCs w:val="24"/>
          <w:color w:val="auto"/>
        </w:rPr>
      </w:pPr>
    </w:p>
    <w:p>
      <w:pPr>
        <w:jc w:val="both"/>
        <w:ind w:right="60"/>
        <w:spacing w:after="0" w:line="264" w:lineRule="auto"/>
        <w:rPr>
          <w:sz w:val="20"/>
          <w:szCs w:val="20"/>
          <w:color w:val="auto"/>
        </w:rPr>
      </w:pPr>
      <w:r>
        <w:rPr>
          <w:rFonts w:ascii="Arial" w:cs="Arial" w:eastAsia="Arial" w:hAnsi="Arial"/>
          <w:sz w:val="18"/>
          <w:szCs w:val="18"/>
          <w:color w:val="0D0E00"/>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208" w:lineRule="exact"/>
        <w:rPr>
          <w:sz w:val="24"/>
          <w:szCs w:val="24"/>
          <w:color w:val="auto"/>
        </w:rPr>
      </w:pPr>
    </w:p>
    <w:p>
      <w:pPr>
        <w:ind w:right="580"/>
        <w:spacing w:after="0" w:line="277" w:lineRule="auto"/>
        <w:rPr>
          <w:sz w:val="20"/>
          <w:szCs w:val="20"/>
          <w:color w:val="auto"/>
        </w:rPr>
      </w:pPr>
      <w:r>
        <w:rPr>
          <w:rFonts w:ascii="Arial" w:cs="Arial" w:eastAsia="Arial" w:hAnsi="Arial"/>
          <w:sz w:val="18"/>
          <w:szCs w:val="18"/>
          <w:color w:val="0D0E00"/>
        </w:rPr>
        <w:t>Indicate by check mark whether the registrant is a large accelerated filer, an accelerated filer, or a non-accelerated filer (as defined in Rule 12b-2 of the Exchange Act).</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0D0E00"/>
        </w:rPr>
        <w:t>Large Accelerated Filer o Accelerated Filer x Non-Accelerated Filer o Smaller Reporting Company o</w:t>
      </w:r>
    </w:p>
    <w:p>
      <w:pPr>
        <w:spacing w:after="0" w:line="252" w:lineRule="exact"/>
        <w:rPr>
          <w:sz w:val="24"/>
          <w:szCs w:val="24"/>
          <w:color w:val="auto"/>
        </w:rPr>
      </w:pPr>
    </w:p>
    <w:p>
      <w:pPr>
        <w:spacing w:after="0"/>
        <w:tabs>
          <w:tab w:leader="none" w:pos="8920" w:val="left"/>
        </w:tabs>
        <w:rPr>
          <w:sz w:val="20"/>
          <w:szCs w:val="20"/>
          <w:color w:val="auto"/>
        </w:rPr>
      </w:pPr>
      <w:r>
        <w:rPr>
          <w:rFonts w:ascii="Arial" w:cs="Arial" w:eastAsia="Arial" w:hAnsi="Arial"/>
          <w:sz w:val="17"/>
          <w:szCs w:val="17"/>
          <w:color w:val="0D0E00"/>
        </w:rPr>
        <w:t>Indicate by check mark whether the registrant is a shell company (as defined in Rule 12b-2 of the Exchange Act). YES o</w:t>
      </w:r>
      <w:r>
        <w:rPr>
          <w:sz w:val="20"/>
          <w:szCs w:val="20"/>
          <w:color w:val="auto"/>
        </w:rPr>
        <w:tab/>
      </w:r>
      <w:r>
        <w:rPr>
          <w:rFonts w:ascii="Arial" w:cs="Arial" w:eastAsia="Arial" w:hAnsi="Arial"/>
          <w:sz w:val="16"/>
          <w:szCs w:val="16"/>
          <w:color w:val="0D0E00"/>
        </w:rPr>
        <w:t>NO x</w:t>
      </w:r>
    </w:p>
    <w:p>
      <w:pPr>
        <w:spacing w:after="0" w:line="264" w:lineRule="exact"/>
        <w:rPr>
          <w:sz w:val="24"/>
          <w:szCs w:val="24"/>
          <w:color w:val="auto"/>
        </w:rPr>
      </w:pPr>
    </w:p>
    <w:p>
      <w:pPr>
        <w:spacing w:after="0"/>
        <w:rPr>
          <w:sz w:val="20"/>
          <w:szCs w:val="20"/>
          <w:color w:val="auto"/>
        </w:rPr>
      </w:pPr>
      <w:r>
        <w:rPr>
          <w:rFonts w:ascii="Arial" w:cs="Arial" w:eastAsia="Arial" w:hAnsi="Arial"/>
          <w:sz w:val="18"/>
          <w:szCs w:val="18"/>
          <w:color w:val="0D0E00"/>
        </w:rPr>
        <w:t>Indicate the number of shares outstanding of each of the issuer’s classes of common stock, as of the latest practicable date.</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0D0E00"/>
                <w:w w:val="94"/>
              </w:rPr>
              <w:t>CLASS</w:t>
            </w:r>
          </w:p>
        </w:tc>
        <w:tc>
          <w:tcPr>
            <w:tcW w:w="5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0D0E00"/>
                <w:w w:val="94"/>
              </w:rPr>
              <w:t>OUTSTANDING AT OCTOBER 27, 2010</w:t>
            </w:r>
          </w:p>
        </w:tc>
        <w:tc>
          <w:tcPr>
            <w:tcW w:w="20" w:type="dxa"/>
            <w:vAlign w:val="bottom"/>
          </w:tcPr>
          <w:p>
            <w:pPr>
              <w:spacing w:after="0"/>
              <w:rPr>
                <w:sz w:val="20"/>
                <w:szCs w:val="20"/>
                <w:color w:val="auto"/>
              </w:rPr>
            </w:pPr>
          </w:p>
        </w:tc>
      </w:tr>
      <w:tr>
        <w:trPr>
          <w:trHeight w:val="224"/>
        </w:trPr>
        <w:tc>
          <w:tcPr>
            <w:tcW w:w="5680" w:type="dxa"/>
            <w:vAlign w:val="bottom"/>
          </w:tcPr>
          <w:p>
            <w:pPr>
              <w:jc w:val="center"/>
              <w:spacing w:after="0"/>
              <w:rPr>
                <w:sz w:val="20"/>
                <w:szCs w:val="20"/>
                <w:color w:val="auto"/>
              </w:rPr>
            </w:pPr>
            <w:r>
              <w:rPr>
                <w:rFonts w:ascii="Arial" w:cs="Arial" w:eastAsia="Arial" w:hAnsi="Arial"/>
                <w:sz w:val="18"/>
                <w:szCs w:val="18"/>
                <w:color w:val="0D0E00"/>
                <w:w w:val="89"/>
              </w:rPr>
              <w:t>Common Stock, par value $.05 per share</w:t>
            </w:r>
          </w:p>
        </w:tc>
        <w:tc>
          <w:tcPr>
            <w:tcW w:w="5740" w:type="dxa"/>
            <w:vAlign w:val="bottom"/>
          </w:tcPr>
          <w:p>
            <w:pPr>
              <w:jc w:val="right"/>
              <w:ind w:right="2350"/>
              <w:spacing w:after="0"/>
              <w:rPr>
                <w:sz w:val="20"/>
                <w:szCs w:val="20"/>
                <w:color w:val="auto"/>
              </w:rPr>
            </w:pPr>
            <w:r>
              <w:rPr>
                <w:rFonts w:ascii="Arial" w:cs="Arial" w:eastAsia="Arial" w:hAnsi="Arial"/>
                <w:sz w:val="18"/>
                <w:szCs w:val="18"/>
                <w:color w:val="0D0E00"/>
              </w:rPr>
              <w:t>10,315,954</w:t>
            </w:r>
          </w:p>
        </w:tc>
        <w:tc>
          <w:tcPr>
            <w:tcW w:w="20" w:type="dxa"/>
            <w:vAlign w:val="bottom"/>
          </w:tcPr>
          <w:p>
            <w:pPr>
              <w:spacing w:after="0"/>
              <w:rPr>
                <w:sz w:val="19"/>
                <w:szCs w:val="19"/>
                <w:color w:val="auto"/>
              </w:rPr>
            </w:pPr>
          </w:p>
        </w:tc>
      </w:tr>
      <w:tr>
        <w:trPr>
          <w:trHeight w:val="347"/>
        </w:trPr>
        <w:tc>
          <w:tcPr>
            <w:tcW w:w="56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1"/>
        </w:trPr>
        <w:tc>
          <w:tcPr>
            <w:tcW w:w="5680" w:type="dxa"/>
            <w:vAlign w:val="bottom"/>
            <w:shd w:val="clear" w:color="auto" w:fill="000000"/>
          </w:tcPr>
          <w:p>
            <w:pPr>
              <w:spacing w:after="0"/>
              <w:rPr>
                <w:sz w:val="6"/>
                <w:szCs w:val="6"/>
                <w:color w:val="auto"/>
              </w:rPr>
            </w:pPr>
          </w:p>
        </w:tc>
        <w:tc>
          <w:tcPr>
            <w:tcW w:w="5740" w:type="dxa"/>
            <w:vAlign w:val="bottom"/>
            <w:shd w:val="clear" w:color="auto" w:fill="000000"/>
          </w:tcPr>
          <w:p>
            <w:pPr>
              <w:spacing w:after="0"/>
              <w:rPr>
                <w:sz w:val="6"/>
                <w:szCs w:val="6"/>
                <w:color w:val="auto"/>
              </w:rPr>
            </w:pPr>
          </w:p>
        </w:tc>
        <w:tc>
          <w:tcPr>
            <w:tcW w:w="20" w:type="dxa"/>
            <w:vAlign w:val="bottom"/>
          </w:tcPr>
          <w:p>
            <w:pPr>
              <w:spacing w:after="0"/>
              <w:rPr>
                <w:sz w:val="6"/>
                <w:szCs w:val="6"/>
                <w:color w:val="auto"/>
              </w:rPr>
            </w:pPr>
          </w:p>
        </w:tc>
      </w:tr>
      <w:tr>
        <w:trPr>
          <w:trHeight w:val="105"/>
        </w:trPr>
        <w:tc>
          <w:tcPr>
            <w:tcW w:w="5680" w:type="dxa"/>
            <w:vAlign w:val="bottom"/>
            <w:tcBorders>
              <w:bottom w:val="single" w:sz="8" w:color="808080"/>
            </w:tcBorders>
          </w:tcPr>
          <w:p>
            <w:pPr>
              <w:spacing w:after="0"/>
              <w:rPr>
                <w:sz w:val="9"/>
                <w:szCs w:val="9"/>
                <w:color w:val="auto"/>
              </w:rPr>
            </w:pPr>
          </w:p>
        </w:tc>
        <w:tc>
          <w:tcPr>
            <w:tcW w:w="57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476" w:right="21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22"/>
          <w:szCs w:val="22"/>
          <w:b w:val="1"/>
          <w:bCs w:val="1"/>
          <w:color w:val="0D0E00"/>
        </w:rPr>
        <w:t>HAWKINS, INC.</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0D0E00"/>
        </w:rPr>
        <w:t>INDEX TO FORM 10-Q</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0" w:type="dxa"/>
            <w:vAlign w:val="bottom"/>
          </w:tcPr>
          <w:p>
            <w:pPr>
              <w:ind w:left="1220"/>
              <w:spacing w:after="0"/>
              <w:rPr>
                <w:sz w:val="20"/>
                <w:szCs w:val="20"/>
                <w:color w:val="auto"/>
              </w:rPr>
            </w:pPr>
            <w:r>
              <w:rPr>
                <w:rFonts w:ascii="Arial" w:cs="Arial" w:eastAsia="Arial" w:hAnsi="Arial"/>
                <w:sz w:val="18"/>
                <w:szCs w:val="18"/>
                <w:b w:val="1"/>
                <w:bCs w:val="1"/>
                <w:color w:val="0D0E00"/>
                <w:w w:val="83"/>
              </w:rPr>
              <w:t>Page</w:t>
            </w:r>
          </w:p>
        </w:tc>
      </w:tr>
      <w:tr>
        <w:trPr>
          <w:trHeight w:val="270"/>
        </w:trPr>
        <w:tc>
          <w:tcPr>
            <w:tcW w:w="1380" w:type="dxa"/>
            <w:vAlign w:val="bottom"/>
          </w:tcPr>
          <w:p>
            <w:pPr>
              <w:spacing w:after="0"/>
              <w:rPr>
                <w:sz w:val="20"/>
                <w:szCs w:val="20"/>
                <w:color w:val="auto"/>
              </w:rPr>
            </w:pPr>
            <w:r>
              <w:rPr>
                <w:rFonts w:ascii="Arial" w:cs="Arial" w:eastAsia="Arial" w:hAnsi="Arial"/>
                <w:sz w:val="18"/>
                <w:szCs w:val="18"/>
                <w:b w:val="1"/>
                <w:bCs w:val="1"/>
                <w:color w:val="0D0E00"/>
              </w:rPr>
              <w:t>PART I.</w:t>
            </w:r>
          </w:p>
        </w:tc>
        <w:tc>
          <w:tcPr>
            <w:tcW w:w="8120" w:type="dxa"/>
            <w:vAlign w:val="bottom"/>
            <w:gridSpan w:val="9"/>
          </w:tcPr>
          <w:p>
            <w:pPr>
              <w:spacing w:after="0"/>
              <w:rPr>
                <w:sz w:val="20"/>
                <w:szCs w:val="20"/>
                <w:color w:val="auto"/>
              </w:rPr>
            </w:pPr>
            <w:r>
              <w:rPr>
                <w:rFonts w:ascii="Arial" w:cs="Arial" w:eastAsia="Arial" w:hAnsi="Arial"/>
                <w:sz w:val="18"/>
                <w:szCs w:val="18"/>
                <w:b w:val="1"/>
                <w:bCs w:val="1"/>
                <w:color w:val="0D0E00"/>
              </w:rPr>
              <w:t>FINANCIAL INFORMATION</w:t>
            </w:r>
          </w:p>
        </w:tc>
        <w:tc>
          <w:tcPr>
            <w:tcW w:w="1600" w:type="dxa"/>
            <w:vAlign w:val="bottom"/>
          </w:tcPr>
          <w:p>
            <w:pPr>
              <w:spacing w:after="0"/>
              <w:rPr>
                <w:sz w:val="23"/>
                <w:szCs w:val="23"/>
                <w:color w:val="auto"/>
              </w:rPr>
            </w:pPr>
          </w:p>
        </w:tc>
      </w:tr>
      <w:tr>
        <w:trPr>
          <w:trHeight w:val="419"/>
        </w:trPr>
        <w:tc>
          <w:tcPr>
            <w:tcW w:w="1380" w:type="dxa"/>
            <w:vAlign w:val="bottom"/>
          </w:tcPr>
          <w:p>
            <w:pPr>
              <w:spacing w:after="0"/>
              <w:rPr>
                <w:sz w:val="20"/>
                <w:szCs w:val="20"/>
                <w:color w:val="auto"/>
              </w:rPr>
            </w:pPr>
            <w:r>
              <w:rPr>
                <w:rFonts w:ascii="Arial" w:cs="Arial" w:eastAsia="Arial" w:hAnsi="Arial"/>
                <w:sz w:val="18"/>
                <w:szCs w:val="18"/>
                <w:color w:val="0D0E00"/>
              </w:rPr>
              <w:t>Item 1.</w:t>
            </w:r>
          </w:p>
        </w:tc>
        <w:tc>
          <w:tcPr>
            <w:tcW w:w="8120" w:type="dxa"/>
            <w:vAlign w:val="bottom"/>
            <w:gridSpan w:val="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1600" w:type="dxa"/>
            <w:vAlign w:val="bottom"/>
          </w:tcPr>
          <w:p>
            <w:pPr>
              <w:spacing w:after="0"/>
              <w:rPr>
                <w:sz w:val="24"/>
                <w:szCs w:val="24"/>
                <w:color w:val="auto"/>
              </w:rPr>
            </w:pPr>
          </w:p>
        </w:tc>
      </w:tr>
      <w:tr>
        <w:trPr>
          <w:trHeight w:val="20"/>
        </w:trPr>
        <w:tc>
          <w:tcPr>
            <w:tcW w:w="138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66"/>
        </w:trPr>
        <w:tc>
          <w:tcPr>
            <w:tcW w:w="1380" w:type="dxa"/>
            <w:vAlign w:val="bottom"/>
          </w:tcPr>
          <w:p>
            <w:pPr>
              <w:spacing w:after="0"/>
              <w:rPr>
                <w:sz w:val="24"/>
                <w:szCs w:val="24"/>
                <w:color w:val="auto"/>
              </w:rPr>
            </w:pPr>
          </w:p>
        </w:tc>
        <w:tc>
          <w:tcPr>
            <w:tcW w:w="8120" w:type="dxa"/>
            <w:vAlign w:val="bottom"/>
            <w:gridSpan w:val="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Balance Sheets – September 30, 2010 and March 28, 2010</w:t>
              </w:r>
            </w:hyperlink>
          </w:p>
        </w:tc>
        <w:tc>
          <w:tcPr>
            <w:tcW w:w="1600" w:type="dxa"/>
            <w:vAlign w:val="bottom"/>
          </w:tcPr>
          <w:p>
            <w:pPr>
              <w:jc w:val="center"/>
              <w:ind w:left="1130"/>
              <w:spacing w:after="0"/>
              <w:rPr>
                <w:sz w:val="20"/>
                <w:szCs w:val="20"/>
                <w:color w:val="auto"/>
              </w:rPr>
            </w:pPr>
            <w:r>
              <w:rPr>
                <w:rFonts w:ascii="Arial" w:cs="Arial" w:eastAsia="Arial" w:hAnsi="Arial"/>
                <w:sz w:val="18"/>
                <w:szCs w:val="18"/>
                <w:color w:val="0D0E00"/>
                <w:w w:val="99"/>
              </w:rPr>
              <w:t>3</w:t>
            </w:r>
          </w:p>
        </w:tc>
      </w:tr>
      <w:tr>
        <w:trPr>
          <w:trHeight w:val="20"/>
        </w:trPr>
        <w:tc>
          <w:tcPr>
            <w:tcW w:w="1380" w:type="dxa"/>
            <w:vAlign w:val="bottom"/>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66"/>
        </w:trPr>
        <w:tc>
          <w:tcPr>
            <w:tcW w:w="1380" w:type="dxa"/>
            <w:vAlign w:val="bottom"/>
          </w:tcPr>
          <w:p>
            <w:pPr>
              <w:spacing w:after="0"/>
              <w:rPr>
                <w:sz w:val="24"/>
                <w:szCs w:val="24"/>
                <w:color w:val="auto"/>
              </w:rPr>
            </w:pPr>
          </w:p>
        </w:tc>
        <w:tc>
          <w:tcPr>
            <w:tcW w:w="8120" w:type="dxa"/>
            <w:vAlign w:val="bottom"/>
            <w:gridSpan w:val="9"/>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Statements of Income – Three and Six Months Ended September 30, 2010 and 2009</w:t>
              </w:r>
            </w:hyperlink>
          </w:p>
        </w:tc>
        <w:tc>
          <w:tcPr>
            <w:tcW w:w="1600" w:type="dxa"/>
            <w:vAlign w:val="bottom"/>
          </w:tcPr>
          <w:p>
            <w:pPr>
              <w:jc w:val="center"/>
              <w:ind w:left="1130"/>
              <w:spacing w:after="0"/>
              <w:rPr>
                <w:sz w:val="20"/>
                <w:szCs w:val="20"/>
                <w:color w:val="auto"/>
              </w:rPr>
            </w:pPr>
            <w:r>
              <w:rPr>
                <w:rFonts w:ascii="Arial" w:cs="Arial" w:eastAsia="Arial" w:hAnsi="Arial"/>
                <w:sz w:val="18"/>
                <w:szCs w:val="18"/>
                <w:color w:val="0D0E00"/>
                <w:w w:val="99"/>
              </w:rPr>
              <w:t>4</w:t>
            </w:r>
          </w:p>
        </w:tc>
      </w:tr>
      <w:tr>
        <w:trPr>
          <w:trHeight w:val="466"/>
        </w:trPr>
        <w:tc>
          <w:tcPr>
            <w:tcW w:w="1380" w:type="dxa"/>
            <w:vAlign w:val="bottom"/>
          </w:tcPr>
          <w:p>
            <w:pPr>
              <w:spacing w:after="0"/>
              <w:rPr>
                <w:sz w:val="24"/>
                <w:szCs w:val="24"/>
                <w:color w:val="auto"/>
              </w:rPr>
            </w:pPr>
          </w:p>
        </w:tc>
        <w:tc>
          <w:tcPr>
            <w:tcW w:w="6900" w:type="dxa"/>
            <w:vAlign w:val="bottom"/>
            <w:tcBorders>
              <w:top w:val="single" w:sz="8" w:color="0000FF"/>
            </w:tcBorders>
            <w:gridSpan w:val="8"/>
          </w:tcPr>
          <w:p>
            <w:pPr>
              <w:spacing w:after="0"/>
              <w:rPr>
                <w:rFonts w:ascii="Arial" w:cs="Arial" w:eastAsia="Arial" w:hAnsi="Arial"/>
                <w:sz w:val="18"/>
                <w:szCs w:val="18"/>
                <w:color w:val="0000FF"/>
                <w:w w:val="95"/>
              </w:rPr>
            </w:pPr>
            <w:hyperlink w:anchor="page5">
              <w:r>
                <w:rPr>
                  <w:rFonts w:ascii="Arial" w:cs="Arial" w:eastAsia="Arial" w:hAnsi="Arial"/>
                  <w:sz w:val="18"/>
                  <w:szCs w:val="18"/>
                  <w:color w:val="0000FF"/>
                  <w:w w:val="95"/>
                </w:rPr>
                <w:t>Condensed Statements of Cash Flows – Six Months Ended September 30, 2010 and 2009</w:t>
              </w:r>
            </w:hyperlink>
          </w:p>
        </w:tc>
        <w:tc>
          <w:tcPr>
            <w:tcW w:w="1220" w:type="dxa"/>
            <w:vAlign w:val="bottom"/>
          </w:tcPr>
          <w:p>
            <w:pPr>
              <w:spacing w:after="0"/>
              <w:rPr>
                <w:sz w:val="24"/>
                <w:szCs w:val="24"/>
                <w:color w:val="auto"/>
              </w:rPr>
            </w:pPr>
          </w:p>
        </w:tc>
        <w:tc>
          <w:tcPr>
            <w:tcW w:w="1600" w:type="dxa"/>
            <w:vAlign w:val="bottom"/>
          </w:tcPr>
          <w:p>
            <w:pPr>
              <w:jc w:val="center"/>
              <w:ind w:left="1130"/>
              <w:spacing w:after="0"/>
              <w:rPr>
                <w:sz w:val="20"/>
                <w:szCs w:val="20"/>
                <w:color w:val="auto"/>
              </w:rPr>
            </w:pPr>
            <w:r>
              <w:rPr>
                <w:rFonts w:ascii="Arial" w:cs="Arial" w:eastAsia="Arial" w:hAnsi="Arial"/>
                <w:sz w:val="18"/>
                <w:szCs w:val="18"/>
                <w:color w:val="0D0E00"/>
                <w:w w:val="99"/>
              </w:rPr>
              <w:t>5</w:t>
            </w:r>
          </w:p>
        </w:tc>
      </w:tr>
      <w:tr>
        <w:trPr>
          <w:trHeight w:val="466"/>
        </w:trPr>
        <w:tc>
          <w:tcPr>
            <w:tcW w:w="1380" w:type="dxa"/>
            <w:vAlign w:val="bottom"/>
          </w:tcPr>
          <w:p>
            <w:pPr>
              <w:spacing w:after="0"/>
              <w:rPr>
                <w:sz w:val="24"/>
                <w:szCs w:val="24"/>
                <w:color w:val="auto"/>
              </w:rPr>
            </w:pPr>
          </w:p>
        </w:tc>
        <w:tc>
          <w:tcPr>
            <w:tcW w:w="6440" w:type="dxa"/>
            <w:vAlign w:val="bottom"/>
            <w:tcBorders>
              <w:top w:val="single" w:sz="8" w:color="0000FF"/>
            </w:tcBorders>
            <w:gridSpan w:val="6"/>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Financial Statements</w:t>
              </w:r>
            </w:hyperlink>
          </w:p>
        </w:tc>
        <w:tc>
          <w:tcPr>
            <w:tcW w:w="1680" w:type="dxa"/>
            <w:vAlign w:val="bottom"/>
            <w:gridSpan w:val="3"/>
          </w:tcPr>
          <w:p>
            <w:pPr>
              <w:spacing w:after="0"/>
              <w:rPr>
                <w:sz w:val="24"/>
                <w:szCs w:val="24"/>
                <w:color w:val="auto"/>
              </w:rPr>
            </w:pPr>
          </w:p>
        </w:tc>
        <w:tc>
          <w:tcPr>
            <w:tcW w:w="1600" w:type="dxa"/>
            <w:vAlign w:val="bottom"/>
          </w:tcPr>
          <w:p>
            <w:pPr>
              <w:jc w:val="center"/>
              <w:ind w:left="1130"/>
              <w:spacing w:after="0"/>
              <w:rPr>
                <w:sz w:val="20"/>
                <w:szCs w:val="20"/>
                <w:color w:val="auto"/>
              </w:rPr>
            </w:pPr>
            <w:r>
              <w:rPr>
                <w:rFonts w:ascii="Arial" w:cs="Arial" w:eastAsia="Arial" w:hAnsi="Arial"/>
                <w:sz w:val="18"/>
                <w:szCs w:val="18"/>
                <w:color w:val="0D0E00"/>
                <w:w w:val="99"/>
              </w:rPr>
              <w:t>6</w:t>
            </w:r>
          </w:p>
        </w:tc>
      </w:tr>
      <w:tr>
        <w:trPr>
          <w:trHeight w:val="20"/>
        </w:trPr>
        <w:tc>
          <w:tcPr>
            <w:tcW w:w="1380" w:type="dxa"/>
            <w:vAlign w:val="bottom"/>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66"/>
        </w:trPr>
        <w:tc>
          <w:tcPr>
            <w:tcW w:w="1380" w:type="dxa"/>
            <w:vAlign w:val="bottom"/>
          </w:tcPr>
          <w:p>
            <w:pPr>
              <w:spacing w:after="0"/>
              <w:rPr>
                <w:sz w:val="20"/>
                <w:szCs w:val="20"/>
                <w:color w:val="auto"/>
              </w:rPr>
            </w:pPr>
            <w:r>
              <w:rPr>
                <w:rFonts w:ascii="Arial" w:cs="Arial" w:eastAsia="Arial" w:hAnsi="Arial"/>
                <w:sz w:val="18"/>
                <w:szCs w:val="18"/>
                <w:color w:val="0D0E00"/>
              </w:rPr>
              <w:t>Item 2.</w:t>
            </w:r>
          </w:p>
        </w:tc>
        <w:tc>
          <w:tcPr>
            <w:tcW w:w="8120" w:type="dxa"/>
            <w:vAlign w:val="bottom"/>
            <w:gridSpan w:val="9"/>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Management’s Discussion and Analysis of Financial Condition and Results of Operations</w:t>
              </w:r>
            </w:hyperlink>
          </w:p>
        </w:tc>
        <w:tc>
          <w:tcPr>
            <w:tcW w:w="1600" w:type="dxa"/>
            <w:vAlign w:val="bottom"/>
          </w:tcPr>
          <w:p>
            <w:pPr>
              <w:jc w:val="center"/>
              <w:ind w:left="1130"/>
              <w:spacing w:after="0"/>
              <w:rPr>
                <w:sz w:val="20"/>
                <w:szCs w:val="20"/>
                <w:color w:val="auto"/>
              </w:rPr>
            </w:pPr>
            <w:r>
              <w:rPr>
                <w:rFonts w:ascii="Arial" w:cs="Arial" w:eastAsia="Arial" w:hAnsi="Arial"/>
                <w:sz w:val="18"/>
                <w:szCs w:val="18"/>
                <w:color w:val="0D0E00"/>
                <w:w w:val="89"/>
              </w:rPr>
              <w:t>11</w:t>
            </w:r>
          </w:p>
        </w:tc>
      </w:tr>
      <w:tr>
        <w:trPr>
          <w:trHeight w:val="439"/>
        </w:trPr>
        <w:tc>
          <w:tcPr>
            <w:tcW w:w="1380" w:type="dxa"/>
            <w:vAlign w:val="bottom"/>
          </w:tcPr>
          <w:p>
            <w:pPr>
              <w:spacing w:after="0"/>
              <w:rPr>
                <w:sz w:val="20"/>
                <w:szCs w:val="20"/>
                <w:color w:val="auto"/>
              </w:rPr>
            </w:pPr>
            <w:r>
              <w:rPr>
                <w:rFonts w:ascii="Arial" w:cs="Arial" w:eastAsia="Arial" w:hAnsi="Arial"/>
                <w:sz w:val="18"/>
                <w:szCs w:val="18"/>
                <w:color w:val="0D0E00"/>
              </w:rPr>
              <w:t>Item 3.</w:t>
            </w:r>
          </w:p>
        </w:tc>
        <w:tc>
          <w:tcPr>
            <w:tcW w:w="432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1"/>
              </w:rPr>
            </w:pPr>
            <w:hyperlink w:anchor="page16">
              <w:r>
                <w:rPr>
                  <w:rFonts w:ascii="Arial" w:cs="Arial" w:eastAsia="Arial" w:hAnsi="Arial"/>
                  <w:sz w:val="18"/>
                  <w:szCs w:val="18"/>
                  <w:color w:val="0000FF"/>
                  <w:w w:val="91"/>
                </w:rPr>
                <w:t>Quantitative and Qualitative Disclosures about Market Risk</w:t>
              </w:r>
            </w:hyperlink>
          </w:p>
        </w:tc>
        <w:tc>
          <w:tcPr>
            <w:tcW w:w="2140" w:type="dxa"/>
            <w:vAlign w:val="bottom"/>
            <w:tcBorders>
              <w:top w:val="single" w:sz="8" w:color="0000FF"/>
            </w:tcBorders>
            <w:gridSpan w:val="3"/>
          </w:tcPr>
          <w:p>
            <w:pPr>
              <w:spacing w:after="0"/>
              <w:rPr>
                <w:sz w:val="24"/>
                <w:szCs w:val="24"/>
                <w:color w:val="auto"/>
              </w:rPr>
            </w:pPr>
          </w:p>
        </w:tc>
        <w:tc>
          <w:tcPr>
            <w:tcW w:w="1660" w:type="dxa"/>
            <w:vAlign w:val="bottom"/>
            <w:gridSpan w:val="2"/>
          </w:tcPr>
          <w:p>
            <w:pPr>
              <w:spacing w:after="0"/>
              <w:rPr>
                <w:sz w:val="24"/>
                <w:szCs w:val="24"/>
                <w:color w:val="auto"/>
              </w:rPr>
            </w:pPr>
          </w:p>
        </w:tc>
        <w:tc>
          <w:tcPr>
            <w:tcW w:w="1600" w:type="dxa"/>
            <w:vAlign w:val="bottom"/>
          </w:tcPr>
          <w:p>
            <w:pPr>
              <w:jc w:val="center"/>
              <w:ind w:left="1130"/>
              <w:spacing w:after="0"/>
              <w:rPr>
                <w:sz w:val="20"/>
                <w:szCs w:val="20"/>
                <w:color w:val="auto"/>
              </w:rPr>
            </w:pPr>
            <w:r>
              <w:rPr>
                <w:rFonts w:ascii="Arial" w:cs="Arial" w:eastAsia="Arial" w:hAnsi="Arial"/>
                <w:sz w:val="18"/>
                <w:szCs w:val="18"/>
                <w:color w:val="0D0E00"/>
                <w:w w:val="89"/>
              </w:rPr>
              <w:t>16</w:t>
            </w:r>
          </w:p>
        </w:tc>
      </w:tr>
      <w:tr>
        <w:trPr>
          <w:trHeight w:val="439"/>
        </w:trPr>
        <w:tc>
          <w:tcPr>
            <w:tcW w:w="1380" w:type="dxa"/>
            <w:vAlign w:val="bottom"/>
          </w:tcPr>
          <w:p>
            <w:pPr>
              <w:spacing w:after="0"/>
              <w:rPr>
                <w:sz w:val="20"/>
                <w:szCs w:val="20"/>
                <w:color w:val="auto"/>
              </w:rPr>
            </w:pPr>
            <w:r>
              <w:rPr>
                <w:rFonts w:ascii="Arial" w:cs="Arial" w:eastAsia="Arial" w:hAnsi="Arial"/>
                <w:sz w:val="18"/>
                <w:szCs w:val="18"/>
                <w:color w:val="0D0E00"/>
              </w:rPr>
              <w:t>Item 4.</w:t>
            </w:r>
          </w:p>
        </w:tc>
        <w:tc>
          <w:tcPr>
            <w:tcW w:w="1780" w:type="dxa"/>
            <w:vAlign w:val="bottom"/>
            <w:tcBorders>
              <w:bottom w:val="single" w:sz="8" w:color="0000FF"/>
            </w:tcBorders>
            <w:gridSpan w:val="2"/>
          </w:tcPr>
          <w:p>
            <w:pPr>
              <w:spacing w:after="0"/>
              <w:rPr>
                <w:rFonts w:ascii="Arial" w:cs="Arial" w:eastAsia="Arial" w:hAnsi="Arial"/>
                <w:sz w:val="18"/>
                <w:szCs w:val="18"/>
                <w:color w:val="0000FF"/>
                <w:w w:val="88"/>
              </w:rPr>
            </w:pPr>
            <w:hyperlink w:anchor="page16">
              <w:r>
                <w:rPr>
                  <w:rFonts w:ascii="Arial" w:cs="Arial" w:eastAsia="Arial" w:hAnsi="Arial"/>
                  <w:sz w:val="18"/>
                  <w:szCs w:val="18"/>
                  <w:color w:val="0000FF"/>
                  <w:w w:val="88"/>
                </w:rPr>
                <w:t>Controls and Procedures</w:t>
              </w:r>
            </w:hyperlink>
          </w:p>
        </w:tc>
        <w:tc>
          <w:tcPr>
            <w:tcW w:w="6340" w:type="dxa"/>
            <w:vAlign w:val="bottom"/>
            <w:gridSpan w:val="7"/>
          </w:tcPr>
          <w:p>
            <w:pPr>
              <w:spacing w:after="0"/>
              <w:rPr>
                <w:sz w:val="24"/>
                <w:szCs w:val="24"/>
                <w:color w:val="auto"/>
              </w:rPr>
            </w:pPr>
          </w:p>
        </w:tc>
        <w:tc>
          <w:tcPr>
            <w:tcW w:w="1600" w:type="dxa"/>
            <w:vAlign w:val="bottom"/>
          </w:tcPr>
          <w:p>
            <w:pPr>
              <w:jc w:val="center"/>
              <w:ind w:left="1130"/>
              <w:spacing w:after="0"/>
              <w:rPr>
                <w:sz w:val="20"/>
                <w:szCs w:val="20"/>
                <w:color w:val="auto"/>
              </w:rPr>
            </w:pPr>
            <w:r>
              <w:rPr>
                <w:rFonts w:ascii="Arial" w:cs="Arial" w:eastAsia="Arial" w:hAnsi="Arial"/>
                <w:sz w:val="18"/>
                <w:szCs w:val="18"/>
                <w:color w:val="0D0E00"/>
                <w:w w:val="89"/>
              </w:rPr>
              <w:t>16</w:t>
            </w:r>
          </w:p>
        </w:tc>
      </w:tr>
    </w:tbl>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gridSpan w:val="3"/>
          </w:tcPr>
          <w:p>
            <w:pPr>
              <w:spacing w:after="0"/>
              <w:rPr>
                <w:sz w:val="20"/>
                <w:szCs w:val="20"/>
                <w:color w:val="auto"/>
              </w:rPr>
            </w:pPr>
            <w:r>
              <w:rPr>
                <w:rFonts w:ascii="Arial" w:cs="Arial" w:eastAsia="Arial" w:hAnsi="Arial"/>
                <w:sz w:val="18"/>
                <w:szCs w:val="18"/>
                <w:b w:val="1"/>
                <w:bCs w:val="1"/>
                <w:color w:val="0D0E00"/>
              </w:rPr>
              <w:t>PART II.</w:t>
            </w:r>
          </w:p>
        </w:tc>
        <w:tc>
          <w:tcPr>
            <w:tcW w:w="3160" w:type="dxa"/>
            <w:vAlign w:val="bottom"/>
            <w:gridSpan w:val="3"/>
          </w:tcPr>
          <w:p>
            <w:pPr>
              <w:spacing w:after="0"/>
              <w:rPr>
                <w:sz w:val="20"/>
                <w:szCs w:val="20"/>
                <w:color w:val="auto"/>
              </w:rPr>
            </w:pPr>
            <w:r>
              <w:rPr>
                <w:rFonts w:ascii="Arial" w:cs="Arial" w:eastAsia="Arial" w:hAnsi="Arial"/>
                <w:sz w:val="18"/>
                <w:szCs w:val="18"/>
                <w:b w:val="1"/>
                <w:bCs w:val="1"/>
                <w:color w:val="0D0E00"/>
              </w:rPr>
              <w:t>OTHER INFORMATION</w:t>
            </w:r>
          </w:p>
        </w:tc>
        <w:tc>
          <w:tcPr>
            <w:tcW w:w="6900" w:type="dxa"/>
            <w:vAlign w:val="bottom"/>
          </w:tcPr>
          <w:p>
            <w:pPr>
              <w:spacing w:after="0"/>
              <w:rPr>
                <w:sz w:val="20"/>
                <w:szCs w:val="20"/>
                <w:color w:val="auto"/>
              </w:rPr>
            </w:pPr>
          </w:p>
        </w:tc>
      </w:tr>
      <w:tr>
        <w:trPr>
          <w:trHeight w:val="446"/>
        </w:trPr>
        <w:tc>
          <w:tcPr>
            <w:tcW w:w="1380" w:type="dxa"/>
            <w:vAlign w:val="bottom"/>
            <w:gridSpan w:val="3"/>
          </w:tcPr>
          <w:p>
            <w:pPr>
              <w:spacing w:after="0"/>
              <w:rPr>
                <w:sz w:val="20"/>
                <w:szCs w:val="20"/>
                <w:color w:val="auto"/>
              </w:rPr>
            </w:pPr>
            <w:r>
              <w:rPr>
                <w:rFonts w:ascii="Arial" w:cs="Arial" w:eastAsia="Arial" w:hAnsi="Arial"/>
                <w:sz w:val="18"/>
                <w:szCs w:val="18"/>
                <w:color w:val="0D0E00"/>
              </w:rPr>
              <w:t>Item 1A.</w:t>
            </w:r>
          </w:p>
        </w:tc>
        <w:tc>
          <w:tcPr>
            <w:tcW w:w="920" w:type="dxa"/>
            <w:vAlign w:val="bottom"/>
            <w:tcBorders>
              <w:bottom w:val="single" w:sz="8" w:color="0000FF"/>
            </w:tcBorders>
            <w:gridSpan w:val="2"/>
          </w:tcPr>
          <w:p>
            <w:pPr>
              <w:spacing w:after="0"/>
              <w:rPr>
                <w:rFonts w:ascii="Arial" w:cs="Arial" w:eastAsia="Arial" w:hAnsi="Arial"/>
                <w:sz w:val="18"/>
                <w:szCs w:val="18"/>
                <w:color w:val="0000FF"/>
                <w:w w:val="89"/>
              </w:rPr>
            </w:pPr>
            <w:hyperlink w:anchor="page17">
              <w:r>
                <w:rPr>
                  <w:rFonts w:ascii="Arial" w:cs="Arial" w:eastAsia="Arial" w:hAnsi="Arial"/>
                  <w:sz w:val="18"/>
                  <w:szCs w:val="18"/>
                  <w:color w:val="0000FF"/>
                  <w:w w:val="89"/>
                </w:rPr>
                <w:t>Risk Factors</w:t>
              </w:r>
            </w:hyperlink>
          </w:p>
        </w:tc>
        <w:tc>
          <w:tcPr>
            <w:tcW w:w="2240" w:type="dxa"/>
            <w:vAlign w:val="bottom"/>
          </w:tcPr>
          <w:p>
            <w:pPr>
              <w:spacing w:after="0"/>
              <w:rPr>
                <w:sz w:val="24"/>
                <w:szCs w:val="24"/>
                <w:color w:val="auto"/>
              </w:rPr>
            </w:pPr>
          </w:p>
        </w:tc>
        <w:tc>
          <w:tcPr>
            <w:tcW w:w="6900" w:type="dxa"/>
            <w:vAlign w:val="bottom"/>
          </w:tcPr>
          <w:p>
            <w:pPr>
              <w:jc w:val="right"/>
              <w:ind w:right="350"/>
              <w:spacing w:after="0"/>
              <w:rPr>
                <w:sz w:val="20"/>
                <w:szCs w:val="20"/>
                <w:color w:val="auto"/>
              </w:rPr>
            </w:pPr>
            <w:r>
              <w:rPr>
                <w:rFonts w:ascii="Arial" w:cs="Arial" w:eastAsia="Arial" w:hAnsi="Arial"/>
                <w:sz w:val="18"/>
                <w:szCs w:val="18"/>
                <w:color w:val="0D0E00"/>
              </w:rPr>
              <w:t>17</w:t>
            </w:r>
          </w:p>
        </w:tc>
      </w:tr>
      <w:tr>
        <w:trPr>
          <w:trHeight w:val="439"/>
        </w:trPr>
        <w:tc>
          <w:tcPr>
            <w:tcW w:w="1380" w:type="dxa"/>
            <w:vAlign w:val="bottom"/>
            <w:gridSpan w:val="3"/>
          </w:tcPr>
          <w:p>
            <w:pPr>
              <w:spacing w:after="0"/>
              <w:rPr>
                <w:sz w:val="20"/>
                <w:szCs w:val="20"/>
                <w:color w:val="auto"/>
              </w:rPr>
            </w:pPr>
            <w:r>
              <w:rPr>
                <w:rFonts w:ascii="Arial" w:cs="Arial" w:eastAsia="Arial" w:hAnsi="Arial"/>
                <w:sz w:val="18"/>
                <w:szCs w:val="18"/>
                <w:color w:val="0D0E00"/>
              </w:rPr>
              <w:t>Item 6.</w:t>
            </w:r>
          </w:p>
        </w:tc>
        <w:tc>
          <w:tcPr>
            <w:tcW w:w="3160" w:type="dxa"/>
            <w:vAlign w:val="bottom"/>
            <w:gridSpan w:val="3"/>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Exhibits</w:t>
              </w:r>
            </w:hyperlink>
          </w:p>
        </w:tc>
        <w:tc>
          <w:tcPr>
            <w:tcW w:w="6900" w:type="dxa"/>
            <w:vAlign w:val="bottom"/>
          </w:tcPr>
          <w:p>
            <w:pPr>
              <w:jc w:val="right"/>
              <w:ind w:right="350"/>
              <w:spacing w:after="0"/>
              <w:rPr>
                <w:sz w:val="20"/>
                <w:szCs w:val="20"/>
                <w:color w:val="auto"/>
              </w:rPr>
            </w:pPr>
            <w:r>
              <w:rPr>
                <w:rFonts w:ascii="Arial" w:cs="Arial" w:eastAsia="Arial" w:hAnsi="Arial"/>
                <w:sz w:val="18"/>
                <w:szCs w:val="18"/>
                <w:color w:val="0D0E00"/>
              </w:rPr>
              <w:t>17</w:t>
            </w:r>
          </w:p>
        </w:tc>
      </w:tr>
      <w:tr>
        <w:trPr>
          <w:trHeight w:val="439"/>
        </w:trPr>
        <w:tc>
          <w:tcPr>
            <w:tcW w:w="1380" w:type="dxa"/>
            <w:vAlign w:val="bottom"/>
            <w:gridSpan w:val="3"/>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Signatures</w:t>
              </w:r>
            </w:hyperlink>
          </w:p>
        </w:tc>
        <w:tc>
          <w:tcPr>
            <w:tcW w:w="6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900" w:type="dxa"/>
            <w:vAlign w:val="bottom"/>
          </w:tcPr>
          <w:p>
            <w:pPr>
              <w:jc w:val="right"/>
              <w:ind w:right="350"/>
              <w:spacing w:after="0"/>
              <w:rPr>
                <w:sz w:val="20"/>
                <w:szCs w:val="20"/>
                <w:color w:val="auto"/>
              </w:rPr>
            </w:pPr>
            <w:r>
              <w:rPr>
                <w:rFonts w:ascii="Arial" w:cs="Arial" w:eastAsia="Arial" w:hAnsi="Arial"/>
                <w:sz w:val="18"/>
                <w:szCs w:val="18"/>
                <w:color w:val="0D0E00"/>
              </w:rPr>
              <w:t>18</w:t>
            </w:r>
          </w:p>
        </w:tc>
      </w:tr>
      <w:tr>
        <w:trPr>
          <w:trHeight w:val="20"/>
        </w:trPr>
        <w:tc>
          <w:tcPr>
            <w:tcW w:w="7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r>
      <w:tr>
        <w:trPr>
          <w:trHeight w:val="466"/>
        </w:trPr>
        <w:tc>
          <w:tcPr>
            <w:tcW w:w="1380" w:type="dxa"/>
            <w:vAlign w:val="bottom"/>
            <w:gridSpan w:val="3"/>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Exhibit Index</w:t>
              </w:r>
            </w:hyperlink>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900" w:type="dxa"/>
            <w:vAlign w:val="bottom"/>
          </w:tcPr>
          <w:p>
            <w:pPr>
              <w:jc w:val="right"/>
              <w:ind w:right="350"/>
              <w:spacing w:after="0"/>
              <w:rPr>
                <w:sz w:val="20"/>
                <w:szCs w:val="20"/>
                <w:color w:val="auto"/>
              </w:rPr>
            </w:pPr>
            <w:r>
              <w:rPr>
                <w:rFonts w:ascii="Arial" w:cs="Arial" w:eastAsia="Arial" w:hAnsi="Arial"/>
                <w:sz w:val="18"/>
                <w:szCs w:val="18"/>
                <w:color w:val="0D0E00"/>
              </w:rPr>
              <w:t>19</w:t>
            </w:r>
          </w:p>
        </w:tc>
      </w:tr>
      <w:tr>
        <w:trPr>
          <w:trHeight w:val="993"/>
        </w:trPr>
        <w:tc>
          <w:tcPr>
            <w:tcW w:w="7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900" w:type="dxa"/>
            <w:vAlign w:val="bottom"/>
          </w:tcPr>
          <w:p>
            <w:pPr>
              <w:jc w:val="right"/>
              <w:ind w:right="5590"/>
              <w:spacing w:after="0"/>
              <w:rPr>
                <w:sz w:val="20"/>
                <w:szCs w:val="20"/>
                <w:color w:val="auto"/>
              </w:rPr>
            </w:pPr>
            <w:r>
              <w:rPr>
                <w:rFonts w:ascii="Arial" w:cs="Arial" w:eastAsia="Arial" w:hAnsi="Arial"/>
                <w:sz w:val="18"/>
                <w:szCs w:val="18"/>
                <w:color w:val="auto"/>
              </w:rPr>
              <w:t>2</w:t>
            </w:r>
          </w:p>
        </w:tc>
      </w:tr>
      <w:tr>
        <w:trPr>
          <w:trHeight w:val="361"/>
        </w:trPr>
        <w:tc>
          <w:tcPr>
            <w:tcW w:w="7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240" w:type="dxa"/>
            <w:vAlign w:val="bottom"/>
            <w:tcBorders>
              <w:bottom w:val="single" w:sz="8" w:color="808080"/>
            </w:tcBorders>
          </w:tcPr>
          <w:p>
            <w:pPr>
              <w:spacing w:after="0"/>
              <w:rPr>
                <w:sz w:val="24"/>
                <w:szCs w:val="24"/>
                <w:color w:val="auto"/>
              </w:rPr>
            </w:pPr>
          </w:p>
        </w:tc>
        <w:tc>
          <w:tcPr>
            <w:tcW w:w="69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98" w:right="21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D0E00"/>
        </w:rPr>
        <w:t>PART I. FINANCIAL INFORMATION</w:t>
      </w:r>
    </w:p>
    <w:p>
      <w:pPr>
        <w:spacing w:after="0" w:line="239" w:lineRule="exact"/>
        <w:rPr>
          <w:sz w:val="20"/>
          <w:szCs w:val="20"/>
          <w:color w:val="auto"/>
        </w:rPr>
      </w:pPr>
    </w:p>
    <w:p>
      <w:pPr>
        <w:spacing w:after="0"/>
        <w:tabs>
          <w:tab w:leader="none" w:pos="940" w:val="left"/>
        </w:tabs>
        <w:rPr>
          <w:sz w:val="20"/>
          <w:szCs w:val="20"/>
          <w:color w:val="auto"/>
        </w:rPr>
      </w:pPr>
      <w:r>
        <w:rPr>
          <w:rFonts w:ascii="Arial" w:cs="Arial" w:eastAsia="Arial" w:hAnsi="Arial"/>
          <w:sz w:val="22"/>
          <w:szCs w:val="22"/>
          <w:color w:val="0D0E00"/>
        </w:rPr>
        <w:t>ITEM 1.</w:t>
      </w:r>
      <w:r>
        <w:rPr>
          <w:sz w:val="20"/>
          <w:szCs w:val="20"/>
          <w:color w:val="auto"/>
        </w:rPr>
        <w:tab/>
      </w:r>
      <w:r>
        <w:rPr>
          <w:rFonts w:ascii="Arial" w:cs="Arial" w:eastAsia="Arial" w:hAnsi="Arial"/>
          <w:sz w:val="21"/>
          <w:szCs w:val="21"/>
          <w:color w:val="0D0E00"/>
        </w:rPr>
        <w:t>FINANCIAL STATEMENTS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60" w:type="dxa"/>
            <w:vAlign w:val="bottom"/>
          </w:tcPr>
          <w:p>
            <w:pPr>
              <w:spacing w:after="0"/>
              <w:rPr>
                <w:sz w:val="20"/>
                <w:szCs w:val="20"/>
                <w:color w:val="auto"/>
              </w:rPr>
            </w:pPr>
            <w:r>
              <w:rPr>
                <w:rFonts w:ascii="Arial" w:cs="Arial" w:eastAsia="Arial" w:hAnsi="Arial"/>
                <w:sz w:val="14"/>
                <w:szCs w:val="14"/>
                <w:b w:val="1"/>
                <w:bCs w:val="1"/>
                <w:color w:val="auto"/>
              </w:rPr>
              <w:t>(In thousands, except share data)</w:t>
            </w:r>
          </w:p>
        </w:tc>
        <w:tc>
          <w:tcPr>
            <w:tcW w:w="140" w:type="dxa"/>
            <w:vAlign w:val="bottom"/>
          </w:tcPr>
          <w:p>
            <w:pPr>
              <w:spacing w:after="0"/>
              <w:rPr>
                <w:sz w:val="16"/>
                <w:szCs w:val="16"/>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March 28,</w:t>
            </w:r>
          </w:p>
        </w:tc>
        <w:tc>
          <w:tcPr>
            <w:tcW w:w="0" w:type="dxa"/>
            <w:vAlign w:val="bottom"/>
          </w:tcPr>
          <w:p>
            <w:pPr>
              <w:spacing w:after="0"/>
              <w:rPr>
                <w:sz w:val="1"/>
                <w:szCs w:val="1"/>
                <w:color w:val="auto"/>
              </w:rPr>
            </w:pPr>
          </w:p>
        </w:tc>
      </w:tr>
      <w:tr>
        <w:trPr>
          <w:trHeight w:val="111"/>
        </w:trPr>
        <w:tc>
          <w:tcPr>
            <w:tcW w:w="8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8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846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1"/>
                <w:szCs w:val="21"/>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(Audited)</w:t>
            </w:r>
          </w:p>
        </w:tc>
        <w:tc>
          <w:tcPr>
            <w:tcW w:w="0" w:type="dxa"/>
            <w:vAlign w:val="bottom"/>
          </w:tcPr>
          <w:p>
            <w:pPr>
              <w:spacing w:after="0"/>
              <w:rPr>
                <w:sz w:val="1"/>
                <w:szCs w:val="1"/>
                <w:color w:val="auto"/>
              </w:rPr>
            </w:pPr>
          </w:p>
        </w:tc>
      </w:tr>
      <w:tr>
        <w:trPr>
          <w:trHeight w:val="228"/>
        </w:trPr>
        <w:tc>
          <w:tcPr>
            <w:tcW w:w="84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846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460" w:type="dxa"/>
            <w:vAlign w:val="bottom"/>
            <w:shd w:val="clear" w:color="auto" w:fill="D6F3E8"/>
          </w:tcPr>
          <w:p>
            <w:pPr>
              <w:ind w:left="2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35,099</w:t>
            </w:r>
          </w:p>
        </w:tc>
        <w:tc>
          <w:tcPr>
            <w:tcW w:w="360" w:type="dxa"/>
            <w:vAlign w:val="bottom"/>
            <w:gridSpan w:val="2"/>
            <w:shd w:val="clear" w:color="auto" w:fill="D6F3E8"/>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18,772</w:t>
            </w:r>
          </w:p>
        </w:tc>
        <w:tc>
          <w:tcPr>
            <w:tcW w:w="0" w:type="dxa"/>
            <w:vAlign w:val="bottom"/>
          </w:tcPr>
          <w:p>
            <w:pPr>
              <w:spacing w:after="0"/>
              <w:rPr>
                <w:sz w:val="1"/>
                <w:szCs w:val="1"/>
                <w:color w:val="auto"/>
              </w:rPr>
            </w:pPr>
          </w:p>
        </w:tc>
      </w:tr>
      <w:tr>
        <w:trPr>
          <w:trHeight w:val="243"/>
        </w:trPr>
        <w:tc>
          <w:tcPr>
            <w:tcW w:w="8460" w:type="dxa"/>
            <w:vAlign w:val="bottom"/>
          </w:tcPr>
          <w:p>
            <w:pPr>
              <w:ind w:left="260"/>
              <w:spacing w:after="0"/>
              <w:rPr>
                <w:sz w:val="20"/>
                <w:szCs w:val="20"/>
                <w:color w:val="auto"/>
              </w:rPr>
            </w:pPr>
            <w:r>
              <w:rPr>
                <w:rFonts w:ascii="Arial" w:cs="Arial" w:eastAsia="Arial" w:hAnsi="Arial"/>
                <w:sz w:val="18"/>
                <w:szCs w:val="18"/>
                <w:color w:val="auto"/>
              </w:rPr>
              <w:t>Investments available-for-sale</w:t>
            </w:r>
          </w:p>
        </w:tc>
        <w:tc>
          <w:tcPr>
            <w:tcW w:w="14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24,909</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25,928</w:t>
            </w:r>
          </w:p>
        </w:tc>
        <w:tc>
          <w:tcPr>
            <w:tcW w:w="0" w:type="dxa"/>
            <w:vAlign w:val="bottom"/>
          </w:tcPr>
          <w:p>
            <w:pPr>
              <w:spacing w:after="0"/>
              <w:rPr>
                <w:sz w:val="1"/>
                <w:szCs w:val="1"/>
                <w:color w:val="auto"/>
              </w:rPr>
            </w:pPr>
          </w:p>
        </w:tc>
      </w:tr>
      <w:tr>
        <w:trPr>
          <w:trHeight w:val="202"/>
        </w:trPr>
        <w:tc>
          <w:tcPr>
            <w:tcW w:w="8460" w:type="dxa"/>
            <w:vAlign w:val="bottom"/>
            <w:shd w:val="clear" w:color="auto" w:fill="D6F3E8"/>
          </w:tcPr>
          <w:p>
            <w:pPr>
              <w:ind w:left="260"/>
              <w:spacing w:after="0" w:line="201" w:lineRule="exact"/>
              <w:rPr>
                <w:sz w:val="20"/>
                <w:szCs w:val="20"/>
                <w:color w:val="auto"/>
              </w:rPr>
            </w:pPr>
            <w:r>
              <w:rPr>
                <w:rFonts w:ascii="Arial" w:cs="Arial" w:eastAsia="Arial" w:hAnsi="Arial"/>
                <w:sz w:val="18"/>
                <w:szCs w:val="18"/>
                <w:color w:val="auto"/>
              </w:rPr>
              <w:t>Trade receivables - less allowance for doubtful accounts:</w:t>
            </w:r>
          </w:p>
        </w:tc>
        <w:tc>
          <w:tcPr>
            <w:tcW w:w="140" w:type="dxa"/>
            <w:vAlign w:val="bottom"/>
            <w:shd w:val="clear" w:color="auto" w:fill="D6F3E8"/>
          </w:tcPr>
          <w:p>
            <w:pPr>
              <w:spacing w:after="0"/>
              <w:rPr>
                <w:sz w:val="17"/>
                <w:szCs w:val="17"/>
                <w:color w:val="auto"/>
              </w:rPr>
            </w:pPr>
          </w:p>
        </w:tc>
        <w:tc>
          <w:tcPr>
            <w:tcW w:w="1140" w:type="dxa"/>
            <w:vAlign w:val="bottom"/>
            <w:shd w:val="clear" w:color="auto" w:fill="D6F3E8"/>
          </w:tcPr>
          <w:p>
            <w:pPr>
              <w:spacing w:after="0"/>
              <w:rPr>
                <w:sz w:val="17"/>
                <w:szCs w:val="17"/>
                <w:color w:val="auto"/>
              </w:rPr>
            </w:pPr>
          </w:p>
        </w:tc>
        <w:tc>
          <w:tcPr>
            <w:tcW w:w="160" w:type="dxa"/>
            <w:vAlign w:val="bottom"/>
            <w:shd w:val="clear" w:color="auto" w:fill="D6F3E8"/>
          </w:tcPr>
          <w:p>
            <w:pPr>
              <w:spacing w:after="0"/>
              <w:rPr>
                <w:sz w:val="17"/>
                <w:szCs w:val="17"/>
                <w:color w:val="auto"/>
              </w:rPr>
            </w:pPr>
          </w:p>
        </w:tc>
        <w:tc>
          <w:tcPr>
            <w:tcW w:w="160" w:type="dxa"/>
            <w:vAlign w:val="bottom"/>
            <w:shd w:val="clear" w:color="auto" w:fill="D6F3E8"/>
          </w:tcPr>
          <w:p>
            <w:pPr>
              <w:spacing w:after="0"/>
              <w:rPr>
                <w:sz w:val="17"/>
                <w:szCs w:val="17"/>
                <w:color w:val="auto"/>
              </w:rPr>
            </w:pPr>
          </w:p>
        </w:tc>
        <w:tc>
          <w:tcPr>
            <w:tcW w:w="200" w:type="dxa"/>
            <w:vAlign w:val="bottom"/>
            <w:shd w:val="clear" w:color="auto" w:fill="D6F3E8"/>
          </w:tcPr>
          <w:p>
            <w:pPr>
              <w:spacing w:after="0"/>
              <w:rPr>
                <w:sz w:val="17"/>
                <w:szCs w:val="17"/>
                <w:color w:val="auto"/>
              </w:rPr>
            </w:pPr>
          </w:p>
        </w:tc>
        <w:tc>
          <w:tcPr>
            <w:tcW w:w="1060" w:type="dxa"/>
            <w:vAlign w:val="bottom"/>
            <w:shd w:val="clear" w:color="auto" w:fill="D6F3E8"/>
          </w:tcPr>
          <w:p>
            <w:pPr>
              <w:spacing w:after="0"/>
              <w:rPr>
                <w:sz w:val="17"/>
                <w:szCs w:val="17"/>
                <w:color w:val="auto"/>
              </w:rPr>
            </w:pPr>
          </w:p>
        </w:tc>
        <w:tc>
          <w:tcPr>
            <w:tcW w:w="10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60" w:type="dxa"/>
            <w:vAlign w:val="bottom"/>
            <w:shd w:val="clear" w:color="auto" w:fill="D6F3E8"/>
          </w:tcPr>
          <w:p>
            <w:pPr>
              <w:ind w:left="420"/>
              <w:spacing w:after="0"/>
              <w:rPr>
                <w:sz w:val="20"/>
                <w:szCs w:val="20"/>
                <w:color w:val="auto"/>
              </w:rPr>
            </w:pPr>
            <w:r>
              <w:rPr>
                <w:rFonts w:ascii="Arial" w:cs="Arial" w:eastAsia="Arial" w:hAnsi="Arial"/>
                <w:sz w:val="18"/>
                <w:szCs w:val="18"/>
                <w:color w:val="auto"/>
              </w:rPr>
              <w:t>$325 as of September 30, 2010 and $300 as of March 28, 2010</w:t>
            </w:r>
          </w:p>
        </w:tc>
        <w:tc>
          <w:tcPr>
            <w:tcW w:w="140" w:type="dxa"/>
            <w:vAlign w:val="bottom"/>
            <w:shd w:val="clear" w:color="auto" w:fill="D6F3E8"/>
          </w:tcPr>
          <w:p>
            <w:pPr>
              <w:spacing w:after="0"/>
              <w:rPr>
                <w:sz w:val="20"/>
                <w:szCs w:val="20"/>
                <w:color w:val="auto"/>
              </w:rPr>
            </w:pPr>
          </w:p>
        </w:tc>
        <w:tc>
          <w:tcPr>
            <w:tcW w:w="130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27,312</w:t>
            </w:r>
          </w:p>
        </w:tc>
        <w:tc>
          <w:tcPr>
            <w:tcW w:w="160" w:type="dxa"/>
            <w:vAlign w:val="bottom"/>
            <w:shd w:val="clear" w:color="auto" w:fill="D6F3E8"/>
          </w:tcPr>
          <w:p>
            <w:pPr>
              <w:spacing w:after="0"/>
              <w:rPr>
                <w:sz w:val="20"/>
                <w:szCs w:val="20"/>
                <w:color w:val="auto"/>
              </w:rPr>
            </w:pPr>
          </w:p>
        </w:tc>
        <w:tc>
          <w:tcPr>
            <w:tcW w:w="200" w:type="dxa"/>
            <w:vAlign w:val="bottom"/>
            <w:shd w:val="clear" w:color="auto" w:fill="D6F3E8"/>
          </w:tcPr>
          <w:p>
            <w:pPr>
              <w:spacing w:after="0"/>
              <w:rPr>
                <w:sz w:val="20"/>
                <w:szCs w:val="20"/>
                <w:color w:val="auto"/>
              </w:rPr>
            </w:pPr>
          </w:p>
        </w:tc>
        <w:tc>
          <w:tcPr>
            <w:tcW w:w="11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24,832</w:t>
            </w:r>
          </w:p>
        </w:tc>
        <w:tc>
          <w:tcPr>
            <w:tcW w:w="0" w:type="dxa"/>
            <w:vAlign w:val="bottom"/>
          </w:tcPr>
          <w:p>
            <w:pPr>
              <w:spacing w:after="0"/>
              <w:rPr>
                <w:sz w:val="1"/>
                <w:szCs w:val="1"/>
                <w:color w:val="auto"/>
              </w:rPr>
            </w:pPr>
          </w:p>
        </w:tc>
      </w:tr>
      <w:tr>
        <w:trPr>
          <w:trHeight w:val="243"/>
        </w:trPr>
        <w:tc>
          <w:tcPr>
            <w:tcW w:w="846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24,771</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21,327</w:t>
            </w:r>
          </w:p>
        </w:tc>
        <w:tc>
          <w:tcPr>
            <w:tcW w:w="0" w:type="dxa"/>
            <w:vAlign w:val="bottom"/>
          </w:tcPr>
          <w:p>
            <w:pPr>
              <w:spacing w:after="0"/>
              <w:rPr>
                <w:sz w:val="1"/>
                <w:szCs w:val="1"/>
                <w:color w:val="auto"/>
              </w:rPr>
            </w:pPr>
          </w:p>
        </w:tc>
      </w:tr>
      <w:tr>
        <w:trPr>
          <w:trHeight w:val="243"/>
        </w:trPr>
        <w:tc>
          <w:tcPr>
            <w:tcW w:w="8460" w:type="dxa"/>
            <w:vAlign w:val="bottom"/>
            <w:shd w:val="clear" w:color="auto" w:fill="D6F3E8"/>
          </w:tcPr>
          <w:p>
            <w:pPr>
              <w:ind w:left="260"/>
              <w:spacing w:after="0"/>
              <w:rPr>
                <w:sz w:val="20"/>
                <w:szCs w:val="20"/>
                <w:color w:val="auto"/>
              </w:rPr>
            </w:pPr>
            <w:r>
              <w:rPr>
                <w:rFonts w:ascii="Arial" w:cs="Arial" w:eastAsia="Arial" w:hAnsi="Arial"/>
                <w:sz w:val="18"/>
                <w:szCs w:val="18"/>
                <w:color w:val="auto"/>
              </w:rPr>
              <w:t>Income taxes receivable</w:t>
            </w:r>
          </w:p>
        </w:tc>
        <w:tc>
          <w:tcPr>
            <w:tcW w:w="140" w:type="dxa"/>
            <w:vAlign w:val="bottom"/>
            <w:shd w:val="clear" w:color="auto" w:fill="D6F3E8"/>
          </w:tcPr>
          <w:p>
            <w:pPr>
              <w:spacing w:after="0"/>
              <w:rPr>
                <w:sz w:val="21"/>
                <w:szCs w:val="21"/>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71</w:t>
            </w:r>
          </w:p>
        </w:tc>
        <w:tc>
          <w:tcPr>
            <w:tcW w:w="160" w:type="dxa"/>
            <w:vAlign w:val="bottom"/>
            <w:shd w:val="clear" w:color="auto" w:fill="D6F3E8"/>
          </w:tcPr>
          <w:p>
            <w:pPr>
              <w:spacing w:after="0"/>
              <w:rPr>
                <w:sz w:val="21"/>
                <w:szCs w:val="21"/>
                <w:color w:val="auto"/>
              </w:rPr>
            </w:pPr>
          </w:p>
        </w:tc>
        <w:tc>
          <w:tcPr>
            <w:tcW w:w="160" w:type="dxa"/>
            <w:vAlign w:val="bottom"/>
            <w:shd w:val="clear" w:color="auto" w:fill="D6F3E8"/>
          </w:tcPr>
          <w:p>
            <w:pPr>
              <w:spacing w:after="0"/>
              <w:rPr>
                <w:sz w:val="21"/>
                <w:szCs w:val="21"/>
                <w:color w:val="auto"/>
              </w:rPr>
            </w:pPr>
          </w:p>
        </w:tc>
        <w:tc>
          <w:tcPr>
            <w:tcW w:w="200" w:type="dxa"/>
            <w:vAlign w:val="bottom"/>
            <w:shd w:val="clear" w:color="auto" w:fill="D6F3E8"/>
          </w:tcPr>
          <w:p>
            <w:pPr>
              <w:spacing w:after="0"/>
              <w:rPr>
                <w:sz w:val="21"/>
                <w:szCs w:val="21"/>
                <w:color w:val="auto"/>
              </w:rPr>
            </w:pPr>
          </w:p>
        </w:tc>
        <w:tc>
          <w:tcPr>
            <w:tcW w:w="11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4,430</w:t>
            </w:r>
          </w:p>
        </w:tc>
        <w:tc>
          <w:tcPr>
            <w:tcW w:w="0" w:type="dxa"/>
            <w:vAlign w:val="bottom"/>
          </w:tcPr>
          <w:p>
            <w:pPr>
              <w:spacing w:after="0"/>
              <w:rPr>
                <w:sz w:val="1"/>
                <w:szCs w:val="1"/>
                <w:color w:val="auto"/>
              </w:rPr>
            </w:pPr>
          </w:p>
        </w:tc>
      </w:tr>
      <w:tr>
        <w:trPr>
          <w:trHeight w:val="243"/>
        </w:trPr>
        <w:tc>
          <w:tcPr>
            <w:tcW w:w="8460" w:type="dxa"/>
            <w:vAlign w:val="bottom"/>
            <w:tcBorders>
              <w:bottom w:val="single" w:sz="8" w:color="D6F3E8"/>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w:t>
            </w:r>
          </w:p>
        </w:tc>
        <w:tc>
          <w:tcPr>
            <w:tcW w:w="160" w:type="dxa"/>
            <w:vAlign w:val="bottom"/>
            <w:tcBorders>
              <w:bottom w:val="single" w:sz="8" w:color="D6F3E8"/>
            </w:tcBorders>
          </w:tcPr>
          <w:p>
            <w:pPr>
              <w:spacing w:after="0"/>
              <w:rPr>
                <w:sz w:val="21"/>
                <w:szCs w:val="21"/>
                <w:color w:val="auto"/>
              </w:rPr>
            </w:pPr>
          </w:p>
        </w:tc>
        <w:tc>
          <w:tcPr>
            <w:tcW w:w="160" w:type="dxa"/>
            <w:vAlign w:val="bottom"/>
            <w:tcBorders>
              <w:bottom w:val="single" w:sz="8" w:color="D6F3E8"/>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2,209</w:t>
            </w:r>
          </w:p>
        </w:tc>
        <w:tc>
          <w:tcPr>
            <w:tcW w:w="100" w:type="dxa"/>
            <w:vAlign w:val="bottom"/>
            <w:tcBorders>
              <w:bottom w:val="single" w:sz="8" w:color="D6F3E8"/>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460" w:type="dxa"/>
            <w:vAlign w:val="bottom"/>
            <w:shd w:val="clear" w:color="auto" w:fill="D6F3E8"/>
          </w:tcPr>
          <w:p>
            <w:pPr>
              <w:ind w:left="66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D6F3E8"/>
          </w:tcPr>
          <w:p>
            <w:pPr>
              <w:spacing w:after="0"/>
              <w:rPr>
                <w:sz w:val="20"/>
                <w:szCs w:val="20"/>
                <w:color w:val="auto"/>
              </w:rPr>
            </w:pPr>
          </w:p>
        </w:tc>
        <w:tc>
          <w:tcPr>
            <w:tcW w:w="130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113,905</w:t>
            </w:r>
          </w:p>
        </w:tc>
        <w:tc>
          <w:tcPr>
            <w:tcW w:w="160" w:type="dxa"/>
            <w:vAlign w:val="bottom"/>
            <w:shd w:val="clear" w:color="auto" w:fill="D6F3E8"/>
          </w:tcPr>
          <w:p>
            <w:pPr>
              <w:spacing w:after="0"/>
              <w:rPr>
                <w:sz w:val="20"/>
                <w:szCs w:val="20"/>
                <w:color w:val="auto"/>
              </w:rPr>
            </w:pPr>
          </w:p>
        </w:tc>
        <w:tc>
          <w:tcPr>
            <w:tcW w:w="200" w:type="dxa"/>
            <w:vAlign w:val="bottom"/>
            <w:shd w:val="clear" w:color="auto" w:fill="D6F3E8"/>
          </w:tcPr>
          <w:p>
            <w:pPr>
              <w:spacing w:after="0"/>
              <w:rPr>
                <w:sz w:val="20"/>
                <w:szCs w:val="20"/>
                <w:color w:val="auto"/>
              </w:rPr>
            </w:pPr>
          </w:p>
        </w:tc>
        <w:tc>
          <w:tcPr>
            <w:tcW w:w="11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97,498</w:t>
            </w:r>
          </w:p>
        </w:tc>
        <w:tc>
          <w:tcPr>
            <w:tcW w:w="0" w:type="dxa"/>
            <w:vAlign w:val="bottom"/>
          </w:tcPr>
          <w:p>
            <w:pPr>
              <w:spacing w:after="0"/>
              <w:rPr>
                <w:sz w:val="1"/>
                <w:szCs w:val="1"/>
                <w:color w:val="auto"/>
              </w:rPr>
            </w:pPr>
          </w:p>
        </w:tc>
      </w:tr>
      <w:tr>
        <w:trPr>
          <w:trHeight w:val="486"/>
        </w:trPr>
        <w:tc>
          <w:tcPr>
            <w:tcW w:w="8460" w:type="dxa"/>
            <w:vAlign w:val="bottom"/>
          </w:tcPr>
          <w:p>
            <w:pPr>
              <w:spacing w:after="0"/>
              <w:rPr>
                <w:sz w:val="20"/>
                <w:szCs w:val="20"/>
                <w:color w:val="auto"/>
              </w:rPr>
            </w:pPr>
            <w:r>
              <w:rPr>
                <w:rFonts w:ascii="Arial" w:cs="Arial" w:eastAsia="Arial" w:hAnsi="Arial"/>
                <w:sz w:val="18"/>
                <w:szCs w:val="18"/>
                <w:color w:val="auto"/>
              </w:rPr>
              <w:t>PROPERTY, PLANT, AND EQUIPMENT - net</w:t>
            </w:r>
          </w:p>
        </w:tc>
        <w:tc>
          <w:tcPr>
            <w:tcW w:w="14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48,943</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47,756</w:t>
            </w:r>
          </w:p>
        </w:tc>
        <w:tc>
          <w:tcPr>
            <w:tcW w:w="0" w:type="dxa"/>
            <w:vAlign w:val="bottom"/>
          </w:tcPr>
          <w:p>
            <w:pPr>
              <w:spacing w:after="0"/>
              <w:rPr>
                <w:sz w:val="1"/>
                <w:szCs w:val="1"/>
                <w:color w:val="auto"/>
              </w:rPr>
            </w:pPr>
          </w:p>
        </w:tc>
      </w:tr>
      <w:tr>
        <w:trPr>
          <w:trHeight w:val="243"/>
        </w:trPr>
        <w:tc>
          <w:tcPr>
            <w:tcW w:w="8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shd w:val="clear" w:color="auto" w:fill="D6F3E8"/>
          </w:tcPr>
          <w:p>
            <w:pPr>
              <w:spacing w:after="0"/>
              <w:rPr>
                <w:sz w:val="20"/>
                <w:szCs w:val="20"/>
                <w:color w:val="auto"/>
              </w:rPr>
            </w:pPr>
            <w:r>
              <w:rPr>
                <w:rFonts w:ascii="Arial" w:cs="Arial" w:eastAsia="Arial" w:hAnsi="Arial"/>
                <w:sz w:val="18"/>
                <w:szCs w:val="18"/>
                <w:color w:val="auto"/>
              </w:rPr>
              <w:t>GOODWILL AND INTANGIBLE ASSETS</w:t>
            </w:r>
          </w:p>
        </w:tc>
        <w:tc>
          <w:tcPr>
            <w:tcW w:w="140" w:type="dxa"/>
            <w:vAlign w:val="bottom"/>
            <w:shd w:val="clear" w:color="auto" w:fill="D6F3E8"/>
          </w:tcPr>
          <w:p>
            <w:pPr>
              <w:spacing w:after="0"/>
              <w:rPr>
                <w:sz w:val="21"/>
                <w:szCs w:val="21"/>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4,718</w:t>
            </w:r>
          </w:p>
        </w:tc>
        <w:tc>
          <w:tcPr>
            <w:tcW w:w="160" w:type="dxa"/>
            <w:vAlign w:val="bottom"/>
            <w:shd w:val="clear" w:color="auto" w:fill="D6F3E8"/>
          </w:tcPr>
          <w:p>
            <w:pPr>
              <w:spacing w:after="0"/>
              <w:rPr>
                <w:sz w:val="21"/>
                <w:szCs w:val="21"/>
                <w:color w:val="auto"/>
              </w:rPr>
            </w:pPr>
          </w:p>
        </w:tc>
        <w:tc>
          <w:tcPr>
            <w:tcW w:w="160" w:type="dxa"/>
            <w:vAlign w:val="bottom"/>
            <w:shd w:val="clear" w:color="auto" w:fill="D6F3E8"/>
          </w:tcPr>
          <w:p>
            <w:pPr>
              <w:spacing w:after="0"/>
              <w:rPr>
                <w:sz w:val="21"/>
                <w:szCs w:val="21"/>
                <w:color w:val="auto"/>
              </w:rPr>
            </w:pPr>
          </w:p>
        </w:tc>
        <w:tc>
          <w:tcPr>
            <w:tcW w:w="200" w:type="dxa"/>
            <w:vAlign w:val="bottom"/>
            <w:shd w:val="clear" w:color="auto" w:fill="D6F3E8"/>
          </w:tcPr>
          <w:p>
            <w:pPr>
              <w:spacing w:after="0"/>
              <w:rPr>
                <w:sz w:val="21"/>
                <w:szCs w:val="21"/>
                <w:color w:val="auto"/>
              </w:rPr>
            </w:pPr>
          </w:p>
        </w:tc>
        <w:tc>
          <w:tcPr>
            <w:tcW w:w="11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4,839</w:t>
            </w:r>
          </w:p>
        </w:tc>
        <w:tc>
          <w:tcPr>
            <w:tcW w:w="0" w:type="dxa"/>
            <w:vAlign w:val="bottom"/>
          </w:tcPr>
          <w:p>
            <w:pPr>
              <w:spacing w:after="0"/>
              <w:rPr>
                <w:sz w:val="1"/>
                <w:szCs w:val="1"/>
                <w:color w:val="auto"/>
              </w:rPr>
            </w:pPr>
          </w:p>
        </w:tc>
      </w:tr>
      <w:tr>
        <w:trPr>
          <w:trHeight w:val="486"/>
        </w:trPr>
        <w:tc>
          <w:tcPr>
            <w:tcW w:w="8460" w:type="dxa"/>
            <w:vAlign w:val="bottom"/>
          </w:tcPr>
          <w:p>
            <w:pPr>
              <w:spacing w:after="0"/>
              <w:rPr>
                <w:sz w:val="20"/>
                <w:szCs w:val="20"/>
                <w:color w:val="auto"/>
              </w:rPr>
            </w:pPr>
            <w:r>
              <w:rPr>
                <w:rFonts w:ascii="Arial" w:cs="Arial" w:eastAsia="Arial" w:hAnsi="Arial"/>
                <w:sz w:val="18"/>
                <w:szCs w:val="18"/>
                <w:color w:val="auto"/>
              </w:rPr>
              <w:t>LONG-TERM INVESTMENTS</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2,953</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8,972</w:t>
            </w:r>
          </w:p>
        </w:tc>
        <w:tc>
          <w:tcPr>
            <w:tcW w:w="0" w:type="dxa"/>
            <w:vAlign w:val="bottom"/>
          </w:tcPr>
          <w:p>
            <w:pPr>
              <w:spacing w:after="0"/>
              <w:rPr>
                <w:sz w:val="1"/>
                <w:szCs w:val="1"/>
                <w:color w:val="auto"/>
              </w:rPr>
            </w:pPr>
          </w:p>
        </w:tc>
      </w:tr>
      <w:tr>
        <w:trPr>
          <w:trHeight w:val="243"/>
        </w:trPr>
        <w:tc>
          <w:tcPr>
            <w:tcW w:w="8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shd w:val="clear" w:color="auto" w:fill="D6F3E8"/>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D6F3E8"/>
          </w:tcPr>
          <w:p>
            <w:pPr>
              <w:spacing w:after="0"/>
              <w:rPr>
                <w:sz w:val="21"/>
                <w:szCs w:val="21"/>
                <w:color w:val="auto"/>
              </w:rPr>
            </w:pPr>
          </w:p>
        </w:tc>
        <w:tc>
          <w:tcPr>
            <w:tcW w:w="130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464</w:t>
            </w:r>
          </w:p>
        </w:tc>
        <w:tc>
          <w:tcPr>
            <w:tcW w:w="160" w:type="dxa"/>
            <w:vAlign w:val="bottom"/>
            <w:shd w:val="clear" w:color="auto" w:fill="D6F3E8"/>
          </w:tcPr>
          <w:p>
            <w:pPr>
              <w:spacing w:after="0"/>
              <w:rPr>
                <w:sz w:val="21"/>
                <w:szCs w:val="21"/>
                <w:color w:val="auto"/>
              </w:rPr>
            </w:pPr>
          </w:p>
        </w:tc>
        <w:tc>
          <w:tcPr>
            <w:tcW w:w="200" w:type="dxa"/>
            <w:vAlign w:val="bottom"/>
            <w:shd w:val="clear" w:color="auto" w:fill="D6F3E8"/>
          </w:tcPr>
          <w:p>
            <w:pPr>
              <w:spacing w:after="0"/>
              <w:rPr>
                <w:sz w:val="21"/>
                <w:szCs w:val="21"/>
                <w:color w:val="auto"/>
              </w:rPr>
            </w:pPr>
          </w:p>
        </w:tc>
        <w:tc>
          <w:tcPr>
            <w:tcW w:w="11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10"/>
        </w:trPr>
        <w:tc>
          <w:tcPr>
            <w:tcW w:w="84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170,983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160,293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84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46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460" w:type="dxa"/>
            <w:vAlign w:val="bottom"/>
            <w:shd w:val="clear" w:color="auto" w:fill="D6F3E8"/>
          </w:tcPr>
          <w:p>
            <w:pPr>
              <w:ind w:left="260"/>
              <w:spacing w:after="0"/>
              <w:rPr>
                <w:sz w:val="20"/>
                <w:szCs w:val="20"/>
                <w:color w:val="auto"/>
              </w:rPr>
            </w:pPr>
            <w:r>
              <w:rPr>
                <w:rFonts w:ascii="Arial" w:cs="Arial" w:eastAsia="Arial" w:hAnsi="Arial"/>
                <w:sz w:val="18"/>
                <w:szCs w:val="18"/>
                <w:color w:val="auto"/>
              </w:rPr>
              <w:t>Accounts payable – trade</w:t>
            </w:r>
          </w:p>
        </w:tc>
        <w:tc>
          <w:tcPr>
            <w:tcW w:w="1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14,167</w:t>
            </w:r>
          </w:p>
        </w:tc>
        <w:tc>
          <w:tcPr>
            <w:tcW w:w="360" w:type="dxa"/>
            <w:vAlign w:val="bottom"/>
            <w:gridSpan w:val="2"/>
            <w:shd w:val="clear" w:color="auto" w:fill="D6F3E8"/>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13,940</w:t>
            </w:r>
          </w:p>
        </w:tc>
        <w:tc>
          <w:tcPr>
            <w:tcW w:w="0" w:type="dxa"/>
            <w:vAlign w:val="bottom"/>
          </w:tcPr>
          <w:p>
            <w:pPr>
              <w:spacing w:after="0"/>
              <w:rPr>
                <w:sz w:val="1"/>
                <w:szCs w:val="1"/>
                <w:color w:val="auto"/>
              </w:rPr>
            </w:pPr>
          </w:p>
        </w:tc>
      </w:tr>
      <w:tr>
        <w:trPr>
          <w:trHeight w:val="243"/>
        </w:trPr>
        <w:tc>
          <w:tcPr>
            <w:tcW w:w="8460" w:type="dxa"/>
            <w:vAlign w:val="bottom"/>
          </w:tcPr>
          <w:p>
            <w:pPr>
              <w:ind w:left="260"/>
              <w:spacing w:after="0"/>
              <w:rPr>
                <w:sz w:val="20"/>
                <w:szCs w:val="20"/>
                <w:color w:val="auto"/>
              </w:rPr>
            </w:pPr>
            <w:r>
              <w:rPr>
                <w:rFonts w:ascii="Arial" w:cs="Arial" w:eastAsia="Arial" w:hAnsi="Arial"/>
                <w:sz w:val="18"/>
                <w:szCs w:val="18"/>
                <w:color w:val="auto"/>
              </w:rPr>
              <w:t>Dividends payable</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4,126</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2,879</w:t>
            </w:r>
          </w:p>
        </w:tc>
        <w:tc>
          <w:tcPr>
            <w:tcW w:w="0" w:type="dxa"/>
            <w:vAlign w:val="bottom"/>
          </w:tcPr>
          <w:p>
            <w:pPr>
              <w:spacing w:after="0"/>
              <w:rPr>
                <w:sz w:val="1"/>
                <w:szCs w:val="1"/>
                <w:color w:val="auto"/>
              </w:rPr>
            </w:pPr>
          </w:p>
        </w:tc>
      </w:tr>
      <w:tr>
        <w:trPr>
          <w:trHeight w:val="243"/>
        </w:trPr>
        <w:tc>
          <w:tcPr>
            <w:tcW w:w="8460" w:type="dxa"/>
            <w:vAlign w:val="bottom"/>
            <w:shd w:val="clear" w:color="auto" w:fill="D6F3E8"/>
          </w:tcPr>
          <w:p>
            <w:pPr>
              <w:ind w:left="260"/>
              <w:spacing w:after="0"/>
              <w:rPr>
                <w:sz w:val="20"/>
                <w:szCs w:val="20"/>
                <w:color w:val="auto"/>
              </w:rPr>
            </w:pPr>
            <w:r>
              <w:rPr>
                <w:rFonts w:ascii="Arial" w:cs="Arial" w:eastAsia="Arial" w:hAnsi="Arial"/>
                <w:sz w:val="18"/>
                <w:szCs w:val="18"/>
                <w:color w:val="auto"/>
              </w:rPr>
              <w:t>Accrued payroll and employee benefits</w:t>
            </w:r>
          </w:p>
        </w:tc>
        <w:tc>
          <w:tcPr>
            <w:tcW w:w="140" w:type="dxa"/>
            <w:vAlign w:val="bottom"/>
            <w:shd w:val="clear" w:color="auto" w:fill="D6F3E8"/>
          </w:tcPr>
          <w:p>
            <w:pPr>
              <w:spacing w:after="0"/>
              <w:rPr>
                <w:sz w:val="21"/>
                <w:szCs w:val="21"/>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4,999</w:t>
            </w:r>
          </w:p>
        </w:tc>
        <w:tc>
          <w:tcPr>
            <w:tcW w:w="160" w:type="dxa"/>
            <w:vAlign w:val="bottom"/>
            <w:shd w:val="clear" w:color="auto" w:fill="D6F3E8"/>
          </w:tcPr>
          <w:p>
            <w:pPr>
              <w:spacing w:after="0"/>
              <w:rPr>
                <w:sz w:val="21"/>
                <w:szCs w:val="21"/>
                <w:color w:val="auto"/>
              </w:rPr>
            </w:pPr>
          </w:p>
        </w:tc>
        <w:tc>
          <w:tcPr>
            <w:tcW w:w="160" w:type="dxa"/>
            <w:vAlign w:val="bottom"/>
            <w:shd w:val="clear" w:color="auto" w:fill="D6F3E8"/>
          </w:tcPr>
          <w:p>
            <w:pPr>
              <w:spacing w:after="0"/>
              <w:rPr>
                <w:sz w:val="21"/>
                <w:szCs w:val="21"/>
                <w:color w:val="auto"/>
              </w:rPr>
            </w:pPr>
          </w:p>
        </w:tc>
        <w:tc>
          <w:tcPr>
            <w:tcW w:w="200" w:type="dxa"/>
            <w:vAlign w:val="bottom"/>
            <w:shd w:val="clear" w:color="auto" w:fill="D6F3E8"/>
          </w:tcPr>
          <w:p>
            <w:pPr>
              <w:spacing w:after="0"/>
              <w:rPr>
                <w:sz w:val="21"/>
                <w:szCs w:val="21"/>
                <w:color w:val="auto"/>
              </w:rPr>
            </w:pPr>
          </w:p>
        </w:tc>
        <w:tc>
          <w:tcPr>
            <w:tcW w:w="11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7,908</w:t>
            </w:r>
          </w:p>
        </w:tc>
        <w:tc>
          <w:tcPr>
            <w:tcW w:w="0" w:type="dxa"/>
            <w:vAlign w:val="bottom"/>
          </w:tcPr>
          <w:p>
            <w:pPr>
              <w:spacing w:after="0"/>
              <w:rPr>
                <w:sz w:val="1"/>
                <w:szCs w:val="1"/>
                <w:color w:val="auto"/>
              </w:rPr>
            </w:pPr>
          </w:p>
        </w:tc>
      </w:tr>
      <w:tr>
        <w:trPr>
          <w:trHeight w:val="243"/>
        </w:trPr>
        <w:tc>
          <w:tcPr>
            <w:tcW w:w="846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3,364</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3,364</w:t>
            </w:r>
          </w:p>
        </w:tc>
        <w:tc>
          <w:tcPr>
            <w:tcW w:w="0" w:type="dxa"/>
            <w:vAlign w:val="bottom"/>
          </w:tcPr>
          <w:p>
            <w:pPr>
              <w:spacing w:after="0"/>
              <w:rPr>
                <w:sz w:val="1"/>
                <w:szCs w:val="1"/>
                <w:color w:val="auto"/>
              </w:rPr>
            </w:pPr>
          </w:p>
        </w:tc>
      </w:tr>
      <w:tr>
        <w:trPr>
          <w:trHeight w:val="243"/>
        </w:trPr>
        <w:tc>
          <w:tcPr>
            <w:tcW w:w="8460" w:type="dxa"/>
            <w:vAlign w:val="bottom"/>
            <w:shd w:val="clear" w:color="auto" w:fill="D6F3E8"/>
          </w:tcPr>
          <w:p>
            <w:pPr>
              <w:ind w:left="260"/>
              <w:spacing w:after="0"/>
              <w:rPr>
                <w:sz w:val="20"/>
                <w:szCs w:val="20"/>
                <w:color w:val="auto"/>
              </w:rPr>
            </w:pPr>
            <w:r>
              <w:rPr>
                <w:rFonts w:ascii="Arial" w:cs="Arial" w:eastAsia="Arial" w:hAnsi="Arial"/>
                <w:sz w:val="18"/>
                <w:szCs w:val="18"/>
                <w:color w:val="auto"/>
              </w:rPr>
              <w:t>Container deposits</w:t>
            </w:r>
          </w:p>
        </w:tc>
        <w:tc>
          <w:tcPr>
            <w:tcW w:w="140" w:type="dxa"/>
            <w:vAlign w:val="bottom"/>
            <w:shd w:val="clear" w:color="auto" w:fill="D6F3E8"/>
          </w:tcPr>
          <w:p>
            <w:pPr>
              <w:spacing w:after="0"/>
              <w:rPr>
                <w:sz w:val="21"/>
                <w:szCs w:val="21"/>
                <w:color w:val="auto"/>
              </w:rPr>
            </w:pPr>
          </w:p>
        </w:tc>
        <w:tc>
          <w:tcPr>
            <w:tcW w:w="130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978</w:t>
            </w:r>
          </w:p>
        </w:tc>
        <w:tc>
          <w:tcPr>
            <w:tcW w:w="160" w:type="dxa"/>
            <w:vAlign w:val="bottom"/>
            <w:shd w:val="clear" w:color="auto" w:fill="D6F3E8"/>
          </w:tcPr>
          <w:p>
            <w:pPr>
              <w:spacing w:after="0"/>
              <w:rPr>
                <w:sz w:val="21"/>
                <w:szCs w:val="21"/>
                <w:color w:val="auto"/>
              </w:rPr>
            </w:pPr>
          </w:p>
        </w:tc>
        <w:tc>
          <w:tcPr>
            <w:tcW w:w="200" w:type="dxa"/>
            <w:vAlign w:val="bottom"/>
            <w:shd w:val="clear" w:color="auto" w:fill="D6F3E8"/>
          </w:tcPr>
          <w:p>
            <w:pPr>
              <w:spacing w:after="0"/>
              <w:rPr>
                <w:sz w:val="21"/>
                <w:szCs w:val="21"/>
                <w:color w:val="auto"/>
              </w:rPr>
            </w:pPr>
          </w:p>
        </w:tc>
        <w:tc>
          <w:tcPr>
            <w:tcW w:w="11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43"/>
        </w:trPr>
        <w:tc>
          <w:tcPr>
            <w:tcW w:w="8460" w:type="dxa"/>
            <w:vAlign w:val="bottom"/>
          </w:tcPr>
          <w:p>
            <w:pPr>
              <w:ind w:left="260"/>
              <w:spacing w:after="0"/>
              <w:rPr>
                <w:sz w:val="20"/>
                <w:szCs w:val="20"/>
                <w:color w:val="auto"/>
              </w:rPr>
            </w:pPr>
            <w:r>
              <w:rPr>
                <w:rFonts w:ascii="Arial" w:cs="Arial" w:eastAsia="Arial" w:hAnsi="Arial"/>
                <w:sz w:val="18"/>
                <w:szCs w:val="18"/>
                <w:color w:val="auto"/>
              </w:rPr>
              <w:t>Income taxes payable</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1,837</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60" w:type="dxa"/>
            <w:vAlign w:val="bottom"/>
            <w:tcBorders>
              <w:bottom w:val="single" w:sz="8" w:color="D6F3E8"/>
            </w:tcBorders>
            <w:shd w:val="clear" w:color="auto" w:fill="D6F3E8"/>
          </w:tcPr>
          <w:p>
            <w:pPr>
              <w:ind w:left="260"/>
              <w:spacing w:after="0"/>
              <w:rPr>
                <w:sz w:val="20"/>
                <w:szCs w:val="20"/>
                <w:color w:val="auto"/>
              </w:rPr>
            </w:pPr>
            <w:r>
              <w:rPr>
                <w:rFonts w:ascii="Arial" w:cs="Arial" w:eastAsia="Arial" w:hAnsi="Arial"/>
                <w:sz w:val="18"/>
                <w:szCs w:val="18"/>
                <w:color w:val="auto"/>
              </w:rPr>
              <w:t>Other accruals</w:t>
            </w:r>
          </w:p>
        </w:tc>
        <w:tc>
          <w:tcPr>
            <w:tcW w:w="140" w:type="dxa"/>
            <w:vAlign w:val="bottom"/>
            <w:tcBorders>
              <w:bottom w:val="single" w:sz="8" w:color="auto"/>
            </w:tcBorders>
            <w:shd w:val="clear" w:color="auto" w:fill="D6F3E8"/>
          </w:tcPr>
          <w:p>
            <w:pPr>
              <w:spacing w:after="0"/>
              <w:rPr>
                <w:sz w:val="21"/>
                <w:szCs w:val="21"/>
                <w:color w:val="auto"/>
              </w:rPr>
            </w:pPr>
          </w:p>
        </w:tc>
        <w:tc>
          <w:tcPr>
            <w:tcW w:w="11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1,367</w:t>
            </w:r>
          </w:p>
        </w:tc>
        <w:tc>
          <w:tcPr>
            <w:tcW w:w="160" w:type="dxa"/>
            <w:vAlign w:val="bottom"/>
            <w:tcBorders>
              <w:bottom w:val="single" w:sz="8" w:color="D6F3E8"/>
            </w:tcBorders>
            <w:shd w:val="clear" w:color="auto" w:fill="D6F3E8"/>
          </w:tcPr>
          <w:p>
            <w:pPr>
              <w:spacing w:after="0"/>
              <w:rPr>
                <w:sz w:val="21"/>
                <w:szCs w:val="21"/>
                <w:color w:val="auto"/>
              </w:rPr>
            </w:pPr>
          </w:p>
        </w:tc>
        <w:tc>
          <w:tcPr>
            <w:tcW w:w="160" w:type="dxa"/>
            <w:vAlign w:val="bottom"/>
            <w:tcBorders>
              <w:bottom w:val="single" w:sz="8" w:color="D6F3E8"/>
            </w:tcBorders>
            <w:shd w:val="clear" w:color="auto" w:fill="D6F3E8"/>
          </w:tcPr>
          <w:p>
            <w:pPr>
              <w:spacing w:after="0"/>
              <w:rPr>
                <w:sz w:val="21"/>
                <w:szCs w:val="21"/>
                <w:color w:val="auto"/>
              </w:rPr>
            </w:pPr>
          </w:p>
        </w:tc>
        <w:tc>
          <w:tcPr>
            <w:tcW w:w="200" w:type="dxa"/>
            <w:vAlign w:val="bottom"/>
            <w:tcBorders>
              <w:bottom w:val="single" w:sz="8" w:color="auto"/>
            </w:tcBorders>
            <w:shd w:val="clear" w:color="auto" w:fill="D6F3E8"/>
          </w:tcPr>
          <w:p>
            <w:pPr>
              <w:spacing w:after="0"/>
              <w:rPr>
                <w:sz w:val="21"/>
                <w:szCs w:val="21"/>
                <w:color w:val="auto"/>
              </w:rPr>
            </w:pPr>
          </w:p>
        </w:tc>
        <w:tc>
          <w:tcPr>
            <w:tcW w:w="10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1,592</w:t>
            </w:r>
          </w:p>
        </w:tc>
        <w:tc>
          <w:tcPr>
            <w:tcW w:w="100" w:type="dxa"/>
            <w:vAlign w:val="bottom"/>
            <w:tcBorders>
              <w:bottom w:val="single" w:sz="8" w:color="D6F3E8"/>
            </w:tcBorders>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46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30,838</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30,607</w:t>
            </w:r>
          </w:p>
        </w:tc>
        <w:tc>
          <w:tcPr>
            <w:tcW w:w="0" w:type="dxa"/>
            <w:vAlign w:val="bottom"/>
          </w:tcPr>
          <w:p>
            <w:pPr>
              <w:spacing w:after="0"/>
              <w:rPr>
                <w:sz w:val="1"/>
                <w:szCs w:val="1"/>
                <w:color w:val="auto"/>
              </w:rPr>
            </w:pPr>
          </w:p>
        </w:tc>
      </w:tr>
      <w:tr>
        <w:trPr>
          <w:trHeight w:val="243"/>
        </w:trPr>
        <w:tc>
          <w:tcPr>
            <w:tcW w:w="8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shd w:val="clear" w:color="auto" w:fill="D6F3E8"/>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shd w:val="clear" w:color="auto" w:fill="D6F3E8"/>
          </w:tcPr>
          <w:p>
            <w:pPr>
              <w:spacing w:after="0"/>
              <w:rPr>
                <w:sz w:val="21"/>
                <w:szCs w:val="21"/>
                <w:color w:val="auto"/>
              </w:rPr>
            </w:pPr>
          </w:p>
        </w:tc>
        <w:tc>
          <w:tcPr>
            <w:tcW w:w="130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402</w:t>
            </w:r>
          </w:p>
        </w:tc>
        <w:tc>
          <w:tcPr>
            <w:tcW w:w="160" w:type="dxa"/>
            <w:vAlign w:val="bottom"/>
            <w:shd w:val="clear" w:color="auto" w:fill="D6F3E8"/>
          </w:tcPr>
          <w:p>
            <w:pPr>
              <w:spacing w:after="0"/>
              <w:rPr>
                <w:sz w:val="21"/>
                <w:szCs w:val="21"/>
                <w:color w:val="auto"/>
              </w:rPr>
            </w:pPr>
          </w:p>
        </w:tc>
        <w:tc>
          <w:tcPr>
            <w:tcW w:w="200" w:type="dxa"/>
            <w:vAlign w:val="bottom"/>
            <w:shd w:val="clear" w:color="auto" w:fill="D6F3E8"/>
          </w:tcPr>
          <w:p>
            <w:pPr>
              <w:spacing w:after="0"/>
              <w:rPr>
                <w:sz w:val="21"/>
                <w:szCs w:val="21"/>
                <w:color w:val="auto"/>
              </w:rPr>
            </w:pPr>
          </w:p>
        </w:tc>
        <w:tc>
          <w:tcPr>
            <w:tcW w:w="11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486"/>
        </w:trPr>
        <w:tc>
          <w:tcPr>
            <w:tcW w:w="8460" w:type="dxa"/>
            <w:vAlign w:val="bottom"/>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7,553</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7,555</w:t>
            </w:r>
          </w:p>
        </w:tc>
        <w:tc>
          <w:tcPr>
            <w:tcW w:w="0" w:type="dxa"/>
            <w:vAlign w:val="bottom"/>
          </w:tcPr>
          <w:p>
            <w:pPr>
              <w:spacing w:after="0"/>
              <w:rPr>
                <w:sz w:val="1"/>
                <w:szCs w:val="1"/>
                <w:color w:val="auto"/>
              </w:rPr>
            </w:pPr>
          </w:p>
        </w:tc>
      </w:tr>
      <w:tr>
        <w:trPr>
          <w:trHeight w:val="486"/>
        </w:trPr>
        <w:tc>
          <w:tcPr>
            <w:tcW w:w="84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460" w:type="dxa"/>
            <w:vAlign w:val="bottom"/>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460" w:type="dxa"/>
            <w:vAlign w:val="bottom"/>
            <w:shd w:val="clear" w:color="auto" w:fill="D6F3E8"/>
          </w:tcPr>
          <w:p>
            <w:pPr>
              <w:ind w:left="260"/>
              <w:spacing w:after="0" w:line="201" w:lineRule="exact"/>
              <w:rPr>
                <w:sz w:val="20"/>
                <w:szCs w:val="20"/>
                <w:color w:val="auto"/>
              </w:rPr>
            </w:pPr>
            <w:r>
              <w:rPr>
                <w:rFonts w:ascii="Arial" w:cs="Arial" w:eastAsia="Arial" w:hAnsi="Arial"/>
                <w:sz w:val="18"/>
                <w:szCs w:val="18"/>
                <w:color w:val="auto"/>
                <w:w w:val="93"/>
              </w:rPr>
              <w:t>Common stock, par value $0.05; 10,259,458 and 10,253,458 shares issued and outstanding as of September</w:t>
            </w:r>
          </w:p>
        </w:tc>
        <w:tc>
          <w:tcPr>
            <w:tcW w:w="140" w:type="dxa"/>
            <w:vAlign w:val="bottom"/>
            <w:shd w:val="clear" w:color="auto" w:fill="D6F3E8"/>
          </w:tcPr>
          <w:p>
            <w:pPr>
              <w:spacing w:after="0"/>
              <w:rPr>
                <w:sz w:val="17"/>
                <w:szCs w:val="17"/>
                <w:color w:val="auto"/>
              </w:rPr>
            </w:pPr>
          </w:p>
        </w:tc>
        <w:tc>
          <w:tcPr>
            <w:tcW w:w="1140" w:type="dxa"/>
            <w:vAlign w:val="bottom"/>
            <w:shd w:val="clear" w:color="auto" w:fill="D6F3E8"/>
          </w:tcPr>
          <w:p>
            <w:pPr>
              <w:spacing w:after="0"/>
              <w:rPr>
                <w:sz w:val="17"/>
                <w:szCs w:val="17"/>
                <w:color w:val="auto"/>
              </w:rPr>
            </w:pPr>
          </w:p>
        </w:tc>
        <w:tc>
          <w:tcPr>
            <w:tcW w:w="160" w:type="dxa"/>
            <w:vAlign w:val="bottom"/>
            <w:shd w:val="clear" w:color="auto" w:fill="D6F3E8"/>
          </w:tcPr>
          <w:p>
            <w:pPr>
              <w:spacing w:after="0"/>
              <w:rPr>
                <w:sz w:val="17"/>
                <w:szCs w:val="17"/>
                <w:color w:val="auto"/>
              </w:rPr>
            </w:pPr>
          </w:p>
        </w:tc>
        <w:tc>
          <w:tcPr>
            <w:tcW w:w="160" w:type="dxa"/>
            <w:vAlign w:val="bottom"/>
            <w:shd w:val="clear" w:color="auto" w:fill="D6F3E8"/>
          </w:tcPr>
          <w:p>
            <w:pPr>
              <w:spacing w:after="0"/>
              <w:rPr>
                <w:sz w:val="17"/>
                <w:szCs w:val="17"/>
                <w:color w:val="auto"/>
              </w:rPr>
            </w:pPr>
          </w:p>
        </w:tc>
        <w:tc>
          <w:tcPr>
            <w:tcW w:w="200" w:type="dxa"/>
            <w:vAlign w:val="bottom"/>
            <w:shd w:val="clear" w:color="auto" w:fill="D6F3E8"/>
          </w:tcPr>
          <w:p>
            <w:pPr>
              <w:spacing w:after="0"/>
              <w:rPr>
                <w:sz w:val="17"/>
                <w:szCs w:val="17"/>
                <w:color w:val="auto"/>
              </w:rPr>
            </w:pPr>
          </w:p>
        </w:tc>
        <w:tc>
          <w:tcPr>
            <w:tcW w:w="1060" w:type="dxa"/>
            <w:vAlign w:val="bottom"/>
            <w:shd w:val="clear" w:color="auto" w:fill="D6F3E8"/>
          </w:tcPr>
          <w:p>
            <w:pPr>
              <w:spacing w:after="0"/>
              <w:rPr>
                <w:sz w:val="17"/>
                <w:szCs w:val="17"/>
                <w:color w:val="auto"/>
              </w:rPr>
            </w:pPr>
          </w:p>
        </w:tc>
        <w:tc>
          <w:tcPr>
            <w:tcW w:w="10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60" w:type="dxa"/>
            <w:vAlign w:val="bottom"/>
            <w:shd w:val="clear" w:color="auto" w:fill="D6F3E8"/>
          </w:tcPr>
          <w:p>
            <w:pPr>
              <w:ind w:left="420"/>
              <w:spacing w:after="0"/>
              <w:rPr>
                <w:sz w:val="20"/>
                <w:szCs w:val="20"/>
                <w:color w:val="auto"/>
              </w:rPr>
            </w:pPr>
            <w:r>
              <w:rPr>
                <w:rFonts w:ascii="Arial" w:cs="Arial" w:eastAsia="Arial" w:hAnsi="Arial"/>
                <w:sz w:val="18"/>
                <w:szCs w:val="18"/>
                <w:color w:val="auto"/>
              </w:rPr>
              <w:t>30, 2010 and March 28, 2010, respectively</w:t>
            </w:r>
          </w:p>
        </w:tc>
        <w:tc>
          <w:tcPr>
            <w:tcW w:w="140" w:type="dxa"/>
            <w:vAlign w:val="bottom"/>
            <w:shd w:val="clear" w:color="auto" w:fill="D6F3E8"/>
          </w:tcPr>
          <w:p>
            <w:pPr>
              <w:spacing w:after="0"/>
              <w:rPr>
                <w:sz w:val="20"/>
                <w:szCs w:val="20"/>
                <w:color w:val="auto"/>
              </w:rPr>
            </w:pPr>
          </w:p>
        </w:tc>
        <w:tc>
          <w:tcPr>
            <w:tcW w:w="130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513</w:t>
            </w:r>
          </w:p>
        </w:tc>
        <w:tc>
          <w:tcPr>
            <w:tcW w:w="160" w:type="dxa"/>
            <w:vAlign w:val="bottom"/>
            <w:shd w:val="clear" w:color="auto" w:fill="D6F3E8"/>
          </w:tcPr>
          <w:p>
            <w:pPr>
              <w:spacing w:after="0"/>
              <w:rPr>
                <w:sz w:val="20"/>
                <w:szCs w:val="20"/>
                <w:color w:val="auto"/>
              </w:rPr>
            </w:pPr>
          </w:p>
        </w:tc>
        <w:tc>
          <w:tcPr>
            <w:tcW w:w="200" w:type="dxa"/>
            <w:vAlign w:val="bottom"/>
            <w:shd w:val="clear" w:color="auto" w:fill="D6F3E8"/>
          </w:tcPr>
          <w:p>
            <w:pPr>
              <w:spacing w:after="0"/>
              <w:rPr>
                <w:sz w:val="20"/>
                <w:szCs w:val="20"/>
                <w:color w:val="auto"/>
              </w:rPr>
            </w:pPr>
          </w:p>
        </w:tc>
        <w:tc>
          <w:tcPr>
            <w:tcW w:w="11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43"/>
        </w:trPr>
        <w:tc>
          <w:tcPr>
            <w:tcW w:w="846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39,678</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39,027</w:t>
            </w:r>
          </w:p>
        </w:tc>
        <w:tc>
          <w:tcPr>
            <w:tcW w:w="0" w:type="dxa"/>
            <w:vAlign w:val="bottom"/>
          </w:tcPr>
          <w:p>
            <w:pPr>
              <w:spacing w:after="0"/>
              <w:rPr>
                <w:sz w:val="1"/>
                <w:szCs w:val="1"/>
                <w:color w:val="auto"/>
              </w:rPr>
            </w:pPr>
          </w:p>
        </w:tc>
      </w:tr>
      <w:tr>
        <w:trPr>
          <w:trHeight w:val="243"/>
        </w:trPr>
        <w:tc>
          <w:tcPr>
            <w:tcW w:w="8460" w:type="dxa"/>
            <w:vAlign w:val="bottom"/>
            <w:shd w:val="clear" w:color="auto" w:fill="D6F3E8"/>
          </w:tcPr>
          <w:p>
            <w:pPr>
              <w:ind w:left="26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D6F3E8"/>
          </w:tcPr>
          <w:p>
            <w:pPr>
              <w:spacing w:after="0"/>
              <w:rPr>
                <w:sz w:val="21"/>
                <w:szCs w:val="21"/>
                <w:color w:val="auto"/>
              </w:rPr>
            </w:pPr>
          </w:p>
        </w:tc>
        <w:tc>
          <w:tcPr>
            <w:tcW w:w="130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91,964</w:t>
            </w:r>
          </w:p>
        </w:tc>
        <w:tc>
          <w:tcPr>
            <w:tcW w:w="160" w:type="dxa"/>
            <w:vAlign w:val="bottom"/>
            <w:shd w:val="clear" w:color="auto" w:fill="D6F3E8"/>
          </w:tcPr>
          <w:p>
            <w:pPr>
              <w:spacing w:after="0"/>
              <w:rPr>
                <w:sz w:val="21"/>
                <w:szCs w:val="21"/>
                <w:color w:val="auto"/>
              </w:rPr>
            </w:pPr>
          </w:p>
        </w:tc>
        <w:tc>
          <w:tcPr>
            <w:tcW w:w="200" w:type="dxa"/>
            <w:vAlign w:val="bottom"/>
            <w:shd w:val="clear" w:color="auto" w:fill="D6F3E8"/>
          </w:tcPr>
          <w:p>
            <w:pPr>
              <w:spacing w:after="0"/>
              <w:rPr>
                <w:sz w:val="21"/>
                <w:szCs w:val="21"/>
                <w:color w:val="auto"/>
              </w:rPr>
            </w:pPr>
          </w:p>
        </w:tc>
        <w:tc>
          <w:tcPr>
            <w:tcW w:w="11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81,921</w:t>
            </w:r>
          </w:p>
        </w:tc>
        <w:tc>
          <w:tcPr>
            <w:tcW w:w="0" w:type="dxa"/>
            <w:vAlign w:val="bottom"/>
          </w:tcPr>
          <w:p>
            <w:pPr>
              <w:spacing w:after="0"/>
              <w:rPr>
                <w:sz w:val="1"/>
                <w:szCs w:val="1"/>
                <w:color w:val="auto"/>
              </w:rPr>
            </w:pPr>
          </w:p>
        </w:tc>
      </w:tr>
      <w:tr>
        <w:trPr>
          <w:trHeight w:val="243"/>
        </w:trPr>
        <w:tc>
          <w:tcPr>
            <w:tcW w:w="8460" w:type="dxa"/>
            <w:vAlign w:val="bottom"/>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460" w:type="dxa"/>
            <w:vAlign w:val="bottom"/>
            <w:shd w:val="clear" w:color="auto" w:fill="D6F3E8"/>
          </w:tcPr>
          <w:p>
            <w:pPr>
              <w:ind w:left="660"/>
              <w:spacing w:after="0"/>
              <w:rPr>
                <w:sz w:val="20"/>
                <w:szCs w:val="20"/>
                <w:color w:val="auto"/>
              </w:rPr>
            </w:pPr>
            <w:r>
              <w:rPr>
                <w:rFonts w:ascii="Arial" w:cs="Arial" w:eastAsia="Arial" w:hAnsi="Arial"/>
                <w:sz w:val="18"/>
                <w:szCs w:val="18"/>
                <w:color w:val="auto"/>
              </w:rPr>
              <w:t>Total shareholders’ equity</w:t>
            </w:r>
          </w:p>
        </w:tc>
        <w:tc>
          <w:tcPr>
            <w:tcW w:w="140" w:type="dxa"/>
            <w:vAlign w:val="bottom"/>
            <w:shd w:val="clear" w:color="auto" w:fill="D6F3E8"/>
          </w:tcPr>
          <w:p>
            <w:pPr>
              <w:spacing w:after="0"/>
              <w:rPr>
                <w:sz w:val="20"/>
                <w:szCs w:val="20"/>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132,190</w:t>
            </w:r>
          </w:p>
        </w:tc>
        <w:tc>
          <w:tcPr>
            <w:tcW w:w="160" w:type="dxa"/>
            <w:vAlign w:val="bottom"/>
            <w:shd w:val="clear" w:color="auto" w:fill="D6F3E8"/>
          </w:tcPr>
          <w:p>
            <w:pPr>
              <w:spacing w:after="0"/>
              <w:rPr>
                <w:sz w:val="20"/>
                <w:szCs w:val="20"/>
                <w:color w:val="auto"/>
              </w:rPr>
            </w:pPr>
          </w:p>
        </w:tc>
        <w:tc>
          <w:tcPr>
            <w:tcW w:w="160" w:type="dxa"/>
            <w:vAlign w:val="bottom"/>
            <w:shd w:val="clear" w:color="auto" w:fill="D6F3E8"/>
          </w:tcPr>
          <w:p>
            <w:pPr>
              <w:spacing w:after="0"/>
              <w:rPr>
                <w:sz w:val="20"/>
                <w:szCs w:val="20"/>
                <w:color w:val="auto"/>
              </w:rPr>
            </w:pPr>
          </w:p>
        </w:tc>
        <w:tc>
          <w:tcPr>
            <w:tcW w:w="200" w:type="dxa"/>
            <w:vAlign w:val="bottom"/>
            <w:shd w:val="clear" w:color="auto" w:fill="D6F3E8"/>
          </w:tcPr>
          <w:p>
            <w:pPr>
              <w:spacing w:after="0"/>
              <w:rPr>
                <w:sz w:val="20"/>
                <w:szCs w:val="20"/>
                <w:color w:val="auto"/>
              </w:rPr>
            </w:pPr>
          </w:p>
        </w:tc>
        <w:tc>
          <w:tcPr>
            <w:tcW w:w="11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121,498</w:t>
            </w:r>
          </w:p>
        </w:tc>
        <w:tc>
          <w:tcPr>
            <w:tcW w:w="0" w:type="dxa"/>
            <w:vAlign w:val="bottom"/>
          </w:tcPr>
          <w:p>
            <w:pPr>
              <w:spacing w:after="0"/>
              <w:rPr>
                <w:sz w:val="1"/>
                <w:szCs w:val="1"/>
                <w:color w:val="auto"/>
              </w:rPr>
            </w:pPr>
          </w:p>
        </w:tc>
      </w:tr>
      <w:tr>
        <w:trPr>
          <w:trHeight w:val="210"/>
        </w:trPr>
        <w:tc>
          <w:tcPr>
            <w:tcW w:w="84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170,983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160,293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532"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INCOME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6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72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4"/>
                <w:szCs w:val="14"/>
                <w:b w:val="1"/>
                <w:bCs w:val="1"/>
                <w:color w:val="auto"/>
              </w:rPr>
              <w:t>(In thousands, except share and per-share data)</w:t>
            </w:r>
          </w:p>
        </w:tc>
        <w:tc>
          <w:tcPr>
            <w:tcW w:w="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6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860" w:type="dxa"/>
            <w:vAlign w:val="bottom"/>
            <w:gridSpan w:val="2"/>
            <w:shd w:val="clear" w:color="auto" w:fill="D6F3E8"/>
          </w:tcPr>
          <w:p>
            <w:pPr>
              <w:jc w:val="right"/>
              <w:ind w:right="8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70,398</w:t>
            </w:r>
          </w:p>
        </w:tc>
        <w:tc>
          <w:tcPr>
            <w:tcW w:w="340" w:type="dxa"/>
            <w:vAlign w:val="bottom"/>
            <w:shd w:val="clear" w:color="auto" w:fill="D6F3E8"/>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64,976</w:t>
            </w:r>
          </w:p>
        </w:tc>
        <w:tc>
          <w:tcPr>
            <w:tcW w:w="280" w:type="dxa"/>
            <w:vAlign w:val="bottom"/>
            <w:shd w:val="clear" w:color="auto" w:fill="D6F3E8"/>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145,064</w:t>
            </w:r>
          </w:p>
        </w:tc>
        <w:tc>
          <w:tcPr>
            <w:tcW w:w="200" w:type="dxa"/>
            <w:vAlign w:val="bottom"/>
            <w:shd w:val="clear" w:color="auto" w:fill="D6F3E8"/>
          </w:tcPr>
          <w:p>
            <w:pPr>
              <w:spacing w:after="0"/>
              <w:rPr>
                <w:sz w:val="21"/>
                <w:szCs w:val="21"/>
                <w:color w:val="auto"/>
              </w:rPr>
            </w:pPr>
          </w:p>
        </w:tc>
        <w:tc>
          <w:tcPr>
            <w:tcW w:w="540" w:type="dxa"/>
            <w:vAlign w:val="bottom"/>
            <w:gridSpan w:val="2"/>
            <w:shd w:val="clear" w:color="auto" w:fill="D6F3E8"/>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138,562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4660" w:type="dxa"/>
            <w:vAlign w:val="bottom"/>
          </w:tcPr>
          <w:p>
            <w:pPr>
              <w:spacing w:after="0"/>
              <w:rPr>
                <w:sz w:val="20"/>
                <w:szCs w:val="20"/>
                <w:color w:val="auto"/>
              </w:rPr>
            </w:pPr>
            <w:r>
              <w:rPr>
                <w:rFonts w:ascii="Arial" w:cs="Arial" w:eastAsia="Arial" w:hAnsi="Arial"/>
                <w:sz w:val="18"/>
                <w:szCs w:val="18"/>
                <w:color w:val="auto"/>
              </w:rPr>
              <w:t>Cost of sales</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(52,656)</w:t>
            </w:r>
          </w:p>
        </w:tc>
        <w:tc>
          <w:tcPr>
            <w:tcW w:w="34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(47,560)</w:t>
            </w:r>
          </w:p>
        </w:tc>
        <w:tc>
          <w:tcPr>
            <w:tcW w:w="28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(108,874)</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(105,290)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60" w:type="dxa"/>
            <w:vAlign w:val="bottom"/>
            <w:shd w:val="clear" w:color="auto" w:fill="D6F3E8"/>
          </w:tcPr>
          <w:p>
            <w:pPr>
              <w:spacing w:after="0"/>
              <w:rPr>
                <w:sz w:val="20"/>
                <w:szCs w:val="20"/>
                <w:color w:val="auto"/>
              </w:rPr>
            </w:pPr>
            <w:r>
              <w:rPr>
                <w:rFonts w:ascii="Arial" w:cs="Arial" w:eastAsia="Arial" w:hAnsi="Arial"/>
                <w:sz w:val="18"/>
                <w:szCs w:val="18"/>
                <w:color w:val="auto"/>
              </w:rPr>
              <w:t>Gross profit</w:t>
            </w:r>
          </w:p>
        </w:tc>
        <w:tc>
          <w:tcPr>
            <w:tcW w:w="620" w:type="dxa"/>
            <w:vAlign w:val="bottom"/>
            <w:shd w:val="clear" w:color="auto" w:fill="D6F3E8"/>
          </w:tcPr>
          <w:p>
            <w:pPr>
              <w:spacing w:after="0"/>
              <w:rPr>
                <w:sz w:val="21"/>
                <w:szCs w:val="21"/>
                <w:color w:val="auto"/>
              </w:rPr>
            </w:pPr>
          </w:p>
        </w:tc>
        <w:tc>
          <w:tcPr>
            <w:tcW w:w="240" w:type="dxa"/>
            <w:vAlign w:val="bottom"/>
            <w:shd w:val="clear" w:color="auto" w:fill="D6F3E8"/>
          </w:tcPr>
          <w:p>
            <w:pPr>
              <w:spacing w:after="0"/>
              <w:rPr>
                <w:sz w:val="21"/>
                <w:szCs w:val="21"/>
                <w:color w:val="auto"/>
              </w:rPr>
            </w:pPr>
          </w:p>
        </w:tc>
        <w:tc>
          <w:tcPr>
            <w:tcW w:w="138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17,742</w:t>
            </w:r>
          </w:p>
        </w:tc>
        <w:tc>
          <w:tcPr>
            <w:tcW w:w="340" w:type="dxa"/>
            <w:vAlign w:val="bottom"/>
            <w:shd w:val="clear" w:color="auto" w:fill="D6F3E8"/>
          </w:tcPr>
          <w:p>
            <w:pPr>
              <w:spacing w:after="0"/>
              <w:rPr>
                <w:sz w:val="21"/>
                <w:szCs w:val="21"/>
                <w:color w:val="auto"/>
              </w:rPr>
            </w:pPr>
          </w:p>
        </w:tc>
        <w:tc>
          <w:tcPr>
            <w:tcW w:w="12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17,416</w:t>
            </w:r>
          </w:p>
        </w:tc>
        <w:tc>
          <w:tcPr>
            <w:tcW w:w="280" w:type="dxa"/>
            <w:vAlign w:val="bottom"/>
            <w:shd w:val="clear" w:color="auto" w:fill="D6F3E8"/>
          </w:tcPr>
          <w:p>
            <w:pPr>
              <w:spacing w:after="0"/>
              <w:rPr>
                <w:sz w:val="21"/>
                <w:szCs w:val="21"/>
                <w:color w:val="auto"/>
              </w:rPr>
            </w:pPr>
          </w:p>
        </w:tc>
        <w:tc>
          <w:tcPr>
            <w:tcW w:w="11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36,190</w:t>
            </w:r>
          </w:p>
        </w:tc>
        <w:tc>
          <w:tcPr>
            <w:tcW w:w="120" w:type="dxa"/>
            <w:vAlign w:val="bottom"/>
            <w:shd w:val="clear" w:color="auto" w:fill="D6F3E8"/>
          </w:tcPr>
          <w:p>
            <w:pPr>
              <w:spacing w:after="0"/>
              <w:rPr>
                <w:sz w:val="21"/>
                <w:szCs w:val="21"/>
                <w:color w:val="auto"/>
              </w:rPr>
            </w:pPr>
          </w:p>
        </w:tc>
        <w:tc>
          <w:tcPr>
            <w:tcW w:w="420" w:type="dxa"/>
            <w:vAlign w:val="bottom"/>
            <w:shd w:val="clear" w:color="auto" w:fill="D6F3E8"/>
          </w:tcPr>
          <w:p>
            <w:pPr>
              <w:spacing w:after="0"/>
              <w:rPr>
                <w:sz w:val="21"/>
                <w:szCs w:val="21"/>
                <w:color w:val="auto"/>
              </w:rPr>
            </w:pPr>
          </w:p>
        </w:tc>
        <w:tc>
          <w:tcPr>
            <w:tcW w:w="9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33,272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46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(6,814)</w:t>
            </w:r>
          </w:p>
        </w:tc>
        <w:tc>
          <w:tcPr>
            <w:tcW w:w="34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(6,568)</w:t>
            </w:r>
          </w:p>
        </w:tc>
        <w:tc>
          <w:tcPr>
            <w:tcW w:w="28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(13,475)</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(12,923)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60" w:type="dxa"/>
            <w:vAlign w:val="bottom"/>
            <w:shd w:val="clear" w:color="auto" w:fill="D6F3E8"/>
          </w:tcPr>
          <w:p>
            <w:pPr>
              <w:spacing w:after="0"/>
              <w:rPr>
                <w:sz w:val="20"/>
                <w:szCs w:val="20"/>
                <w:color w:val="auto"/>
              </w:rPr>
            </w:pPr>
            <w:r>
              <w:rPr>
                <w:rFonts w:ascii="Arial" w:cs="Arial" w:eastAsia="Arial" w:hAnsi="Arial"/>
                <w:sz w:val="18"/>
                <w:szCs w:val="18"/>
                <w:color w:val="auto"/>
              </w:rPr>
              <w:t>Operating income</w:t>
            </w:r>
          </w:p>
        </w:tc>
        <w:tc>
          <w:tcPr>
            <w:tcW w:w="620" w:type="dxa"/>
            <w:vAlign w:val="bottom"/>
            <w:shd w:val="clear" w:color="auto" w:fill="D6F3E8"/>
          </w:tcPr>
          <w:p>
            <w:pPr>
              <w:spacing w:after="0"/>
              <w:rPr>
                <w:sz w:val="21"/>
                <w:szCs w:val="21"/>
                <w:color w:val="auto"/>
              </w:rPr>
            </w:pPr>
          </w:p>
        </w:tc>
        <w:tc>
          <w:tcPr>
            <w:tcW w:w="240" w:type="dxa"/>
            <w:vAlign w:val="bottom"/>
            <w:shd w:val="clear" w:color="auto" w:fill="D6F3E8"/>
          </w:tcPr>
          <w:p>
            <w:pPr>
              <w:spacing w:after="0"/>
              <w:rPr>
                <w:sz w:val="21"/>
                <w:szCs w:val="21"/>
                <w:color w:val="auto"/>
              </w:rPr>
            </w:pPr>
          </w:p>
        </w:tc>
        <w:tc>
          <w:tcPr>
            <w:tcW w:w="138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10,928</w:t>
            </w:r>
          </w:p>
        </w:tc>
        <w:tc>
          <w:tcPr>
            <w:tcW w:w="340" w:type="dxa"/>
            <w:vAlign w:val="bottom"/>
            <w:shd w:val="clear" w:color="auto" w:fill="D6F3E8"/>
          </w:tcPr>
          <w:p>
            <w:pPr>
              <w:spacing w:after="0"/>
              <w:rPr>
                <w:sz w:val="21"/>
                <w:szCs w:val="21"/>
                <w:color w:val="auto"/>
              </w:rPr>
            </w:pPr>
          </w:p>
        </w:tc>
        <w:tc>
          <w:tcPr>
            <w:tcW w:w="12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10,848</w:t>
            </w:r>
          </w:p>
        </w:tc>
        <w:tc>
          <w:tcPr>
            <w:tcW w:w="280" w:type="dxa"/>
            <w:vAlign w:val="bottom"/>
            <w:shd w:val="clear" w:color="auto" w:fill="D6F3E8"/>
          </w:tcPr>
          <w:p>
            <w:pPr>
              <w:spacing w:after="0"/>
              <w:rPr>
                <w:sz w:val="21"/>
                <w:szCs w:val="21"/>
                <w:color w:val="auto"/>
              </w:rPr>
            </w:pPr>
          </w:p>
        </w:tc>
        <w:tc>
          <w:tcPr>
            <w:tcW w:w="11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22,715</w:t>
            </w:r>
          </w:p>
        </w:tc>
        <w:tc>
          <w:tcPr>
            <w:tcW w:w="120" w:type="dxa"/>
            <w:vAlign w:val="bottom"/>
            <w:shd w:val="clear" w:color="auto" w:fill="D6F3E8"/>
          </w:tcPr>
          <w:p>
            <w:pPr>
              <w:spacing w:after="0"/>
              <w:rPr>
                <w:sz w:val="21"/>
                <w:szCs w:val="21"/>
                <w:color w:val="auto"/>
              </w:rPr>
            </w:pPr>
          </w:p>
        </w:tc>
        <w:tc>
          <w:tcPr>
            <w:tcW w:w="420" w:type="dxa"/>
            <w:vAlign w:val="bottom"/>
            <w:shd w:val="clear" w:color="auto" w:fill="D6F3E8"/>
          </w:tcPr>
          <w:p>
            <w:pPr>
              <w:spacing w:after="0"/>
              <w:rPr>
                <w:sz w:val="21"/>
                <w:szCs w:val="21"/>
                <w:color w:val="auto"/>
              </w:rPr>
            </w:pPr>
          </w:p>
        </w:tc>
        <w:tc>
          <w:tcPr>
            <w:tcW w:w="9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20,349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4660" w:type="dxa"/>
            <w:vAlign w:val="bottom"/>
          </w:tcPr>
          <w:p>
            <w:pPr>
              <w:spacing w:after="0"/>
              <w:rPr>
                <w:sz w:val="20"/>
                <w:szCs w:val="20"/>
                <w:color w:val="auto"/>
              </w:rPr>
            </w:pPr>
            <w:r>
              <w:rPr>
                <w:rFonts w:ascii="Arial" w:cs="Arial" w:eastAsia="Arial" w:hAnsi="Arial"/>
                <w:sz w:val="18"/>
                <w:szCs w:val="18"/>
                <w:color w:val="auto"/>
              </w:rPr>
              <w:t>Investment income</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96</w:t>
            </w:r>
          </w:p>
        </w:tc>
        <w:tc>
          <w:tcPr>
            <w:tcW w:w="34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60" w:type="dxa"/>
            <w:vAlign w:val="bottom"/>
            <w:shd w:val="clear" w:color="auto" w:fill="D6F3E8"/>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620" w:type="dxa"/>
            <w:vAlign w:val="bottom"/>
            <w:shd w:val="clear" w:color="auto" w:fill="D6F3E8"/>
          </w:tcPr>
          <w:p>
            <w:pPr>
              <w:spacing w:after="0"/>
              <w:rPr>
                <w:sz w:val="21"/>
                <w:szCs w:val="21"/>
                <w:color w:val="auto"/>
              </w:rPr>
            </w:pPr>
          </w:p>
        </w:tc>
        <w:tc>
          <w:tcPr>
            <w:tcW w:w="240" w:type="dxa"/>
            <w:vAlign w:val="bottom"/>
            <w:shd w:val="clear" w:color="auto" w:fill="D6F3E8"/>
          </w:tcPr>
          <w:p>
            <w:pPr>
              <w:spacing w:after="0"/>
              <w:rPr>
                <w:sz w:val="21"/>
                <w:szCs w:val="21"/>
                <w:color w:val="auto"/>
              </w:rPr>
            </w:pPr>
          </w:p>
        </w:tc>
        <w:tc>
          <w:tcPr>
            <w:tcW w:w="138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11,024</w:t>
            </w:r>
          </w:p>
        </w:tc>
        <w:tc>
          <w:tcPr>
            <w:tcW w:w="340" w:type="dxa"/>
            <w:vAlign w:val="bottom"/>
            <w:shd w:val="clear" w:color="auto" w:fill="D6F3E8"/>
          </w:tcPr>
          <w:p>
            <w:pPr>
              <w:spacing w:after="0"/>
              <w:rPr>
                <w:sz w:val="21"/>
                <w:szCs w:val="21"/>
                <w:color w:val="auto"/>
              </w:rPr>
            </w:pPr>
          </w:p>
        </w:tc>
        <w:tc>
          <w:tcPr>
            <w:tcW w:w="12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10,928</w:t>
            </w:r>
          </w:p>
        </w:tc>
        <w:tc>
          <w:tcPr>
            <w:tcW w:w="280" w:type="dxa"/>
            <w:vAlign w:val="bottom"/>
            <w:shd w:val="clear" w:color="auto" w:fill="D6F3E8"/>
          </w:tcPr>
          <w:p>
            <w:pPr>
              <w:spacing w:after="0"/>
              <w:rPr>
                <w:sz w:val="21"/>
                <w:szCs w:val="21"/>
                <w:color w:val="auto"/>
              </w:rPr>
            </w:pPr>
          </w:p>
        </w:tc>
        <w:tc>
          <w:tcPr>
            <w:tcW w:w="11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22,916</w:t>
            </w:r>
          </w:p>
        </w:tc>
        <w:tc>
          <w:tcPr>
            <w:tcW w:w="120" w:type="dxa"/>
            <w:vAlign w:val="bottom"/>
            <w:shd w:val="clear" w:color="auto" w:fill="D6F3E8"/>
          </w:tcPr>
          <w:p>
            <w:pPr>
              <w:spacing w:after="0"/>
              <w:rPr>
                <w:sz w:val="21"/>
                <w:szCs w:val="21"/>
                <w:color w:val="auto"/>
              </w:rPr>
            </w:pPr>
          </w:p>
        </w:tc>
        <w:tc>
          <w:tcPr>
            <w:tcW w:w="420" w:type="dxa"/>
            <w:vAlign w:val="bottom"/>
            <w:shd w:val="clear" w:color="auto" w:fill="D6F3E8"/>
          </w:tcPr>
          <w:p>
            <w:pPr>
              <w:spacing w:after="0"/>
              <w:rPr>
                <w:sz w:val="21"/>
                <w:szCs w:val="21"/>
                <w:color w:val="auto"/>
              </w:rPr>
            </w:pPr>
          </w:p>
        </w:tc>
        <w:tc>
          <w:tcPr>
            <w:tcW w:w="9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20,438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46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(4,192)</w:t>
            </w:r>
          </w:p>
        </w:tc>
        <w:tc>
          <w:tcPr>
            <w:tcW w:w="34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(4,263)</w:t>
            </w:r>
          </w:p>
        </w:tc>
        <w:tc>
          <w:tcPr>
            <w:tcW w:w="28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(8,747)</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(7,829)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60" w:type="dxa"/>
            <w:vAlign w:val="bottom"/>
            <w:shd w:val="clear" w:color="auto" w:fill="D6F3E8"/>
          </w:tcPr>
          <w:p>
            <w:pPr>
              <w:spacing w:after="0"/>
              <w:rPr>
                <w:sz w:val="20"/>
                <w:szCs w:val="20"/>
                <w:color w:val="auto"/>
              </w:rPr>
            </w:pPr>
            <w:r>
              <w:rPr>
                <w:rFonts w:ascii="Arial" w:cs="Arial" w:eastAsia="Arial" w:hAnsi="Arial"/>
                <w:sz w:val="18"/>
                <w:szCs w:val="18"/>
                <w:color w:val="auto"/>
              </w:rPr>
              <w:t>Income from continuing operations</w:t>
            </w:r>
          </w:p>
        </w:tc>
        <w:tc>
          <w:tcPr>
            <w:tcW w:w="620" w:type="dxa"/>
            <w:vAlign w:val="bottom"/>
            <w:shd w:val="clear" w:color="auto" w:fill="D6F3E8"/>
          </w:tcPr>
          <w:p>
            <w:pPr>
              <w:spacing w:after="0"/>
              <w:rPr>
                <w:sz w:val="21"/>
                <w:szCs w:val="21"/>
                <w:color w:val="auto"/>
              </w:rPr>
            </w:pPr>
          </w:p>
        </w:tc>
        <w:tc>
          <w:tcPr>
            <w:tcW w:w="240" w:type="dxa"/>
            <w:vAlign w:val="bottom"/>
            <w:shd w:val="clear" w:color="auto" w:fill="D6F3E8"/>
          </w:tcPr>
          <w:p>
            <w:pPr>
              <w:spacing w:after="0"/>
              <w:rPr>
                <w:sz w:val="21"/>
                <w:szCs w:val="21"/>
                <w:color w:val="auto"/>
              </w:rPr>
            </w:pPr>
          </w:p>
        </w:tc>
        <w:tc>
          <w:tcPr>
            <w:tcW w:w="138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6,832</w:t>
            </w:r>
          </w:p>
        </w:tc>
        <w:tc>
          <w:tcPr>
            <w:tcW w:w="340" w:type="dxa"/>
            <w:vAlign w:val="bottom"/>
            <w:shd w:val="clear" w:color="auto" w:fill="D6F3E8"/>
          </w:tcPr>
          <w:p>
            <w:pPr>
              <w:spacing w:after="0"/>
              <w:rPr>
                <w:sz w:val="21"/>
                <w:szCs w:val="21"/>
                <w:color w:val="auto"/>
              </w:rPr>
            </w:pPr>
          </w:p>
        </w:tc>
        <w:tc>
          <w:tcPr>
            <w:tcW w:w="12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6,665</w:t>
            </w:r>
          </w:p>
        </w:tc>
        <w:tc>
          <w:tcPr>
            <w:tcW w:w="280" w:type="dxa"/>
            <w:vAlign w:val="bottom"/>
            <w:shd w:val="clear" w:color="auto" w:fill="D6F3E8"/>
          </w:tcPr>
          <w:p>
            <w:pPr>
              <w:spacing w:after="0"/>
              <w:rPr>
                <w:sz w:val="21"/>
                <w:szCs w:val="21"/>
                <w:color w:val="auto"/>
              </w:rPr>
            </w:pPr>
          </w:p>
        </w:tc>
        <w:tc>
          <w:tcPr>
            <w:tcW w:w="11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14,169</w:t>
            </w:r>
          </w:p>
        </w:tc>
        <w:tc>
          <w:tcPr>
            <w:tcW w:w="120" w:type="dxa"/>
            <w:vAlign w:val="bottom"/>
            <w:shd w:val="clear" w:color="auto" w:fill="D6F3E8"/>
          </w:tcPr>
          <w:p>
            <w:pPr>
              <w:spacing w:after="0"/>
              <w:rPr>
                <w:sz w:val="21"/>
                <w:szCs w:val="21"/>
                <w:color w:val="auto"/>
              </w:rPr>
            </w:pPr>
          </w:p>
        </w:tc>
        <w:tc>
          <w:tcPr>
            <w:tcW w:w="420" w:type="dxa"/>
            <w:vAlign w:val="bottom"/>
            <w:shd w:val="clear" w:color="auto" w:fill="D6F3E8"/>
          </w:tcPr>
          <w:p>
            <w:pPr>
              <w:spacing w:after="0"/>
              <w:rPr>
                <w:sz w:val="21"/>
                <w:szCs w:val="21"/>
                <w:color w:val="auto"/>
              </w:rPr>
            </w:pPr>
          </w:p>
        </w:tc>
        <w:tc>
          <w:tcPr>
            <w:tcW w:w="9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12,609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466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D6F3E8"/>
          </w:tcPr>
          <w:p>
            <w:pPr>
              <w:spacing w:after="0"/>
              <w:rPr>
                <w:sz w:val="20"/>
                <w:szCs w:val="20"/>
                <w:color w:val="auto"/>
              </w:rPr>
            </w:pPr>
            <w:r>
              <w:rPr>
                <w:rFonts w:ascii="Arial" w:cs="Arial" w:eastAsia="Arial" w:hAnsi="Arial"/>
                <w:sz w:val="18"/>
                <w:szCs w:val="18"/>
                <w:color w:val="auto"/>
              </w:rPr>
              <w:t>Net income</w:t>
            </w:r>
          </w:p>
        </w:tc>
        <w:tc>
          <w:tcPr>
            <w:tcW w:w="860" w:type="dxa"/>
            <w:vAlign w:val="bottom"/>
            <w:gridSpan w:val="2"/>
            <w:shd w:val="clear" w:color="auto" w:fill="D6F3E8"/>
          </w:tcPr>
          <w:p>
            <w:pPr>
              <w:jc w:val="right"/>
              <w:ind w:right="8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6,832</w:t>
            </w:r>
          </w:p>
        </w:tc>
        <w:tc>
          <w:tcPr>
            <w:tcW w:w="340" w:type="dxa"/>
            <w:vAlign w:val="bottom"/>
            <w:shd w:val="clear" w:color="auto" w:fill="D6F3E8"/>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6,665</w:t>
            </w:r>
          </w:p>
        </w:tc>
        <w:tc>
          <w:tcPr>
            <w:tcW w:w="280" w:type="dxa"/>
            <w:vAlign w:val="bottom"/>
            <w:shd w:val="clear" w:color="auto" w:fill="D6F3E8"/>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14,169</w:t>
            </w:r>
          </w:p>
        </w:tc>
        <w:tc>
          <w:tcPr>
            <w:tcW w:w="540" w:type="dxa"/>
            <w:vAlign w:val="bottom"/>
            <w:gridSpan w:val="2"/>
            <w:shd w:val="clear" w:color="auto" w:fill="D6F3E8"/>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12,718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D6F3E8"/>
            </w:tcBorders>
          </w:tcPr>
          <w:p>
            <w:pPr>
              <w:spacing w:after="0" w:line="20" w:lineRule="exact"/>
              <w:rPr>
                <w:sz w:val="1"/>
                <w:szCs w:val="1"/>
                <w:color w:val="auto"/>
              </w:rPr>
            </w:pPr>
          </w:p>
        </w:tc>
        <w:tc>
          <w:tcPr>
            <w:tcW w:w="620" w:type="dxa"/>
            <w:vAlign w:val="bottom"/>
            <w:tcBorders>
              <w:top w:val="single" w:sz="8" w:color="D6F3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D6F3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D6F3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6F3E8"/>
            </w:tcBorders>
          </w:tcPr>
          <w:p>
            <w:pPr>
              <w:spacing w:after="0" w:line="20" w:lineRule="exact"/>
              <w:rPr>
                <w:sz w:val="1"/>
                <w:szCs w:val="1"/>
                <w:color w:val="auto"/>
              </w:rPr>
            </w:pPr>
          </w:p>
        </w:tc>
        <w:tc>
          <w:tcPr>
            <w:tcW w:w="120" w:type="dxa"/>
            <w:vAlign w:val="bottom"/>
            <w:tcBorders>
              <w:top w:val="single" w:sz="8" w:color="D6F3E8"/>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660" w:type="dxa"/>
            <w:vAlign w:val="bottom"/>
          </w:tcPr>
          <w:p>
            <w:pPr>
              <w:spacing w:after="0"/>
              <w:rPr>
                <w:sz w:val="20"/>
                <w:szCs w:val="20"/>
                <w:color w:val="auto"/>
              </w:rPr>
            </w:pPr>
            <w:r>
              <w:rPr>
                <w:rFonts w:ascii="Arial" w:cs="Arial" w:eastAsia="Arial" w:hAnsi="Arial"/>
                <w:sz w:val="18"/>
                <w:szCs w:val="18"/>
                <w:color w:val="auto"/>
              </w:rPr>
              <w:t>Weighted average number of shares outstanding-basic</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10,257,175</w:t>
            </w:r>
          </w:p>
        </w:tc>
        <w:tc>
          <w:tcPr>
            <w:tcW w:w="34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10,250,719</w:t>
            </w:r>
          </w:p>
        </w:tc>
        <w:tc>
          <w:tcPr>
            <w:tcW w:w="28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10,255,297</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10,248,577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D6F3E8"/>
          </w:tcPr>
          <w:p>
            <w:pPr>
              <w:spacing w:after="0"/>
              <w:rPr>
                <w:sz w:val="20"/>
                <w:szCs w:val="20"/>
                <w:color w:val="auto"/>
              </w:rPr>
            </w:pPr>
            <w:r>
              <w:rPr>
                <w:rFonts w:ascii="Arial" w:cs="Arial" w:eastAsia="Arial" w:hAnsi="Arial"/>
                <w:sz w:val="18"/>
                <w:szCs w:val="18"/>
                <w:color w:val="auto"/>
              </w:rPr>
              <w:t>Weighted average number of shares outstanding-diluted</w:t>
            </w:r>
          </w:p>
        </w:tc>
        <w:tc>
          <w:tcPr>
            <w:tcW w:w="620" w:type="dxa"/>
            <w:vAlign w:val="bottom"/>
            <w:shd w:val="clear" w:color="auto" w:fill="D6F3E8"/>
          </w:tcPr>
          <w:p>
            <w:pPr>
              <w:spacing w:after="0"/>
              <w:rPr>
                <w:sz w:val="19"/>
                <w:szCs w:val="19"/>
                <w:color w:val="auto"/>
              </w:rPr>
            </w:pPr>
          </w:p>
        </w:tc>
        <w:tc>
          <w:tcPr>
            <w:tcW w:w="240" w:type="dxa"/>
            <w:vAlign w:val="bottom"/>
            <w:shd w:val="clear" w:color="auto" w:fill="D6F3E8"/>
          </w:tcPr>
          <w:p>
            <w:pPr>
              <w:spacing w:after="0"/>
              <w:rPr>
                <w:sz w:val="19"/>
                <w:szCs w:val="19"/>
                <w:color w:val="auto"/>
              </w:rPr>
            </w:pPr>
          </w:p>
        </w:tc>
        <w:tc>
          <w:tcPr>
            <w:tcW w:w="138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10,332,764</w:t>
            </w:r>
          </w:p>
        </w:tc>
        <w:tc>
          <w:tcPr>
            <w:tcW w:w="340" w:type="dxa"/>
            <w:vAlign w:val="bottom"/>
            <w:shd w:val="clear" w:color="auto" w:fill="D6F3E8"/>
          </w:tcPr>
          <w:p>
            <w:pPr>
              <w:spacing w:after="0"/>
              <w:rPr>
                <w:sz w:val="19"/>
                <w:szCs w:val="19"/>
                <w:color w:val="auto"/>
              </w:rPr>
            </w:pPr>
          </w:p>
        </w:tc>
        <w:tc>
          <w:tcPr>
            <w:tcW w:w="12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w w:val="99"/>
              </w:rPr>
              <w:t>10,280,252</w:t>
            </w:r>
          </w:p>
        </w:tc>
        <w:tc>
          <w:tcPr>
            <w:tcW w:w="280" w:type="dxa"/>
            <w:vAlign w:val="bottom"/>
            <w:shd w:val="clear" w:color="auto" w:fill="D6F3E8"/>
          </w:tcPr>
          <w:p>
            <w:pPr>
              <w:spacing w:after="0"/>
              <w:rPr>
                <w:sz w:val="19"/>
                <w:szCs w:val="19"/>
                <w:color w:val="auto"/>
              </w:rPr>
            </w:pPr>
          </w:p>
        </w:tc>
        <w:tc>
          <w:tcPr>
            <w:tcW w:w="11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10,321,355</w:t>
            </w:r>
          </w:p>
        </w:tc>
        <w:tc>
          <w:tcPr>
            <w:tcW w:w="120" w:type="dxa"/>
            <w:vAlign w:val="bottom"/>
            <w:shd w:val="clear" w:color="auto" w:fill="D6F3E8"/>
          </w:tcPr>
          <w:p>
            <w:pPr>
              <w:spacing w:after="0"/>
              <w:rPr>
                <w:sz w:val="19"/>
                <w:szCs w:val="19"/>
                <w:color w:val="auto"/>
              </w:rPr>
            </w:pPr>
          </w:p>
        </w:tc>
        <w:tc>
          <w:tcPr>
            <w:tcW w:w="420" w:type="dxa"/>
            <w:vAlign w:val="bottom"/>
            <w:shd w:val="clear" w:color="auto" w:fill="D6F3E8"/>
          </w:tcPr>
          <w:p>
            <w:pPr>
              <w:spacing w:after="0"/>
              <w:rPr>
                <w:sz w:val="19"/>
                <w:szCs w:val="19"/>
                <w:color w:val="auto"/>
              </w:rPr>
            </w:pPr>
          </w:p>
        </w:tc>
        <w:tc>
          <w:tcPr>
            <w:tcW w:w="9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w w:val="90"/>
              </w:rPr>
              <w:t>10,274,443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D6F3E8"/>
              <w:bottom w:val="single" w:sz="8" w:color="D6F3E8"/>
            </w:tcBorders>
            <w:vMerge w:val="restart"/>
          </w:tcPr>
          <w:p>
            <w:pPr>
              <w:spacing w:after="0"/>
              <w:rPr>
                <w:sz w:val="20"/>
                <w:szCs w:val="20"/>
                <w:color w:val="auto"/>
              </w:rPr>
            </w:pPr>
            <w:r>
              <w:rPr>
                <w:rFonts w:ascii="Arial" w:cs="Arial" w:eastAsia="Arial" w:hAnsi="Arial"/>
                <w:sz w:val="18"/>
                <w:szCs w:val="18"/>
                <w:color w:val="auto"/>
              </w:rPr>
              <w:t>Basic earnings per share</w:t>
            </w:r>
          </w:p>
        </w:tc>
        <w:tc>
          <w:tcPr>
            <w:tcW w:w="620" w:type="dxa"/>
            <w:vAlign w:val="bottom"/>
            <w:tcBorders>
              <w:top w:val="single" w:sz="8" w:color="D6F3E8"/>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D6F3E8"/>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D6F3E8"/>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6F3E8"/>
            </w:tcBorders>
          </w:tcPr>
          <w:p>
            <w:pPr>
              <w:spacing w:after="0" w:line="20" w:lineRule="exact"/>
              <w:rPr>
                <w:sz w:val="1"/>
                <w:szCs w:val="1"/>
                <w:color w:val="auto"/>
              </w:rPr>
            </w:pPr>
          </w:p>
        </w:tc>
        <w:tc>
          <w:tcPr>
            <w:tcW w:w="120" w:type="dxa"/>
            <w:vAlign w:val="bottom"/>
            <w:tcBorders>
              <w:top w:val="single" w:sz="8" w:color="D6F3E8"/>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6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340"/>
              <w:spacing w:after="0"/>
              <w:rPr>
                <w:sz w:val="20"/>
                <w:szCs w:val="20"/>
                <w:color w:val="auto"/>
              </w:rPr>
            </w:pPr>
            <w:r>
              <w:rPr>
                <w:rFonts w:ascii="Arial" w:cs="Arial" w:eastAsia="Arial" w:hAnsi="Arial"/>
                <w:sz w:val="18"/>
                <w:szCs w:val="18"/>
                <w:color w:val="auto"/>
              </w:rPr>
              <w:t>Earnings per share from continuing operations</w:t>
            </w:r>
          </w:p>
        </w:tc>
        <w:tc>
          <w:tcPr>
            <w:tcW w:w="8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0.67</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0.65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1.38</w:t>
            </w: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shd w:val="clear" w:color="auto" w:fill="D6F3E8"/>
          </w:tcPr>
          <w:p>
            <w:pPr>
              <w:ind w:left="340"/>
              <w:spacing w:after="0"/>
              <w:rPr>
                <w:sz w:val="20"/>
                <w:szCs w:val="20"/>
                <w:color w:val="auto"/>
              </w:rPr>
            </w:pPr>
            <w:r>
              <w:rPr>
                <w:rFonts w:ascii="Arial" w:cs="Arial" w:eastAsia="Arial" w:hAnsi="Arial"/>
                <w:sz w:val="18"/>
                <w:szCs w:val="18"/>
                <w:color w:val="auto"/>
              </w:rPr>
              <w:t>Earnings per share from discontinued operations</w:t>
            </w:r>
          </w:p>
        </w:tc>
        <w:tc>
          <w:tcPr>
            <w:tcW w:w="620" w:type="dxa"/>
            <w:vAlign w:val="bottom"/>
            <w:shd w:val="clear" w:color="auto" w:fill="D6F3E8"/>
          </w:tcPr>
          <w:p>
            <w:pPr>
              <w:spacing w:after="0"/>
              <w:rPr>
                <w:sz w:val="21"/>
                <w:szCs w:val="21"/>
                <w:color w:val="auto"/>
              </w:rPr>
            </w:pPr>
          </w:p>
        </w:tc>
        <w:tc>
          <w:tcPr>
            <w:tcW w:w="240" w:type="dxa"/>
            <w:vAlign w:val="bottom"/>
            <w:shd w:val="clear" w:color="auto" w:fill="D6F3E8"/>
          </w:tcPr>
          <w:p>
            <w:pPr>
              <w:spacing w:after="0"/>
              <w:rPr>
                <w:sz w:val="21"/>
                <w:szCs w:val="21"/>
                <w:color w:val="auto"/>
              </w:rPr>
            </w:pPr>
          </w:p>
        </w:tc>
        <w:tc>
          <w:tcPr>
            <w:tcW w:w="138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D6F3E8"/>
          </w:tcPr>
          <w:p>
            <w:pPr>
              <w:spacing w:after="0"/>
              <w:rPr>
                <w:sz w:val="21"/>
                <w:szCs w:val="21"/>
                <w:color w:val="auto"/>
              </w:rPr>
            </w:pPr>
          </w:p>
        </w:tc>
        <w:tc>
          <w:tcPr>
            <w:tcW w:w="12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D6F3E8"/>
          </w:tcPr>
          <w:p>
            <w:pPr>
              <w:spacing w:after="0"/>
              <w:rPr>
                <w:sz w:val="21"/>
                <w:szCs w:val="21"/>
                <w:color w:val="auto"/>
              </w:rPr>
            </w:pPr>
          </w:p>
        </w:tc>
        <w:tc>
          <w:tcPr>
            <w:tcW w:w="11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D6F3E8"/>
          </w:tcPr>
          <w:p>
            <w:pPr>
              <w:spacing w:after="0"/>
              <w:rPr>
                <w:sz w:val="21"/>
                <w:szCs w:val="21"/>
                <w:color w:val="auto"/>
              </w:rPr>
            </w:pPr>
          </w:p>
        </w:tc>
        <w:tc>
          <w:tcPr>
            <w:tcW w:w="420" w:type="dxa"/>
            <w:vAlign w:val="bottom"/>
            <w:shd w:val="clear" w:color="auto" w:fill="D6F3E8"/>
          </w:tcPr>
          <w:p>
            <w:pPr>
              <w:spacing w:after="0"/>
              <w:rPr>
                <w:sz w:val="21"/>
                <w:szCs w:val="21"/>
                <w:color w:val="auto"/>
              </w:rPr>
            </w:pPr>
          </w:p>
        </w:tc>
        <w:tc>
          <w:tcPr>
            <w:tcW w:w="9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660" w:type="dxa"/>
            <w:vAlign w:val="bottom"/>
          </w:tcPr>
          <w:p>
            <w:pPr>
              <w:ind w:left="340"/>
              <w:spacing w:after="0"/>
              <w:rPr>
                <w:sz w:val="20"/>
                <w:szCs w:val="20"/>
                <w:color w:val="auto"/>
              </w:rPr>
            </w:pPr>
            <w:r>
              <w:rPr>
                <w:rFonts w:ascii="Arial" w:cs="Arial" w:eastAsia="Arial" w:hAnsi="Arial"/>
                <w:sz w:val="18"/>
                <w:szCs w:val="18"/>
                <w:color w:val="auto"/>
              </w:rPr>
              <w:t>Basic earnings per share</w:t>
            </w:r>
          </w:p>
        </w:tc>
        <w:tc>
          <w:tcPr>
            <w:tcW w:w="6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36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3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6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60" w:type="dxa"/>
            <w:vAlign w:val="bottom"/>
            <w:shd w:val="clear" w:color="auto" w:fill="D6F3E8"/>
          </w:tcPr>
          <w:p>
            <w:pPr>
              <w:ind w:left="340"/>
              <w:spacing w:after="0"/>
              <w:rPr>
                <w:sz w:val="20"/>
                <w:szCs w:val="20"/>
                <w:color w:val="auto"/>
              </w:rPr>
            </w:pPr>
            <w:r>
              <w:rPr>
                <w:rFonts w:ascii="Arial" w:cs="Arial" w:eastAsia="Arial" w:hAnsi="Arial"/>
                <w:sz w:val="18"/>
                <w:szCs w:val="18"/>
                <w:color w:val="auto"/>
              </w:rPr>
              <w:t>Earnings per share from continuing operations</w:t>
            </w:r>
          </w:p>
        </w:tc>
        <w:tc>
          <w:tcPr>
            <w:tcW w:w="860" w:type="dxa"/>
            <w:vAlign w:val="bottom"/>
            <w:gridSpan w:val="2"/>
            <w:shd w:val="clear" w:color="auto" w:fill="D6F3E8"/>
          </w:tcPr>
          <w:p>
            <w:pPr>
              <w:jc w:val="right"/>
              <w:ind w:right="8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0.66</w:t>
            </w:r>
          </w:p>
        </w:tc>
        <w:tc>
          <w:tcPr>
            <w:tcW w:w="340" w:type="dxa"/>
            <w:vAlign w:val="bottom"/>
            <w:shd w:val="clear" w:color="auto" w:fill="D6F3E8"/>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0.65</w:t>
            </w:r>
          </w:p>
        </w:tc>
        <w:tc>
          <w:tcPr>
            <w:tcW w:w="280" w:type="dxa"/>
            <w:vAlign w:val="bottom"/>
            <w:shd w:val="clear" w:color="auto" w:fill="D6F3E8"/>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1.37</w:t>
            </w:r>
          </w:p>
        </w:tc>
        <w:tc>
          <w:tcPr>
            <w:tcW w:w="540" w:type="dxa"/>
            <w:vAlign w:val="bottom"/>
            <w:gridSpan w:val="2"/>
            <w:shd w:val="clear" w:color="auto" w:fill="D6F3E8"/>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340"/>
              <w:spacing w:after="0"/>
              <w:rPr>
                <w:sz w:val="20"/>
                <w:szCs w:val="20"/>
                <w:color w:val="auto"/>
              </w:rPr>
            </w:pPr>
            <w:r>
              <w:rPr>
                <w:rFonts w:ascii="Arial" w:cs="Arial" w:eastAsia="Arial" w:hAnsi="Arial"/>
                <w:sz w:val="18"/>
                <w:szCs w:val="18"/>
                <w:color w:val="auto"/>
              </w:rPr>
              <w:t>Earnings per share from discontinued operations</w:t>
            </w: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660" w:type="dxa"/>
            <w:vAlign w:val="bottom"/>
            <w:tcBorders>
              <w:top w:val="single" w:sz="8" w:color="D6F3E8"/>
              <w:bottom w:val="single" w:sz="8" w:color="D6F3E8"/>
            </w:tcBorders>
            <w:shd w:val="clear" w:color="auto" w:fill="D6F3E8"/>
          </w:tcPr>
          <w:p>
            <w:pPr>
              <w:ind w:left="340"/>
              <w:spacing w:after="0"/>
              <w:rPr>
                <w:sz w:val="20"/>
                <w:szCs w:val="20"/>
                <w:color w:val="auto"/>
              </w:rPr>
            </w:pPr>
            <w:r>
              <w:rPr>
                <w:rFonts w:ascii="Arial" w:cs="Arial" w:eastAsia="Arial" w:hAnsi="Arial"/>
                <w:sz w:val="18"/>
                <w:szCs w:val="18"/>
                <w:color w:val="auto"/>
              </w:rPr>
              <w:t>Diluted earnings per share</w:t>
            </w:r>
          </w:p>
        </w:tc>
        <w:tc>
          <w:tcPr>
            <w:tcW w:w="620" w:type="dxa"/>
            <w:vAlign w:val="bottom"/>
            <w:tcBorders>
              <w:top w:val="single" w:sz="8" w:color="D6F3E8"/>
              <w:bottom w:val="single" w:sz="8" w:color="D6F3E8"/>
            </w:tcBorders>
            <w:shd w:val="clear" w:color="auto" w:fill="D6F3E8"/>
          </w:tcPr>
          <w:p>
            <w:pPr>
              <w:spacing w:after="0"/>
              <w:rPr>
                <w:sz w:val="18"/>
                <w:szCs w:val="18"/>
                <w:color w:val="auto"/>
              </w:rPr>
            </w:pPr>
          </w:p>
        </w:tc>
        <w:tc>
          <w:tcPr>
            <w:tcW w:w="240" w:type="dxa"/>
            <w:vAlign w:val="bottom"/>
            <w:tcBorders>
              <w:top w:val="single" w:sz="8" w:color="auto"/>
              <w:bottom w:val="single" w:sz="8" w:color="auto"/>
            </w:tcBorders>
            <w:shd w:val="clear" w:color="auto" w:fill="D6F3E8"/>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0.66</w:t>
            </w:r>
          </w:p>
        </w:tc>
        <w:tc>
          <w:tcPr>
            <w:tcW w:w="360" w:type="dxa"/>
            <w:vAlign w:val="bottom"/>
            <w:tcBorders>
              <w:top w:val="single" w:sz="8" w:color="D6F3E8"/>
              <w:bottom w:val="single" w:sz="8" w:color="D6F3E8"/>
            </w:tcBorders>
            <w:shd w:val="clear" w:color="auto" w:fill="D6F3E8"/>
          </w:tcPr>
          <w:p>
            <w:pPr>
              <w:spacing w:after="0"/>
              <w:rPr>
                <w:sz w:val="18"/>
                <w:szCs w:val="18"/>
                <w:color w:val="auto"/>
              </w:rPr>
            </w:pPr>
          </w:p>
        </w:tc>
        <w:tc>
          <w:tcPr>
            <w:tcW w:w="340" w:type="dxa"/>
            <w:vAlign w:val="bottom"/>
            <w:tcBorders>
              <w:top w:val="single" w:sz="8" w:color="auto"/>
              <w:bottom w:val="single" w:sz="8" w:color="auto"/>
            </w:tcBorders>
            <w:shd w:val="clear" w:color="auto" w:fill="D6F3E8"/>
          </w:tcPr>
          <w:p>
            <w:pPr>
              <w:jc w:val="right"/>
              <w:ind w:right="1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0.65</w:t>
            </w:r>
          </w:p>
        </w:tc>
        <w:tc>
          <w:tcPr>
            <w:tcW w:w="320" w:type="dxa"/>
            <w:vAlign w:val="bottom"/>
            <w:tcBorders>
              <w:top w:val="single" w:sz="8" w:color="D6F3E8"/>
              <w:bottom w:val="single" w:sz="8" w:color="D6F3E8"/>
            </w:tcBorders>
            <w:shd w:val="clear" w:color="auto" w:fill="D6F3E8"/>
          </w:tcPr>
          <w:p>
            <w:pPr>
              <w:spacing w:after="0"/>
              <w:rPr>
                <w:sz w:val="18"/>
                <w:szCs w:val="18"/>
                <w:color w:val="auto"/>
              </w:rPr>
            </w:pPr>
          </w:p>
        </w:tc>
        <w:tc>
          <w:tcPr>
            <w:tcW w:w="280" w:type="dxa"/>
            <w:vAlign w:val="bottom"/>
            <w:tcBorders>
              <w:top w:val="single" w:sz="8" w:color="auto"/>
              <w:bottom w:val="single" w:sz="8" w:color="auto"/>
            </w:tcBorders>
            <w:shd w:val="clear" w:color="auto" w:fill="D6F3E8"/>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1.37</w:t>
            </w:r>
          </w:p>
        </w:tc>
        <w:tc>
          <w:tcPr>
            <w:tcW w:w="200" w:type="dxa"/>
            <w:vAlign w:val="bottom"/>
            <w:tcBorders>
              <w:top w:val="single" w:sz="8" w:color="D6F3E8"/>
              <w:bottom w:val="single" w:sz="8" w:color="D6F3E8"/>
            </w:tcBorders>
            <w:shd w:val="clear" w:color="auto" w:fill="D6F3E8"/>
          </w:tcPr>
          <w:p>
            <w:pPr>
              <w:spacing w:after="0"/>
              <w:rPr>
                <w:sz w:val="18"/>
                <w:szCs w:val="18"/>
                <w:color w:val="auto"/>
              </w:rPr>
            </w:pPr>
          </w:p>
        </w:tc>
        <w:tc>
          <w:tcPr>
            <w:tcW w:w="120" w:type="dxa"/>
            <w:vAlign w:val="bottom"/>
            <w:tcBorders>
              <w:top w:val="single" w:sz="8" w:color="D6F3E8"/>
              <w:bottom w:val="single" w:sz="8" w:color="D6F3E8"/>
            </w:tcBorders>
            <w:shd w:val="clear" w:color="auto" w:fill="D6F3E8"/>
          </w:tcPr>
          <w:p>
            <w:pPr>
              <w:spacing w:after="0"/>
              <w:rPr>
                <w:sz w:val="18"/>
                <w:szCs w:val="18"/>
                <w:color w:val="auto"/>
              </w:rPr>
            </w:pPr>
          </w:p>
        </w:tc>
        <w:tc>
          <w:tcPr>
            <w:tcW w:w="420" w:type="dxa"/>
            <w:vAlign w:val="bottom"/>
            <w:tcBorders>
              <w:top w:val="single" w:sz="8" w:color="auto"/>
              <w:bottom w:val="single" w:sz="8" w:color="auto"/>
            </w:tcBorders>
            <w:shd w:val="clear" w:color="auto" w:fill="D6F3E8"/>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top w:val="single" w:sz="8" w:color="D6F3E8"/>
              <w:bottom w:val="single" w:sz="8" w:color="D6F3E8"/>
            </w:tcBorders>
            <w:shd w:val="clear" w:color="auto" w:fill="D6F3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660" w:type="dxa"/>
            <w:vAlign w:val="bottom"/>
          </w:tcPr>
          <w:p>
            <w:pPr>
              <w:spacing w:after="0"/>
              <w:rPr>
                <w:sz w:val="20"/>
                <w:szCs w:val="20"/>
                <w:color w:val="auto"/>
              </w:rPr>
            </w:pPr>
            <w:r>
              <w:rPr>
                <w:rFonts w:ascii="Arial" w:cs="Arial" w:eastAsia="Arial" w:hAnsi="Arial"/>
                <w:sz w:val="18"/>
                <w:szCs w:val="18"/>
                <w:color w:val="auto"/>
              </w:rPr>
              <w:t>Cash dividends declared per common share</w:t>
            </w:r>
          </w:p>
        </w:tc>
        <w:tc>
          <w:tcPr>
            <w:tcW w:w="8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0.40</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0.38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0.40</w:t>
            </w: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color w:val="auto"/>
              </w:rPr>
              <w:t>See accompanying notes to financial statements.</w:t>
            </w: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6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4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ind w:right="692"/>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66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CASH FLOWS (UNAUDITED)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9"/>
              </w:rPr>
              <w:t>Six Months Ended September 30,</w:t>
            </w:r>
          </w:p>
        </w:tc>
        <w:tc>
          <w:tcPr>
            <w:tcW w:w="0" w:type="dxa"/>
            <w:vAlign w:val="bottom"/>
          </w:tcPr>
          <w:p>
            <w:pPr>
              <w:spacing w:after="0"/>
              <w:rPr>
                <w:sz w:val="1"/>
                <w:szCs w:val="1"/>
                <w:color w:val="auto"/>
              </w:rPr>
            </w:pPr>
          </w:p>
        </w:tc>
      </w:tr>
      <w:tr>
        <w:trPr>
          <w:trHeight w:val="223"/>
        </w:trPr>
        <w:tc>
          <w:tcPr>
            <w:tcW w:w="846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460" w:type="dxa"/>
            <w:vAlign w:val="bottom"/>
            <w:shd w:val="clear" w:color="auto" w:fill="D6F3E8"/>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D6F3E8"/>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14,169</w:t>
            </w:r>
          </w:p>
        </w:tc>
        <w:tc>
          <w:tcPr>
            <w:tcW w:w="300" w:type="dxa"/>
            <w:vAlign w:val="bottom"/>
            <w:shd w:val="clear" w:color="auto" w:fill="D6F3E8"/>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12,718</w:t>
            </w:r>
          </w:p>
        </w:tc>
        <w:tc>
          <w:tcPr>
            <w:tcW w:w="8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180"/>
              <w:spacing w:after="0"/>
              <w:rPr>
                <w:sz w:val="20"/>
                <w:szCs w:val="20"/>
                <w:color w:val="auto"/>
              </w:rPr>
            </w:pPr>
            <w:r>
              <w:rPr>
                <w:rFonts w:ascii="Arial" w:cs="Arial" w:eastAsia="Arial" w:hAnsi="Arial"/>
                <w:sz w:val="18"/>
                <w:szCs w:val="18"/>
                <w:color w:val="auto"/>
              </w:rPr>
              <w:t>Reconciliation to cash flows: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3,425</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3,140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shd w:val="clear" w:color="auto" w:fill="D6F3E8"/>
          </w:tcPr>
          <w:p>
            <w:pPr>
              <w:ind w:left="340"/>
              <w:spacing w:after="0"/>
              <w:rPr>
                <w:sz w:val="20"/>
                <w:szCs w:val="20"/>
                <w:color w:val="auto"/>
              </w:rPr>
            </w:pPr>
            <w:r>
              <w:rPr>
                <w:rFonts w:ascii="Arial" w:cs="Arial" w:eastAsia="Arial" w:hAnsi="Arial"/>
                <w:sz w:val="18"/>
                <w:szCs w:val="18"/>
                <w:color w:val="auto"/>
              </w:rPr>
              <w:t>Stock compensation expense</w:t>
            </w:r>
          </w:p>
        </w:tc>
        <w:tc>
          <w:tcPr>
            <w:tcW w:w="240" w:type="dxa"/>
            <w:vAlign w:val="bottom"/>
            <w:shd w:val="clear" w:color="auto" w:fill="D6F3E8"/>
          </w:tcPr>
          <w:p>
            <w:pPr>
              <w:spacing w:after="0"/>
              <w:rPr>
                <w:sz w:val="21"/>
                <w:szCs w:val="21"/>
                <w:color w:val="auto"/>
              </w:rPr>
            </w:pPr>
          </w:p>
        </w:tc>
        <w:tc>
          <w:tcPr>
            <w:tcW w:w="136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654</w:t>
            </w:r>
          </w:p>
        </w:tc>
        <w:tc>
          <w:tcPr>
            <w:tcW w:w="300" w:type="dxa"/>
            <w:vAlign w:val="bottom"/>
            <w:shd w:val="clear" w:color="auto" w:fill="D6F3E8"/>
          </w:tcPr>
          <w:p>
            <w:pPr>
              <w:spacing w:after="0"/>
              <w:rPr>
                <w:sz w:val="21"/>
                <w:szCs w:val="21"/>
                <w:color w:val="auto"/>
              </w:rPr>
            </w:pPr>
          </w:p>
        </w:tc>
        <w:tc>
          <w:tcPr>
            <w:tcW w:w="98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329</w:t>
            </w:r>
          </w:p>
        </w:tc>
        <w:tc>
          <w:tcPr>
            <w:tcW w:w="8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340"/>
              <w:spacing w:after="0"/>
              <w:rPr>
                <w:sz w:val="20"/>
                <w:szCs w:val="20"/>
                <w:color w:val="auto"/>
              </w:rPr>
            </w:pPr>
            <w:r>
              <w:rPr>
                <w:rFonts w:ascii="Arial" w:cs="Arial" w:eastAsia="Arial" w:hAnsi="Arial"/>
                <w:sz w:val="18"/>
                <w:szCs w:val="18"/>
                <w:color w:val="auto"/>
              </w:rPr>
              <w:t>Gain from property disposals</w:t>
            </w:r>
          </w:p>
        </w:tc>
        <w:tc>
          <w:tcPr>
            <w:tcW w:w="24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21"/>
                <w:szCs w:val="21"/>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8460" w:type="dxa"/>
            <w:vAlign w:val="bottom"/>
          </w:tcPr>
          <w:p>
            <w:pPr>
              <w:ind w:left="340"/>
              <w:spacing w:after="0"/>
              <w:rPr>
                <w:sz w:val="20"/>
                <w:szCs w:val="20"/>
                <w:color w:val="auto"/>
              </w:rPr>
            </w:pPr>
            <w:r>
              <w:rPr>
                <w:rFonts w:ascii="Arial" w:cs="Arial" w:eastAsia="Arial" w:hAnsi="Arial"/>
                <w:sz w:val="18"/>
                <w:szCs w:val="18"/>
                <w:color w:val="auto"/>
              </w:rPr>
              <w:t>Changes in operating accounts (using) providing cash:</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shd w:val="clear" w:color="auto" w:fill="D6F3E8"/>
          </w:tcPr>
          <w:p>
            <w:pPr>
              <w:ind w:left="500"/>
              <w:spacing w:after="0"/>
              <w:rPr>
                <w:sz w:val="20"/>
                <w:szCs w:val="20"/>
                <w:color w:val="auto"/>
              </w:rPr>
            </w:pPr>
            <w:r>
              <w:rPr>
                <w:rFonts w:ascii="Arial" w:cs="Arial" w:eastAsia="Arial" w:hAnsi="Arial"/>
                <w:sz w:val="18"/>
                <w:szCs w:val="18"/>
                <w:color w:val="auto"/>
              </w:rPr>
              <w:t>Trade receivables</w:t>
            </w:r>
          </w:p>
        </w:tc>
        <w:tc>
          <w:tcPr>
            <w:tcW w:w="240" w:type="dxa"/>
            <w:vAlign w:val="bottom"/>
            <w:shd w:val="clear" w:color="auto" w:fill="D6F3E8"/>
          </w:tcPr>
          <w:p>
            <w:pPr>
              <w:spacing w:after="0"/>
              <w:rPr>
                <w:sz w:val="21"/>
                <w:szCs w:val="21"/>
                <w:color w:val="auto"/>
              </w:rPr>
            </w:pPr>
          </w:p>
        </w:tc>
        <w:tc>
          <w:tcPr>
            <w:tcW w:w="136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(2,479)</w:t>
            </w:r>
          </w:p>
        </w:tc>
        <w:tc>
          <w:tcPr>
            <w:tcW w:w="300" w:type="dxa"/>
            <w:vAlign w:val="bottom"/>
            <w:shd w:val="clear" w:color="auto" w:fill="D6F3E8"/>
          </w:tcPr>
          <w:p>
            <w:pPr>
              <w:spacing w:after="0"/>
              <w:rPr>
                <w:sz w:val="21"/>
                <w:szCs w:val="21"/>
                <w:color w:val="auto"/>
              </w:rPr>
            </w:pPr>
          </w:p>
        </w:tc>
        <w:tc>
          <w:tcPr>
            <w:tcW w:w="98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4,181</w:t>
            </w:r>
          </w:p>
        </w:tc>
        <w:tc>
          <w:tcPr>
            <w:tcW w:w="8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(3,444)</w:t>
            </w:r>
          </w:p>
        </w:tc>
        <w:tc>
          <w:tcPr>
            <w:tcW w:w="30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6,270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shd w:val="clear" w:color="auto" w:fill="D6F3E8"/>
          </w:tcPr>
          <w:p>
            <w:pPr>
              <w:ind w:left="50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D6F3E8"/>
          </w:tcPr>
          <w:p>
            <w:pPr>
              <w:spacing w:after="0"/>
              <w:rPr>
                <w:sz w:val="21"/>
                <w:szCs w:val="21"/>
                <w:color w:val="auto"/>
              </w:rPr>
            </w:pPr>
          </w:p>
        </w:tc>
        <w:tc>
          <w:tcPr>
            <w:tcW w:w="136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844</w:t>
            </w:r>
          </w:p>
        </w:tc>
        <w:tc>
          <w:tcPr>
            <w:tcW w:w="300" w:type="dxa"/>
            <w:vAlign w:val="bottom"/>
            <w:shd w:val="clear" w:color="auto" w:fill="D6F3E8"/>
          </w:tcPr>
          <w:p>
            <w:pPr>
              <w:spacing w:after="0"/>
              <w:rPr>
                <w:sz w:val="21"/>
                <w:szCs w:val="21"/>
                <w:color w:val="auto"/>
              </w:rPr>
            </w:pPr>
          </w:p>
        </w:tc>
        <w:tc>
          <w:tcPr>
            <w:tcW w:w="1060" w:type="dxa"/>
            <w:vAlign w:val="bottom"/>
            <w:gridSpan w:val="3"/>
            <w:shd w:val="clear" w:color="auto" w:fill="D6F3E8"/>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43"/>
        </w:trPr>
        <w:tc>
          <w:tcPr>
            <w:tcW w:w="8460" w:type="dxa"/>
            <w:vAlign w:val="bottom"/>
          </w:tcPr>
          <w:p>
            <w:pPr>
              <w:ind w:left="50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(3,311)</w:t>
            </w:r>
          </w:p>
        </w:tc>
        <w:tc>
          <w:tcPr>
            <w:tcW w:w="300" w:type="dxa"/>
            <w:vAlign w:val="bottom"/>
          </w:tcPr>
          <w:p>
            <w:pPr>
              <w:spacing w:after="0"/>
              <w:rPr>
                <w:sz w:val="21"/>
                <w:szCs w:val="21"/>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(3,198)</w:t>
            </w:r>
          </w:p>
        </w:tc>
        <w:tc>
          <w:tcPr>
            <w:tcW w:w="0" w:type="dxa"/>
            <w:vAlign w:val="bottom"/>
          </w:tcPr>
          <w:p>
            <w:pPr>
              <w:spacing w:after="0"/>
              <w:rPr>
                <w:sz w:val="1"/>
                <w:szCs w:val="1"/>
                <w:color w:val="auto"/>
              </w:rPr>
            </w:pPr>
          </w:p>
        </w:tc>
      </w:tr>
      <w:tr>
        <w:trPr>
          <w:trHeight w:val="243"/>
        </w:trPr>
        <w:tc>
          <w:tcPr>
            <w:tcW w:w="8460" w:type="dxa"/>
            <w:vAlign w:val="bottom"/>
            <w:shd w:val="clear" w:color="auto" w:fill="D6F3E8"/>
          </w:tcPr>
          <w:p>
            <w:pPr>
              <w:ind w:left="500"/>
              <w:spacing w:after="0"/>
              <w:rPr>
                <w:sz w:val="20"/>
                <w:szCs w:val="20"/>
                <w:color w:val="auto"/>
              </w:rPr>
            </w:pPr>
            <w:r>
              <w:rPr>
                <w:rFonts w:ascii="Arial" w:cs="Arial" w:eastAsia="Arial" w:hAnsi="Arial"/>
                <w:sz w:val="18"/>
                <w:szCs w:val="18"/>
                <w:color w:val="auto"/>
              </w:rPr>
              <w:t>Income taxes</w:t>
            </w:r>
          </w:p>
        </w:tc>
        <w:tc>
          <w:tcPr>
            <w:tcW w:w="240" w:type="dxa"/>
            <w:vAlign w:val="bottom"/>
            <w:shd w:val="clear" w:color="auto" w:fill="D6F3E8"/>
          </w:tcPr>
          <w:p>
            <w:pPr>
              <w:spacing w:after="0"/>
              <w:rPr>
                <w:sz w:val="21"/>
                <w:szCs w:val="21"/>
                <w:color w:val="auto"/>
              </w:rPr>
            </w:pP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6,195</w:t>
            </w:r>
          </w:p>
        </w:tc>
        <w:tc>
          <w:tcPr>
            <w:tcW w:w="320" w:type="dxa"/>
            <w:vAlign w:val="bottom"/>
            <w:shd w:val="clear" w:color="auto" w:fill="D6F3E8"/>
          </w:tcPr>
          <w:p>
            <w:pPr>
              <w:spacing w:after="0"/>
              <w:rPr>
                <w:sz w:val="21"/>
                <w:szCs w:val="21"/>
                <w:color w:val="auto"/>
              </w:rPr>
            </w:pPr>
          </w:p>
        </w:tc>
        <w:tc>
          <w:tcPr>
            <w:tcW w:w="300" w:type="dxa"/>
            <w:vAlign w:val="bottom"/>
            <w:shd w:val="clear" w:color="auto" w:fill="D6F3E8"/>
          </w:tcPr>
          <w:p>
            <w:pPr>
              <w:spacing w:after="0"/>
              <w:rPr>
                <w:sz w:val="21"/>
                <w:szCs w:val="21"/>
                <w:color w:val="auto"/>
              </w:rPr>
            </w:pPr>
          </w:p>
        </w:tc>
        <w:tc>
          <w:tcPr>
            <w:tcW w:w="98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4,713</w:t>
            </w:r>
          </w:p>
        </w:tc>
        <w:tc>
          <w:tcPr>
            <w:tcW w:w="8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50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1,229</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37"/>
        </w:trPr>
        <w:tc>
          <w:tcPr>
            <w:tcW w:w="8460" w:type="dxa"/>
            <w:vAlign w:val="bottom"/>
            <w:tcBorders>
              <w:top w:val="single" w:sz="8" w:color="D6F3E8"/>
            </w:tcBorders>
            <w:shd w:val="clear" w:color="auto" w:fill="D6F3E8"/>
          </w:tcPr>
          <w:p>
            <w:pPr>
              <w:ind w:left="66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top w:val="single" w:sz="8" w:color="auto"/>
            </w:tcBorders>
            <w:shd w:val="clear" w:color="auto" w:fill="D6F3E8"/>
          </w:tcPr>
          <w:p>
            <w:pPr>
              <w:spacing w:after="0"/>
              <w:rPr>
                <w:sz w:val="20"/>
                <w:szCs w:val="20"/>
                <w:color w:val="auto"/>
              </w:rPr>
            </w:pPr>
          </w:p>
        </w:tc>
        <w:tc>
          <w:tcPr>
            <w:tcW w:w="10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17,256</w:t>
            </w:r>
          </w:p>
        </w:tc>
        <w:tc>
          <w:tcPr>
            <w:tcW w:w="320" w:type="dxa"/>
            <w:vAlign w:val="bottom"/>
            <w:tcBorders>
              <w:top w:val="single" w:sz="8" w:color="D6F3E8"/>
            </w:tcBorders>
            <w:shd w:val="clear" w:color="auto" w:fill="D6F3E8"/>
          </w:tcPr>
          <w:p>
            <w:pPr>
              <w:spacing w:after="0"/>
              <w:rPr>
                <w:sz w:val="20"/>
                <w:szCs w:val="20"/>
                <w:color w:val="auto"/>
              </w:rPr>
            </w:pPr>
          </w:p>
        </w:tc>
        <w:tc>
          <w:tcPr>
            <w:tcW w:w="300" w:type="dxa"/>
            <w:vAlign w:val="bottom"/>
            <w:tcBorders>
              <w:top w:val="single" w:sz="8" w:color="auto"/>
            </w:tcBorders>
            <w:shd w:val="clear" w:color="auto" w:fill="D6F3E8"/>
          </w:tcPr>
          <w:p>
            <w:pPr>
              <w:spacing w:after="0"/>
              <w:rPr>
                <w:sz w:val="20"/>
                <w:szCs w:val="20"/>
                <w:color w:val="auto"/>
              </w:rPr>
            </w:pPr>
          </w:p>
        </w:tc>
        <w:tc>
          <w:tcPr>
            <w:tcW w:w="9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27,419</w:t>
            </w:r>
          </w:p>
        </w:tc>
        <w:tc>
          <w:tcPr>
            <w:tcW w:w="20" w:type="dxa"/>
            <w:vAlign w:val="bottom"/>
            <w:tcBorders>
              <w:top w:val="single" w:sz="8" w:color="D6F3E8"/>
            </w:tcBorders>
            <w:shd w:val="clear" w:color="auto" w:fill="D6F3E8"/>
          </w:tcPr>
          <w:p>
            <w:pPr>
              <w:spacing w:after="0"/>
              <w:rPr>
                <w:sz w:val="20"/>
                <w:szCs w:val="20"/>
                <w:color w:val="auto"/>
              </w:rPr>
            </w:pPr>
          </w:p>
        </w:tc>
        <w:tc>
          <w:tcPr>
            <w:tcW w:w="80" w:type="dxa"/>
            <w:vAlign w:val="bottom"/>
            <w:tcBorders>
              <w:top w:val="single" w:sz="8" w:color="D6F3E8"/>
            </w:tcBorders>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84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180"/>
              <w:spacing w:after="0"/>
              <w:rPr>
                <w:sz w:val="20"/>
                <w:szCs w:val="20"/>
                <w:color w:val="auto"/>
              </w:rPr>
            </w:pPr>
            <w:r>
              <w:rPr>
                <w:rFonts w:ascii="Arial" w:cs="Arial" w:eastAsia="Arial" w:hAnsi="Arial"/>
                <w:sz w:val="18"/>
                <w:szCs w:val="18"/>
                <w:color w:val="auto"/>
              </w:rPr>
              <w:t>Additions to property, plant, and equipment</w:t>
            </w:r>
          </w:p>
        </w:tc>
        <w:tc>
          <w:tcPr>
            <w:tcW w:w="24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(5,138)</w:t>
            </w:r>
          </w:p>
        </w:tc>
        <w:tc>
          <w:tcPr>
            <w:tcW w:w="300" w:type="dxa"/>
            <w:vAlign w:val="bottom"/>
          </w:tcPr>
          <w:p>
            <w:pPr>
              <w:spacing w:after="0"/>
              <w:rPr>
                <w:sz w:val="21"/>
                <w:szCs w:val="21"/>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(4,461)</w:t>
            </w:r>
          </w:p>
        </w:tc>
        <w:tc>
          <w:tcPr>
            <w:tcW w:w="0" w:type="dxa"/>
            <w:vAlign w:val="bottom"/>
          </w:tcPr>
          <w:p>
            <w:pPr>
              <w:spacing w:after="0"/>
              <w:rPr>
                <w:sz w:val="1"/>
                <w:szCs w:val="1"/>
                <w:color w:val="auto"/>
              </w:rPr>
            </w:pPr>
          </w:p>
        </w:tc>
      </w:tr>
      <w:tr>
        <w:trPr>
          <w:trHeight w:val="243"/>
        </w:trPr>
        <w:tc>
          <w:tcPr>
            <w:tcW w:w="8460" w:type="dxa"/>
            <w:vAlign w:val="bottom"/>
            <w:shd w:val="clear" w:color="auto" w:fill="D6F3E8"/>
          </w:tcPr>
          <w:p>
            <w:pPr>
              <w:ind w:left="180"/>
              <w:spacing w:after="0"/>
              <w:rPr>
                <w:sz w:val="20"/>
                <w:szCs w:val="20"/>
                <w:color w:val="auto"/>
              </w:rPr>
            </w:pPr>
            <w:r>
              <w:rPr>
                <w:rFonts w:ascii="Arial" w:cs="Arial" w:eastAsia="Arial" w:hAnsi="Arial"/>
                <w:sz w:val="18"/>
                <w:szCs w:val="18"/>
                <w:color w:val="auto"/>
              </w:rPr>
              <w:t>Purchases of investments</w:t>
            </w:r>
          </w:p>
        </w:tc>
        <w:tc>
          <w:tcPr>
            <w:tcW w:w="240" w:type="dxa"/>
            <w:vAlign w:val="bottom"/>
            <w:shd w:val="clear" w:color="auto" w:fill="D6F3E8"/>
          </w:tcPr>
          <w:p>
            <w:pPr>
              <w:spacing w:after="0"/>
              <w:rPr>
                <w:sz w:val="21"/>
                <w:szCs w:val="21"/>
                <w:color w:val="auto"/>
              </w:rPr>
            </w:pPr>
          </w:p>
        </w:tc>
        <w:tc>
          <w:tcPr>
            <w:tcW w:w="136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(4,410)</w:t>
            </w:r>
          </w:p>
        </w:tc>
        <w:tc>
          <w:tcPr>
            <w:tcW w:w="300" w:type="dxa"/>
            <w:vAlign w:val="bottom"/>
            <w:shd w:val="clear" w:color="auto" w:fill="D6F3E8"/>
          </w:tcPr>
          <w:p>
            <w:pPr>
              <w:spacing w:after="0"/>
              <w:rPr>
                <w:sz w:val="21"/>
                <w:szCs w:val="21"/>
                <w:color w:val="auto"/>
              </w:rPr>
            </w:pPr>
          </w:p>
        </w:tc>
        <w:tc>
          <w:tcPr>
            <w:tcW w:w="1060" w:type="dxa"/>
            <w:vAlign w:val="bottom"/>
            <w:gridSpan w:val="3"/>
            <w:shd w:val="clear" w:color="auto" w:fill="D6F3E8"/>
          </w:tcPr>
          <w:p>
            <w:pPr>
              <w:jc w:val="right"/>
              <w:ind w:right="40"/>
              <w:spacing w:after="0"/>
              <w:rPr>
                <w:sz w:val="20"/>
                <w:szCs w:val="20"/>
                <w:color w:val="auto"/>
              </w:rPr>
            </w:pPr>
            <w:r>
              <w:rPr>
                <w:rFonts w:ascii="Arial" w:cs="Arial" w:eastAsia="Arial" w:hAnsi="Arial"/>
                <w:sz w:val="18"/>
                <w:szCs w:val="18"/>
                <w:color w:val="auto"/>
              </w:rPr>
              <w:t>(30,980)</w:t>
            </w:r>
          </w:p>
        </w:tc>
        <w:tc>
          <w:tcPr>
            <w:tcW w:w="0" w:type="dxa"/>
            <w:vAlign w:val="bottom"/>
          </w:tcPr>
          <w:p>
            <w:pPr>
              <w:spacing w:after="0"/>
              <w:rPr>
                <w:sz w:val="1"/>
                <w:szCs w:val="1"/>
                <w:color w:val="auto"/>
              </w:rPr>
            </w:pPr>
          </w:p>
        </w:tc>
      </w:tr>
      <w:tr>
        <w:trPr>
          <w:trHeight w:val="243"/>
        </w:trPr>
        <w:tc>
          <w:tcPr>
            <w:tcW w:w="8460" w:type="dxa"/>
            <w:vAlign w:val="bottom"/>
          </w:tcPr>
          <w:p>
            <w:pPr>
              <w:ind w:left="180"/>
              <w:spacing w:after="0"/>
              <w:rPr>
                <w:sz w:val="20"/>
                <w:szCs w:val="20"/>
                <w:color w:val="auto"/>
              </w:rPr>
            </w:pPr>
            <w:r>
              <w:rPr>
                <w:rFonts w:ascii="Arial" w:cs="Arial" w:eastAsia="Arial" w:hAnsi="Arial"/>
                <w:sz w:val="18"/>
                <w:szCs w:val="18"/>
                <w:color w:val="auto"/>
              </w:rPr>
              <w:t>Sale and maturities of investments</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11,445</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980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shd w:val="clear" w:color="auto" w:fill="D6F3E8"/>
          </w:tcPr>
          <w:p>
            <w:pPr>
              <w:ind w:left="180"/>
              <w:spacing w:after="0"/>
              <w:rPr>
                <w:sz w:val="20"/>
                <w:szCs w:val="20"/>
                <w:color w:val="auto"/>
              </w:rPr>
            </w:pPr>
            <w:r>
              <w:rPr>
                <w:rFonts w:ascii="Arial" w:cs="Arial" w:eastAsia="Arial" w:hAnsi="Arial"/>
                <w:sz w:val="18"/>
                <w:szCs w:val="18"/>
                <w:color w:val="auto"/>
              </w:rPr>
              <w:t>Proceeds from property disposals</w:t>
            </w:r>
          </w:p>
        </w:tc>
        <w:tc>
          <w:tcPr>
            <w:tcW w:w="240" w:type="dxa"/>
            <w:vAlign w:val="bottom"/>
            <w:tcBorders>
              <w:bottom w:val="single" w:sz="8" w:color="auto"/>
            </w:tcBorders>
            <w:shd w:val="clear" w:color="auto" w:fill="D6F3E8"/>
          </w:tcPr>
          <w:p>
            <w:pPr>
              <w:spacing w:after="0"/>
              <w:rPr>
                <w:sz w:val="21"/>
                <w:szCs w:val="21"/>
                <w:color w:val="auto"/>
              </w:rPr>
            </w:pPr>
          </w:p>
        </w:tc>
        <w:tc>
          <w:tcPr>
            <w:tcW w:w="10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53</w:t>
            </w:r>
          </w:p>
        </w:tc>
        <w:tc>
          <w:tcPr>
            <w:tcW w:w="320" w:type="dxa"/>
            <w:vAlign w:val="bottom"/>
            <w:shd w:val="clear" w:color="auto" w:fill="D6F3E8"/>
          </w:tcPr>
          <w:p>
            <w:pPr>
              <w:spacing w:after="0"/>
              <w:rPr>
                <w:sz w:val="21"/>
                <w:szCs w:val="21"/>
                <w:color w:val="auto"/>
              </w:rPr>
            </w:pPr>
          </w:p>
        </w:tc>
        <w:tc>
          <w:tcPr>
            <w:tcW w:w="300" w:type="dxa"/>
            <w:vAlign w:val="bottom"/>
            <w:tcBorders>
              <w:bottom w:val="single" w:sz="8" w:color="auto"/>
            </w:tcBorders>
            <w:shd w:val="clear" w:color="auto" w:fill="D6F3E8"/>
          </w:tcPr>
          <w:p>
            <w:pPr>
              <w:spacing w:after="0"/>
              <w:rPr>
                <w:sz w:val="21"/>
                <w:szCs w:val="21"/>
                <w:color w:val="auto"/>
              </w:rPr>
            </w:pPr>
          </w:p>
        </w:tc>
        <w:tc>
          <w:tcPr>
            <w:tcW w:w="9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119</w:t>
            </w:r>
          </w:p>
        </w:tc>
        <w:tc>
          <w:tcPr>
            <w:tcW w:w="100" w:type="dxa"/>
            <w:vAlign w:val="bottom"/>
            <w:gridSpan w:val="2"/>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460" w:type="dxa"/>
            <w:vAlign w:val="bottom"/>
          </w:tcPr>
          <w:p>
            <w:pPr>
              <w:ind w:left="660"/>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1,950</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(34,342)</w:t>
            </w:r>
          </w:p>
        </w:tc>
        <w:tc>
          <w:tcPr>
            <w:tcW w:w="0" w:type="dxa"/>
            <w:vAlign w:val="bottom"/>
          </w:tcPr>
          <w:p>
            <w:pPr>
              <w:spacing w:after="0"/>
              <w:rPr>
                <w:sz w:val="1"/>
                <w:szCs w:val="1"/>
                <w:color w:val="auto"/>
              </w:rPr>
            </w:pPr>
          </w:p>
        </w:tc>
      </w:tr>
      <w:tr>
        <w:trPr>
          <w:trHeight w:val="486"/>
        </w:trPr>
        <w:tc>
          <w:tcPr>
            <w:tcW w:w="84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180"/>
              <w:spacing w:after="0"/>
              <w:rPr>
                <w:sz w:val="20"/>
                <w:szCs w:val="20"/>
                <w:color w:val="auto"/>
              </w:rPr>
            </w:pPr>
            <w:r>
              <w:rPr>
                <w:rFonts w:ascii="Arial" w:cs="Arial" w:eastAsia="Arial" w:hAnsi="Arial"/>
                <w:sz w:val="18"/>
                <w:szCs w:val="18"/>
                <w:color w:val="auto"/>
              </w:rPr>
              <w:t>Cash dividends paid</w:t>
            </w:r>
          </w:p>
        </w:tc>
        <w:tc>
          <w:tcPr>
            <w:tcW w:w="24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(2,879)</w:t>
            </w:r>
          </w:p>
        </w:tc>
        <w:tc>
          <w:tcPr>
            <w:tcW w:w="300" w:type="dxa"/>
            <w:vAlign w:val="bottom"/>
          </w:tcPr>
          <w:p>
            <w:pPr>
              <w:spacing w:after="0"/>
              <w:rPr>
                <w:sz w:val="21"/>
                <w:szCs w:val="21"/>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(2,666)</w:t>
            </w:r>
          </w:p>
        </w:tc>
        <w:tc>
          <w:tcPr>
            <w:tcW w:w="0" w:type="dxa"/>
            <w:vAlign w:val="bottom"/>
          </w:tcPr>
          <w:p>
            <w:pPr>
              <w:spacing w:after="0"/>
              <w:rPr>
                <w:sz w:val="1"/>
                <w:szCs w:val="1"/>
                <w:color w:val="auto"/>
              </w:rPr>
            </w:pPr>
          </w:p>
        </w:tc>
      </w:tr>
      <w:tr>
        <w:trPr>
          <w:trHeight w:val="20"/>
        </w:trPr>
        <w:tc>
          <w:tcPr>
            <w:tcW w:w="8460" w:type="dxa"/>
            <w:vAlign w:val="bottom"/>
            <w:shd w:val="clear" w:color="auto" w:fill="D6F3E8"/>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gridSpan w:val="2"/>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60" w:type="dxa"/>
            <w:vAlign w:val="bottom"/>
            <w:shd w:val="clear" w:color="auto" w:fill="D6F3E8"/>
          </w:tcPr>
          <w:p>
            <w:pPr>
              <w:ind w:left="66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shd w:val="clear" w:color="auto" w:fill="D6F3E8"/>
          </w:tcPr>
          <w:p>
            <w:pPr>
              <w:spacing w:after="0"/>
              <w:rPr>
                <w:sz w:val="20"/>
                <w:szCs w:val="20"/>
                <w:color w:val="auto"/>
              </w:rPr>
            </w:pPr>
          </w:p>
        </w:tc>
        <w:tc>
          <w:tcPr>
            <w:tcW w:w="136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(2,879)</w:t>
            </w:r>
          </w:p>
        </w:tc>
        <w:tc>
          <w:tcPr>
            <w:tcW w:w="300" w:type="dxa"/>
            <w:vAlign w:val="bottom"/>
            <w:shd w:val="clear" w:color="auto" w:fill="D6F3E8"/>
          </w:tcPr>
          <w:p>
            <w:pPr>
              <w:spacing w:after="0"/>
              <w:rPr>
                <w:sz w:val="20"/>
                <w:szCs w:val="20"/>
                <w:color w:val="auto"/>
              </w:rPr>
            </w:pPr>
          </w:p>
        </w:tc>
        <w:tc>
          <w:tcPr>
            <w:tcW w:w="1060" w:type="dxa"/>
            <w:vAlign w:val="bottom"/>
            <w:gridSpan w:val="3"/>
            <w:shd w:val="clear" w:color="auto" w:fill="D6F3E8"/>
          </w:tcPr>
          <w:p>
            <w:pPr>
              <w:jc w:val="right"/>
              <w:ind w:right="40"/>
              <w:spacing w:after="0"/>
              <w:rPr>
                <w:sz w:val="20"/>
                <w:szCs w:val="20"/>
                <w:color w:val="auto"/>
              </w:rPr>
            </w:pPr>
            <w:r>
              <w:rPr>
                <w:rFonts w:ascii="Arial" w:cs="Arial" w:eastAsia="Arial" w:hAnsi="Arial"/>
                <w:sz w:val="18"/>
                <w:szCs w:val="18"/>
                <w:color w:val="auto"/>
              </w:rPr>
              <w:t>(2,666)</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46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16,327</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(9,589)</w:t>
            </w:r>
          </w:p>
        </w:tc>
        <w:tc>
          <w:tcPr>
            <w:tcW w:w="0" w:type="dxa"/>
            <w:vAlign w:val="bottom"/>
          </w:tcPr>
          <w:p>
            <w:pPr>
              <w:spacing w:after="0"/>
              <w:rPr>
                <w:sz w:val="1"/>
                <w:szCs w:val="1"/>
                <w:color w:val="auto"/>
              </w:rPr>
            </w:pPr>
          </w:p>
        </w:tc>
      </w:tr>
      <w:tr>
        <w:trPr>
          <w:trHeight w:val="243"/>
        </w:trPr>
        <w:tc>
          <w:tcPr>
            <w:tcW w:w="8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shd w:val="clear" w:color="auto" w:fill="D6F3E8"/>
          </w:tcPr>
          <w:p>
            <w:pPr>
              <w:spacing w:after="0"/>
              <w:rPr>
                <w:sz w:val="20"/>
                <w:szCs w:val="20"/>
                <w:color w:val="auto"/>
              </w:rPr>
            </w:pPr>
            <w:r>
              <w:rPr>
                <w:rFonts w:ascii="Arial" w:cs="Arial" w:eastAsia="Arial" w:hAnsi="Arial"/>
                <w:sz w:val="18"/>
                <w:szCs w:val="18"/>
                <w:color w:val="auto"/>
              </w:rPr>
              <w:t>CASH AND CASH EQUIVALENTS, BEGINNING OF PERIOD</w:t>
            </w:r>
          </w:p>
        </w:tc>
        <w:tc>
          <w:tcPr>
            <w:tcW w:w="240" w:type="dxa"/>
            <w:vAlign w:val="bottom"/>
            <w:tcBorders>
              <w:bottom w:val="single" w:sz="8" w:color="auto"/>
            </w:tcBorders>
            <w:shd w:val="clear" w:color="auto" w:fill="D6F3E8"/>
          </w:tcPr>
          <w:p>
            <w:pPr>
              <w:spacing w:after="0"/>
              <w:rPr>
                <w:sz w:val="21"/>
                <w:szCs w:val="21"/>
                <w:color w:val="auto"/>
              </w:rPr>
            </w:pPr>
          </w:p>
        </w:tc>
        <w:tc>
          <w:tcPr>
            <w:tcW w:w="10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18,772</w:t>
            </w:r>
          </w:p>
        </w:tc>
        <w:tc>
          <w:tcPr>
            <w:tcW w:w="320" w:type="dxa"/>
            <w:vAlign w:val="bottom"/>
            <w:shd w:val="clear" w:color="auto" w:fill="D6F3E8"/>
          </w:tcPr>
          <w:p>
            <w:pPr>
              <w:spacing w:after="0"/>
              <w:rPr>
                <w:sz w:val="21"/>
                <w:szCs w:val="21"/>
                <w:color w:val="auto"/>
              </w:rPr>
            </w:pPr>
          </w:p>
        </w:tc>
        <w:tc>
          <w:tcPr>
            <w:tcW w:w="300" w:type="dxa"/>
            <w:vAlign w:val="bottom"/>
            <w:tcBorders>
              <w:bottom w:val="single" w:sz="8" w:color="auto"/>
            </w:tcBorders>
            <w:shd w:val="clear" w:color="auto" w:fill="D6F3E8"/>
          </w:tcPr>
          <w:p>
            <w:pPr>
              <w:spacing w:after="0"/>
              <w:rPr>
                <w:sz w:val="21"/>
                <w:szCs w:val="21"/>
                <w:color w:val="auto"/>
              </w:rPr>
            </w:pPr>
          </w:p>
        </w:tc>
        <w:tc>
          <w:tcPr>
            <w:tcW w:w="9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29,536</w:t>
            </w:r>
          </w:p>
        </w:tc>
        <w:tc>
          <w:tcPr>
            <w:tcW w:w="20" w:type="dxa"/>
            <w:vAlign w:val="bottom"/>
            <w:shd w:val="clear" w:color="auto" w:fill="D6F3E8"/>
          </w:tcPr>
          <w:p>
            <w:pPr>
              <w:spacing w:after="0"/>
              <w:rPr>
                <w:sz w:val="21"/>
                <w:szCs w:val="21"/>
                <w:color w:val="auto"/>
              </w:rPr>
            </w:pPr>
          </w:p>
        </w:tc>
        <w:tc>
          <w:tcPr>
            <w:tcW w:w="8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846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35,099</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19,947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60" w:type="dxa"/>
            <w:vAlign w:val="bottom"/>
            <w:shd w:val="clear" w:color="auto" w:fill="D6F3E8"/>
          </w:tcPr>
          <w:p>
            <w:pPr>
              <w:ind w:left="180"/>
              <w:spacing w:after="0"/>
              <w:rPr>
                <w:sz w:val="20"/>
                <w:szCs w:val="20"/>
                <w:color w:val="auto"/>
              </w:rPr>
            </w:pPr>
            <w:r>
              <w:rPr>
                <w:rFonts w:ascii="Arial" w:cs="Arial" w:eastAsia="Arial" w:hAnsi="Arial"/>
                <w:sz w:val="18"/>
                <w:szCs w:val="18"/>
                <w:color w:val="auto"/>
              </w:rPr>
              <w:t>Cash paid for income taxes</w:t>
            </w:r>
          </w:p>
        </w:tc>
        <w:tc>
          <w:tcPr>
            <w:tcW w:w="240" w:type="dxa"/>
            <w:vAlign w:val="bottom"/>
            <w:shd w:val="clear" w:color="auto" w:fill="D6F3E8"/>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2,550</w:t>
            </w:r>
          </w:p>
        </w:tc>
        <w:tc>
          <w:tcPr>
            <w:tcW w:w="320" w:type="dxa"/>
            <w:vAlign w:val="bottom"/>
            <w:shd w:val="clear" w:color="auto" w:fill="D6F3E8"/>
          </w:tcPr>
          <w:p>
            <w:pPr>
              <w:spacing w:after="0"/>
              <w:rPr>
                <w:sz w:val="19"/>
                <w:szCs w:val="19"/>
                <w:color w:val="auto"/>
              </w:rPr>
            </w:pPr>
          </w:p>
        </w:tc>
        <w:tc>
          <w:tcPr>
            <w:tcW w:w="300" w:type="dxa"/>
            <w:vAlign w:val="bottom"/>
            <w:shd w:val="clear" w:color="auto" w:fill="D6F3E8"/>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3,204</w:t>
            </w:r>
          </w:p>
        </w:tc>
        <w:tc>
          <w:tcPr>
            <w:tcW w:w="8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60" w:type="dxa"/>
            <w:vAlign w:val="bottom"/>
            <w:tcBorders>
              <w:top w:val="single" w:sz="8" w:color="D6F3E8"/>
              <w:bottom w:val="single" w:sz="8" w:color="D6F3E8"/>
            </w:tcBorders>
            <w:vMerge w:val="restart"/>
          </w:tcPr>
          <w:p>
            <w:pPr>
              <w:ind w:left="180"/>
              <w:spacing w:after="0"/>
              <w:rPr>
                <w:sz w:val="20"/>
                <w:szCs w:val="20"/>
                <w:color w:val="auto"/>
              </w:rPr>
            </w:pPr>
            <w:r>
              <w:rPr>
                <w:rFonts w:ascii="Arial" w:cs="Arial" w:eastAsia="Arial" w:hAnsi="Arial"/>
                <w:sz w:val="18"/>
                <w:szCs w:val="18"/>
                <w:color w:val="auto"/>
              </w:rPr>
              <w:t>Noncash investing activities-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D6F3E8"/>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D6F3E8"/>
            </w:tcBorders>
          </w:tcPr>
          <w:p>
            <w:pPr>
              <w:spacing w:after="0" w:line="20" w:lineRule="exact"/>
              <w:rPr>
                <w:sz w:val="1"/>
                <w:szCs w:val="1"/>
                <w:color w:val="auto"/>
              </w:rPr>
            </w:pPr>
          </w:p>
        </w:tc>
        <w:tc>
          <w:tcPr>
            <w:tcW w:w="8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460" w:type="dxa"/>
            <w:vAlign w:val="bottom"/>
            <w:vMerge w:val="continue"/>
          </w:tcPr>
          <w:p>
            <w:pPr>
              <w:spacing w:after="0"/>
              <w:rPr>
                <w:sz w:val="24"/>
                <w:szCs w:val="24"/>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501</w:t>
            </w: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8460" w:type="dxa"/>
            <w:vAlign w:val="bottom"/>
          </w:tcPr>
          <w:p>
            <w:pPr>
              <w:ind w:left="340"/>
              <w:spacing w:after="0"/>
              <w:rPr>
                <w:sz w:val="20"/>
                <w:szCs w:val="20"/>
                <w:color w:val="auto"/>
              </w:rPr>
            </w:pPr>
            <w:r>
              <w:rPr>
                <w:rFonts w:ascii="Arial" w:cs="Arial" w:eastAsia="Arial" w:hAnsi="Arial"/>
                <w:sz w:val="18"/>
                <w:szCs w:val="18"/>
                <w:color w:val="auto"/>
              </w:rPr>
              <w:t>Capital expenditures in accounts payable</w:t>
            </w:r>
          </w:p>
        </w:tc>
        <w:tc>
          <w:tcPr>
            <w:tcW w:w="240" w:type="dxa"/>
            <w:vAlign w:val="bottom"/>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0D0E00"/>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0D0E00"/>
        </w:rPr>
        <w:t>NOTES TO CONDENSED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0D0E00"/>
        </w:rPr>
        <w:t>Note 1 – Basis of Presentation</w:t>
      </w:r>
    </w:p>
    <w:p>
      <w:pPr>
        <w:spacing w:after="0" w:line="25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0D0E00"/>
        </w:rPr>
        <w:t>The accompanying unaudited condensed financial statements have been prepared in accordance with the instructions for Form 10-Q and, accordingly, do not include all information and footnotes required by generally accepted accounting principles for complete financial statements. These statements should be read in conjunction with the financial statements and footnotes included in our Annual Report on Form 10-K for the fiscal year ended March 28, 2010, previously filed with the Securities and Exchange Commission (“SEC”). In the opinion of management, the accompanying unaudited condensed financial statements contain all adjustments necessary to present fairly our financial position and the results of our operations and cash flows for the periods presented. All adjustments made to the interim financial statements were of a normal recurring nature.</w:t>
      </w:r>
    </w:p>
    <w:p>
      <w:pPr>
        <w:spacing w:after="0" w:line="20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0D0E00"/>
        </w:rPr>
        <w:t>The accounting policies we follow are set forth in “Item 8. Financial Statements and Supplementary Data, Note 1 – Nature of Business and Significant Accounting Policies” to our financial statements in our Annual Report on Form 10-K for the fiscal year ended March 28, 2010 (“fiscal 2010”) filed with the SEC on June 4, 2010.</w:t>
      </w:r>
    </w:p>
    <w:p>
      <w:pPr>
        <w:spacing w:after="0" w:line="20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0D0E00"/>
        </w:rPr>
        <w:t>The results of operations for the period ended September 30, 2010 are not necessarily indicative of the results that may be expected for the full fiscal year ending April 3, 2011 (“fiscal 2011”).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0D0E00"/>
        </w:rPr>
        <w:t>Note 2 – Earnings per Share</w:t>
      </w:r>
    </w:p>
    <w:p>
      <w:pPr>
        <w:spacing w:after="0" w:line="25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0D0E00"/>
        </w:rPr>
        <w:t>Basic earnings per share (“EPS”) are computed by dividing net earnings by the weighted-average number of common shares outstanding. Diluted EPS includes the incremental shares assumed to be issued upon the exercise of stock options and the incremental shares assumed to be issued as performance units and restricted stock. Basic and diluted EPS were calculated using the following: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060" w:type="dxa"/>
            <w:vAlign w:val="bottom"/>
            <w:gridSpan w:val="3"/>
          </w:tcPr>
          <w:p>
            <w:pPr>
              <w:jc w:val="center"/>
              <w:ind w:left="719"/>
              <w:spacing w:after="0"/>
              <w:rPr>
                <w:sz w:val="20"/>
                <w:szCs w:val="20"/>
                <w:color w:val="auto"/>
              </w:rPr>
            </w:pPr>
            <w:r>
              <w:rPr>
                <w:rFonts w:ascii="Arial" w:cs="Arial" w:eastAsia="Arial" w:hAnsi="Arial"/>
                <w:sz w:val="14"/>
                <w:szCs w:val="14"/>
                <w:b w:val="1"/>
                <w:bCs w:val="1"/>
                <w:color w:val="auto"/>
                <w:w w:val="91"/>
              </w:rPr>
              <w:t>Three months ended</w:t>
            </w: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gridSpan w:val="3"/>
          </w:tcPr>
          <w:p>
            <w:pPr>
              <w:jc w:val="center"/>
              <w:ind w:left="759"/>
              <w:spacing w:after="0"/>
              <w:rPr>
                <w:sz w:val="20"/>
                <w:szCs w:val="20"/>
                <w:color w:val="auto"/>
              </w:rPr>
            </w:pPr>
            <w:r>
              <w:rPr>
                <w:rFonts w:ascii="Arial" w:cs="Arial" w:eastAsia="Arial" w:hAnsi="Arial"/>
                <w:sz w:val="14"/>
                <w:szCs w:val="14"/>
                <w:b w:val="1"/>
                <w:bCs w:val="1"/>
                <w:color w:val="auto"/>
                <w:w w:val="89"/>
              </w:rPr>
              <w:t>Six months ended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280" w:type="dxa"/>
            <w:vAlign w:val="bottom"/>
          </w:tcPr>
          <w:p>
            <w:pPr>
              <w:spacing w:after="0"/>
              <w:rPr>
                <w:sz w:val="14"/>
                <w:szCs w:val="14"/>
                <w:color w:val="auto"/>
              </w:rPr>
            </w:pPr>
          </w:p>
        </w:tc>
        <w:tc>
          <w:tcPr>
            <w:tcW w:w="2060" w:type="dxa"/>
            <w:vAlign w:val="bottom"/>
            <w:tcBorders>
              <w:bottom w:val="single" w:sz="8" w:color="auto"/>
            </w:tcBorders>
            <w:gridSpan w:val="3"/>
          </w:tcPr>
          <w:p>
            <w:pPr>
              <w:jc w:val="center"/>
              <w:ind w:left="739"/>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tcBorders>
              <w:bottom w:val="single" w:sz="8" w:color="auto"/>
            </w:tcBorders>
            <w:gridSpan w:val="3"/>
          </w:tcPr>
          <w:p>
            <w:pPr>
              <w:jc w:val="center"/>
              <w:ind w:left="759"/>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5280" w:type="dxa"/>
            <w:vAlign w:val="bottom"/>
            <w:tcBorders>
              <w:bottom w:val="single" w:sz="8" w:color="D6F3E8"/>
            </w:tcBorders>
          </w:tcPr>
          <w:p>
            <w:pPr>
              <w:spacing w:after="0"/>
              <w:rPr>
                <w:sz w:val="19"/>
                <w:szCs w:val="19"/>
                <w:color w:val="auto"/>
              </w:rPr>
            </w:pPr>
          </w:p>
        </w:tc>
        <w:tc>
          <w:tcPr>
            <w:tcW w:w="12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2010</w:t>
            </w:r>
          </w:p>
        </w:tc>
        <w:tc>
          <w:tcPr>
            <w:tcW w:w="360" w:type="dxa"/>
            <w:vAlign w:val="bottom"/>
            <w:tcBorders>
              <w:bottom w:val="single" w:sz="8" w:color="D6F3E8"/>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96"/>
              </w:rPr>
              <w:t>2009</w:t>
            </w:r>
          </w:p>
        </w:tc>
        <w:tc>
          <w:tcPr>
            <w:tcW w:w="320" w:type="dxa"/>
            <w:vAlign w:val="bottom"/>
            <w:tcBorders>
              <w:bottom w:val="single" w:sz="8" w:color="D6F3E8"/>
            </w:tcBorders>
          </w:tcPr>
          <w:p>
            <w:pPr>
              <w:spacing w:after="0"/>
              <w:rPr>
                <w:sz w:val="19"/>
                <w:szCs w:val="19"/>
                <w:color w:val="auto"/>
              </w:rPr>
            </w:pPr>
          </w:p>
        </w:tc>
        <w:tc>
          <w:tcPr>
            <w:tcW w:w="12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2010</w:t>
            </w:r>
          </w:p>
        </w:tc>
        <w:tc>
          <w:tcPr>
            <w:tcW w:w="320" w:type="dxa"/>
            <w:vAlign w:val="bottom"/>
            <w:tcBorders>
              <w:bottom w:val="single" w:sz="8" w:color="D6F3E8"/>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D6F3E8"/>
            </w:tcBorders>
          </w:tcPr>
          <w:p>
            <w:pPr>
              <w:spacing w:after="0"/>
              <w:rPr>
                <w:sz w:val="19"/>
                <w:szCs w:val="19"/>
                <w:color w:val="auto"/>
              </w:rPr>
            </w:pPr>
          </w:p>
        </w:tc>
      </w:tr>
      <w:tr>
        <w:trPr>
          <w:trHeight w:val="237"/>
        </w:trPr>
        <w:tc>
          <w:tcPr>
            <w:tcW w:w="5280" w:type="dxa"/>
            <w:vAlign w:val="bottom"/>
            <w:shd w:val="clear" w:color="auto" w:fill="D6F3E8"/>
          </w:tcPr>
          <w:p>
            <w:pPr>
              <w:spacing w:after="0"/>
              <w:rPr>
                <w:sz w:val="20"/>
                <w:szCs w:val="20"/>
                <w:color w:val="auto"/>
              </w:rPr>
            </w:pPr>
            <w:r>
              <w:rPr>
                <w:rFonts w:ascii="Arial" w:cs="Arial" w:eastAsia="Arial" w:hAnsi="Arial"/>
                <w:sz w:val="18"/>
                <w:szCs w:val="18"/>
                <w:color w:val="auto"/>
              </w:rPr>
              <w:t>Weighted average common shares outstanding – basic</w:t>
            </w:r>
          </w:p>
        </w:tc>
        <w:tc>
          <w:tcPr>
            <w:tcW w:w="162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10,257,175</w:t>
            </w:r>
          </w:p>
        </w:tc>
        <w:tc>
          <w:tcPr>
            <w:tcW w:w="440" w:type="dxa"/>
            <w:vAlign w:val="bottom"/>
            <w:shd w:val="clear" w:color="auto" w:fill="D6F3E8"/>
          </w:tcPr>
          <w:p>
            <w:pPr>
              <w:spacing w:after="0"/>
              <w:rPr>
                <w:sz w:val="20"/>
                <w:szCs w:val="20"/>
                <w:color w:val="auto"/>
              </w:rPr>
            </w:pPr>
          </w:p>
        </w:tc>
        <w:tc>
          <w:tcPr>
            <w:tcW w:w="11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w w:val="88"/>
              </w:rPr>
              <w:t>10,250,719</w:t>
            </w:r>
          </w:p>
        </w:tc>
        <w:tc>
          <w:tcPr>
            <w:tcW w:w="158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10,255,297</w:t>
            </w:r>
          </w:p>
        </w:tc>
        <w:tc>
          <w:tcPr>
            <w:tcW w:w="420" w:type="dxa"/>
            <w:vAlign w:val="bottom"/>
            <w:shd w:val="clear" w:color="auto" w:fill="D6F3E8"/>
          </w:tcPr>
          <w:p>
            <w:pPr>
              <w:spacing w:after="0"/>
              <w:rPr>
                <w:sz w:val="20"/>
                <w:szCs w:val="20"/>
                <w:color w:val="auto"/>
              </w:rPr>
            </w:pPr>
          </w:p>
        </w:tc>
        <w:tc>
          <w:tcPr>
            <w:tcW w:w="9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w w:val="90"/>
              </w:rPr>
              <w:t>10,248,577</w:t>
            </w:r>
          </w:p>
        </w:tc>
      </w:tr>
      <w:tr>
        <w:trPr>
          <w:trHeight w:val="202"/>
        </w:trPr>
        <w:tc>
          <w:tcPr>
            <w:tcW w:w="5280" w:type="dxa"/>
            <w:vAlign w:val="bottom"/>
          </w:tcPr>
          <w:p>
            <w:pPr>
              <w:spacing w:after="0" w:line="201" w:lineRule="exact"/>
              <w:rPr>
                <w:sz w:val="20"/>
                <w:szCs w:val="20"/>
                <w:color w:val="auto"/>
              </w:rPr>
            </w:pPr>
            <w:r>
              <w:rPr>
                <w:rFonts w:ascii="Arial" w:cs="Arial" w:eastAsia="Arial" w:hAnsi="Arial"/>
                <w:sz w:val="18"/>
                <w:szCs w:val="18"/>
                <w:color w:val="auto"/>
              </w:rPr>
              <w:t>Dilutive impact of stock options, performance units, and restricted</w:t>
            </w: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280" w:type="dxa"/>
            <w:vAlign w:val="bottom"/>
          </w:tcPr>
          <w:p>
            <w:pPr>
              <w:ind w:left="180"/>
              <w:spacing w:after="0"/>
              <w:rPr>
                <w:sz w:val="20"/>
                <w:szCs w:val="20"/>
                <w:color w:val="auto"/>
              </w:rPr>
            </w:pPr>
            <w:r>
              <w:rPr>
                <w:rFonts w:ascii="Arial" w:cs="Arial" w:eastAsia="Arial" w:hAnsi="Arial"/>
                <w:sz w:val="18"/>
                <w:szCs w:val="18"/>
                <w:color w:val="auto"/>
              </w:rPr>
              <w:t>stock</w:t>
            </w: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75,589</w:t>
            </w:r>
          </w:p>
        </w:tc>
        <w:tc>
          <w:tcPr>
            <w:tcW w:w="44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29,533</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66,058</w:t>
            </w:r>
          </w:p>
        </w:tc>
        <w:tc>
          <w:tcPr>
            <w:tcW w:w="4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25,866</w:t>
            </w:r>
          </w:p>
        </w:tc>
      </w:tr>
      <w:tr>
        <w:trPr>
          <w:trHeight w:val="20"/>
        </w:trPr>
        <w:tc>
          <w:tcPr>
            <w:tcW w:w="5280" w:type="dxa"/>
            <w:vAlign w:val="bottom"/>
            <w:shd w:val="clear" w:color="auto" w:fill="D6F3E8"/>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60" w:type="dxa"/>
            <w:vAlign w:val="bottom"/>
            <w:shd w:val="clear" w:color="auto" w:fill="D6F3E8"/>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r>
      <w:tr>
        <w:trPr>
          <w:trHeight w:val="237"/>
        </w:trPr>
        <w:tc>
          <w:tcPr>
            <w:tcW w:w="5280" w:type="dxa"/>
            <w:vAlign w:val="bottom"/>
            <w:shd w:val="clear" w:color="auto" w:fill="D6F3E8"/>
          </w:tcPr>
          <w:p>
            <w:pPr>
              <w:spacing w:after="0"/>
              <w:rPr>
                <w:sz w:val="20"/>
                <w:szCs w:val="20"/>
                <w:color w:val="auto"/>
              </w:rPr>
            </w:pPr>
            <w:r>
              <w:rPr>
                <w:rFonts w:ascii="Arial" w:cs="Arial" w:eastAsia="Arial" w:hAnsi="Arial"/>
                <w:sz w:val="18"/>
                <w:szCs w:val="18"/>
                <w:color w:val="auto"/>
              </w:rPr>
              <w:t>Weighted average common shares outstanding - diluted</w:t>
            </w:r>
          </w:p>
        </w:tc>
        <w:tc>
          <w:tcPr>
            <w:tcW w:w="162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10,332,764</w:t>
            </w:r>
          </w:p>
        </w:tc>
        <w:tc>
          <w:tcPr>
            <w:tcW w:w="440" w:type="dxa"/>
            <w:vAlign w:val="bottom"/>
            <w:shd w:val="clear" w:color="auto" w:fill="D6F3E8"/>
          </w:tcPr>
          <w:p>
            <w:pPr>
              <w:spacing w:after="0"/>
              <w:rPr>
                <w:sz w:val="20"/>
                <w:szCs w:val="20"/>
                <w:color w:val="auto"/>
              </w:rPr>
            </w:pPr>
          </w:p>
        </w:tc>
        <w:tc>
          <w:tcPr>
            <w:tcW w:w="11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w w:val="88"/>
              </w:rPr>
              <w:t>10,280,252</w:t>
            </w:r>
          </w:p>
        </w:tc>
        <w:tc>
          <w:tcPr>
            <w:tcW w:w="158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10,321,355</w:t>
            </w:r>
          </w:p>
        </w:tc>
        <w:tc>
          <w:tcPr>
            <w:tcW w:w="420" w:type="dxa"/>
            <w:vAlign w:val="bottom"/>
            <w:shd w:val="clear" w:color="auto" w:fill="D6F3E8"/>
          </w:tcPr>
          <w:p>
            <w:pPr>
              <w:spacing w:after="0"/>
              <w:rPr>
                <w:sz w:val="20"/>
                <w:szCs w:val="20"/>
                <w:color w:val="auto"/>
              </w:rPr>
            </w:pPr>
          </w:p>
        </w:tc>
        <w:tc>
          <w:tcPr>
            <w:tcW w:w="9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w w:val="90"/>
              </w:rPr>
              <w:t>10,274,443</w:t>
            </w:r>
          </w:p>
        </w:tc>
      </w:tr>
      <w:tr>
        <w:trPr>
          <w:trHeight w:val="20"/>
        </w:trPr>
        <w:tc>
          <w:tcPr>
            <w:tcW w:w="5280" w:type="dxa"/>
            <w:vAlign w:val="bottom"/>
            <w:tcBorders>
              <w:top w:val="single" w:sz="8" w:color="D6F3E8"/>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D6F3E8"/>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D6F3E8"/>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D6F3E8"/>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r>
    </w:tbl>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0D0E00"/>
        </w:rPr>
        <w:t>For the period ended September 30, 2010, there were no shares or stock options excluded from the calculation of weighted average common shares for diluted EPS. For the three and six months ended September 30, 2009, 70,665 stock options were excluded from the calculation of weighted average common shares for diluted EPS because their effects were antidilutive.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0D0E00"/>
        </w:rPr>
        <w:t>Note 3 – Cash and Cash Equivalents and Investments</w:t>
      </w:r>
    </w:p>
    <w:p>
      <w:pPr>
        <w:spacing w:after="0" w:line="25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0D0E00"/>
        </w:rPr>
        <w:t>The following table presents information about our financial assets and liabilities that are measured at fair value on a recurring basis as of September 30, 2010, and indicates the fair value hierarchy of the valuation techniques utilized to determine such fair value.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Description</w:t>
            </w:r>
          </w:p>
        </w:tc>
        <w:tc>
          <w:tcPr>
            <w:tcW w:w="28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September 30,</w:t>
            </w:r>
          </w:p>
        </w:tc>
        <w:tc>
          <w:tcPr>
            <w:tcW w:w="240" w:type="dxa"/>
            <w:vAlign w:val="bottom"/>
          </w:tcPr>
          <w:p>
            <w:pPr>
              <w:spacing w:after="0"/>
              <w:rPr>
                <w:sz w:val="19"/>
                <w:szCs w:val="19"/>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9"/>
                <w:szCs w:val="19"/>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69"/>
        </w:trPr>
        <w:tc>
          <w:tcPr>
            <w:tcW w:w="37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ind w:right="397"/>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700" w:type="dxa"/>
            <w:vAlign w:val="bottom"/>
            <w:gridSpan w:val="2"/>
          </w:tcPr>
          <w:p>
            <w:pPr>
              <w:spacing w:after="0"/>
              <w:rPr>
                <w:sz w:val="20"/>
                <w:szCs w:val="20"/>
                <w:color w:val="auto"/>
              </w:rPr>
            </w:pPr>
            <w:r>
              <w:rPr>
                <w:rFonts w:ascii="Arial" w:cs="Arial" w:eastAsia="Arial" w:hAnsi="Arial"/>
                <w:sz w:val="18"/>
                <w:szCs w:val="18"/>
                <w:color w:val="auto"/>
              </w:rPr>
              <w:t>Assets:</w:t>
            </w:r>
          </w:p>
        </w:tc>
        <w:tc>
          <w:tcPr>
            <w:tcW w:w="15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00" w:type="dxa"/>
            <w:vAlign w:val="bottom"/>
            <w:gridSpan w:val="2"/>
            <w:shd w:val="clear" w:color="auto" w:fill="D6F3E8"/>
          </w:tcPr>
          <w:p>
            <w:pPr>
              <w:ind w:left="340"/>
              <w:spacing w:after="0"/>
              <w:rPr>
                <w:sz w:val="20"/>
                <w:szCs w:val="20"/>
                <w:color w:val="auto"/>
              </w:rPr>
            </w:pPr>
            <w:r>
              <w:rPr>
                <w:rFonts w:ascii="Arial" w:cs="Arial" w:eastAsia="Arial" w:hAnsi="Arial"/>
                <w:sz w:val="18"/>
                <w:szCs w:val="18"/>
                <w:color w:val="auto"/>
              </w:rPr>
              <w:t>Cash</w:t>
            </w:r>
          </w:p>
        </w:tc>
        <w:tc>
          <w:tcPr>
            <w:tcW w:w="172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34,781</w:t>
            </w:r>
          </w:p>
        </w:tc>
        <w:tc>
          <w:tcPr>
            <w:tcW w:w="240" w:type="dxa"/>
            <w:vAlign w:val="bottom"/>
            <w:shd w:val="clear" w:color="auto" w:fill="D6F3E8"/>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34,781</w:t>
            </w:r>
          </w:p>
        </w:tc>
        <w:tc>
          <w:tcPr>
            <w:tcW w:w="260" w:type="dxa"/>
            <w:vAlign w:val="bottom"/>
            <w:shd w:val="clear" w:color="auto" w:fill="D6F3E8"/>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D6F3E8"/>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00" w:type="dxa"/>
            <w:vAlign w:val="bottom"/>
            <w:gridSpan w:val="2"/>
          </w:tcPr>
          <w:p>
            <w:pPr>
              <w:ind w:left="340"/>
              <w:spacing w:after="0"/>
              <w:rPr>
                <w:sz w:val="20"/>
                <w:szCs w:val="20"/>
                <w:color w:val="auto"/>
              </w:rPr>
            </w:pPr>
            <w:r>
              <w:rPr>
                <w:rFonts w:ascii="Arial" w:cs="Arial" w:eastAsia="Arial" w:hAnsi="Arial"/>
                <w:sz w:val="18"/>
                <w:szCs w:val="18"/>
                <w:color w:val="auto"/>
              </w:rPr>
              <w:t>Certificates of deposit</w:t>
            </w:r>
          </w:p>
        </w:tc>
        <w:tc>
          <w:tcPr>
            <w:tcW w:w="1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27,862</w:t>
            </w:r>
          </w:p>
        </w:tc>
        <w:tc>
          <w:tcPr>
            <w:tcW w:w="240" w:type="dxa"/>
            <w:vAlign w:val="bottom"/>
          </w:tcPr>
          <w:p>
            <w:pPr>
              <w:spacing w:after="0"/>
              <w:rPr>
                <w:sz w:val="21"/>
                <w:szCs w:val="21"/>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27,862</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00" w:type="dxa"/>
            <w:vAlign w:val="bottom"/>
            <w:gridSpan w:val="2"/>
            <w:shd w:val="clear" w:color="auto" w:fill="D6F3E8"/>
          </w:tcPr>
          <w:p>
            <w:pPr>
              <w:ind w:left="340"/>
              <w:spacing w:after="0"/>
              <w:rPr>
                <w:sz w:val="20"/>
                <w:szCs w:val="20"/>
                <w:color w:val="auto"/>
              </w:rPr>
            </w:pPr>
            <w:r>
              <w:rPr>
                <w:rFonts w:ascii="Arial" w:cs="Arial" w:eastAsia="Arial" w:hAnsi="Arial"/>
                <w:sz w:val="18"/>
                <w:szCs w:val="18"/>
                <w:color w:val="auto"/>
              </w:rPr>
              <w:t>Money market securities</w:t>
            </w:r>
          </w:p>
        </w:tc>
        <w:tc>
          <w:tcPr>
            <w:tcW w:w="1580" w:type="dxa"/>
            <w:vAlign w:val="bottom"/>
            <w:shd w:val="clear" w:color="auto" w:fill="D6F3E8"/>
          </w:tcPr>
          <w:p>
            <w:pPr>
              <w:spacing w:after="0"/>
              <w:rPr>
                <w:sz w:val="21"/>
                <w:szCs w:val="21"/>
                <w:color w:val="auto"/>
              </w:rPr>
            </w:pPr>
          </w:p>
        </w:tc>
        <w:tc>
          <w:tcPr>
            <w:tcW w:w="140" w:type="dxa"/>
            <w:vAlign w:val="bottom"/>
            <w:shd w:val="clear" w:color="auto" w:fill="D6F3E8"/>
          </w:tcPr>
          <w:p>
            <w:pPr>
              <w:spacing w:after="0"/>
              <w:rPr>
                <w:sz w:val="21"/>
                <w:szCs w:val="21"/>
                <w:color w:val="auto"/>
              </w:rPr>
            </w:pPr>
          </w:p>
        </w:tc>
        <w:tc>
          <w:tcPr>
            <w:tcW w:w="148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318</w:t>
            </w:r>
          </w:p>
        </w:tc>
        <w:tc>
          <w:tcPr>
            <w:tcW w:w="240" w:type="dxa"/>
            <w:vAlign w:val="bottom"/>
            <w:shd w:val="clear" w:color="auto" w:fill="D6F3E8"/>
          </w:tcPr>
          <w:p>
            <w:pPr>
              <w:spacing w:after="0"/>
              <w:rPr>
                <w:sz w:val="21"/>
                <w:szCs w:val="21"/>
                <w:color w:val="auto"/>
              </w:rPr>
            </w:pPr>
          </w:p>
        </w:tc>
        <w:tc>
          <w:tcPr>
            <w:tcW w:w="1340" w:type="dxa"/>
            <w:vAlign w:val="bottom"/>
            <w:gridSpan w:val="2"/>
            <w:shd w:val="clear" w:color="auto" w:fill="D6F3E8"/>
          </w:tcPr>
          <w:p>
            <w:pPr>
              <w:jc w:val="right"/>
              <w:ind w:right="320"/>
              <w:spacing w:after="0"/>
              <w:rPr>
                <w:sz w:val="20"/>
                <w:szCs w:val="20"/>
                <w:color w:val="auto"/>
              </w:rPr>
            </w:pPr>
            <w:r>
              <w:rPr>
                <w:rFonts w:ascii="Arial" w:cs="Arial" w:eastAsia="Arial" w:hAnsi="Arial"/>
                <w:sz w:val="18"/>
                <w:szCs w:val="18"/>
                <w:color w:val="auto"/>
              </w:rPr>
              <w:t>318</w:t>
            </w:r>
          </w:p>
        </w:tc>
        <w:tc>
          <w:tcPr>
            <w:tcW w:w="260" w:type="dxa"/>
            <w:vAlign w:val="bottom"/>
            <w:shd w:val="clear" w:color="auto" w:fill="D6F3E8"/>
          </w:tcPr>
          <w:p>
            <w:pPr>
              <w:spacing w:after="0"/>
              <w:rPr>
                <w:sz w:val="21"/>
                <w:szCs w:val="21"/>
                <w:color w:val="auto"/>
              </w:rPr>
            </w:pPr>
          </w:p>
        </w:tc>
        <w:tc>
          <w:tcPr>
            <w:tcW w:w="116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D6F3E8"/>
          </w:tcPr>
          <w:p>
            <w:pPr>
              <w:spacing w:after="0"/>
              <w:rPr>
                <w:sz w:val="21"/>
                <w:szCs w:val="21"/>
                <w:color w:val="auto"/>
              </w:rPr>
            </w:pPr>
          </w:p>
        </w:tc>
        <w:tc>
          <w:tcPr>
            <w:tcW w:w="260" w:type="dxa"/>
            <w:vAlign w:val="bottom"/>
            <w:shd w:val="clear" w:color="auto" w:fill="D6F3E8"/>
          </w:tcPr>
          <w:p>
            <w:pPr>
              <w:spacing w:after="0"/>
              <w:rPr>
                <w:sz w:val="21"/>
                <w:szCs w:val="21"/>
                <w:color w:val="auto"/>
              </w:rPr>
            </w:pPr>
          </w:p>
        </w:tc>
        <w:tc>
          <w:tcPr>
            <w:tcW w:w="1100" w:type="dxa"/>
            <w:vAlign w:val="bottom"/>
            <w:gridSpan w:val="2"/>
            <w:shd w:val="clear" w:color="auto" w:fill="D6F3E8"/>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financial assets that are measured at fair value on a recurring basis are certificates of deposit (“CD’s”), with maturities ranging from three months to two years which fall within valuation technique Level 2. The CD’s are classified as investments in current assets and noncurrent assets on the Condensed Balance Sheets. As of September 30, 2010, the CD’s in current assets have a fair value of $24.9 million, and in noncurrent assets, the CD’s have a fair value of $3.0 million.</w:t>
      </w:r>
    </w:p>
    <w:p>
      <w:pPr>
        <w:spacing w:after="0" w:line="21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0D0E00"/>
        </w:rPr>
        <w:t>The carrying value of cash and cash equivalents approximate fair value, as maturities are three months or less. We did not have any financial liability instruments subject to recurring fair value measurements as of September 30, 2010.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0D0E00"/>
        </w:rPr>
        <w:t>Note 4 – Inventories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0D0E00"/>
        </w:rPr>
        <w:t>Inventories at September 30, 2010 and March 28, 2010 consisted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9"/>
              </w:rPr>
              <w:t>September 30,</w:t>
            </w:r>
          </w:p>
        </w:tc>
        <w:tc>
          <w:tcPr>
            <w:tcW w:w="80" w:type="dxa"/>
            <w:vAlign w:val="bottom"/>
          </w:tcPr>
          <w:p>
            <w:pPr>
              <w:spacing w:after="0"/>
              <w:rPr>
                <w:sz w:val="14"/>
                <w:szCs w:val="14"/>
                <w:color w:val="auto"/>
              </w:rPr>
            </w:pPr>
          </w:p>
        </w:tc>
        <w:tc>
          <w:tcPr>
            <w:tcW w:w="8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9"/>
              </w:rPr>
              <w:t>March 28,</w:t>
            </w:r>
          </w:p>
        </w:tc>
      </w:tr>
      <w:tr>
        <w:trPr>
          <w:trHeight w:val="171"/>
        </w:trPr>
        <w:tc>
          <w:tcPr>
            <w:tcW w:w="34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4"/>
                <w:szCs w:val="14"/>
                <w:color w:val="auto"/>
              </w:rPr>
            </w:pPr>
          </w:p>
        </w:tc>
      </w:tr>
      <w:tr>
        <w:trPr>
          <w:trHeight w:val="237"/>
        </w:trPr>
        <w:tc>
          <w:tcPr>
            <w:tcW w:w="34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3480" w:type="dxa"/>
            <w:vAlign w:val="bottom"/>
            <w:shd w:val="clear" w:color="auto" w:fill="D6F3E8"/>
          </w:tcPr>
          <w:p>
            <w:pPr>
              <w:spacing w:after="0"/>
              <w:rPr>
                <w:sz w:val="20"/>
                <w:szCs w:val="20"/>
                <w:color w:val="auto"/>
              </w:rPr>
            </w:pPr>
            <w:r>
              <w:rPr>
                <w:rFonts w:ascii="Arial" w:cs="Arial" w:eastAsia="Arial" w:hAnsi="Arial"/>
                <w:sz w:val="18"/>
                <w:szCs w:val="18"/>
                <w:color w:val="auto"/>
              </w:rPr>
              <w:t>Finished goods (FIFO basis)</w:t>
            </w:r>
          </w:p>
        </w:tc>
        <w:tc>
          <w:tcPr>
            <w:tcW w:w="1620" w:type="dxa"/>
            <w:vAlign w:val="bottom"/>
            <w:gridSpan w:val="2"/>
            <w:shd w:val="clear" w:color="auto" w:fill="D6F3E8"/>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27,416</w:t>
            </w:r>
          </w:p>
        </w:tc>
        <w:tc>
          <w:tcPr>
            <w:tcW w:w="120" w:type="dxa"/>
            <w:vAlign w:val="bottom"/>
            <w:shd w:val="clear" w:color="auto" w:fill="D6F3E8"/>
          </w:tcPr>
          <w:p>
            <w:pPr>
              <w:spacing w:after="0"/>
              <w:rPr>
                <w:sz w:val="21"/>
                <w:szCs w:val="21"/>
                <w:color w:val="auto"/>
              </w:rPr>
            </w:pPr>
          </w:p>
        </w:tc>
        <w:tc>
          <w:tcPr>
            <w:tcW w:w="240" w:type="dxa"/>
            <w:vAlign w:val="bottom"/>
            <w:gridSpan w:val="2"/>
            <w:shd w:val="clear" w:color="auto" w:fill="D6F3E8"/>
          </w:tcPr>
          <w:p>
            <w:pPr>
              <w:jc w:val="right"/>
              <w:ind w:right="7"/>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23,258</w:t>
            </w: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LIFO reserve</w:t>
            </w: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(2,645)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(1,931)</w:t>
            </w:r>
          </w:p>
        </w:tc>
      </w:tr>
      <w:tr>
        <w:trPr>
          <w:trHeight w:val="250"/>
        </w:trPr>
        <w:tc>
          <w:tcPr>
            <w:tcW w:w="348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Net inventory</w:t>
            </w:r>
          </w:p>
        </w:tc>
        <w:tc>
          <w:tcPr>
            <w:tcW w:w="1440" w:type="dxa"/>
            <w:vAlign w:val="bottom"/>
            <w:tcBorders>
              <w:bottom w:val="single" w:sz="8" w:color="D6F3E8"/>
            </w:tcBorders>
            <w:shd w:val="clear" w:color="auto" w:fill="D6F3E8"/>
          </w:tcPr>
          <w:p>
            <w:pPr>
              <w:spacing w:after="0"/>
              <w:rPr>
                <w:sz w:val="21"/>
                <w:szCs w:val="21"/>
                <w:color w:val="auto"/>
              </w:rPr>
            </w:pPr>
          </w:p>
        </w:tc>
        <w:tc>
          <w:tcPr>
            <w:tcW w:w="180" w:type="dxa"/>
            <w:vAlign w:val="bottom"/>
            <w:tcBorders>
              <w:top w:val="single" w:sz="8" w:color="auto"/>
              <w:bottom w:val="single" w:sz="8" w:color="auto"/>
            </w:tcBorders>
            <w:shd w:val="clear" w:color="auto" w:fill="D6F3E8"/>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24,771</w:t>
            </w:r>
          </w:p>
        </w:tc>
        <w:tc>
          <w:tcPr>
            <w:tcW w:w="120" w:type="dxa"/>
            <w:vAlign w:val="bottom"/>
            <w:tcBorders>
              <w:bottom w:val="single" w:sz="8" w:color="D6F3E8"/>
            </w:tcBorders>
            <w:shd w:val="clear" w:color="auto" w:fill="D6F3E8"/>
          </w:tcPr>
          <w:p>
            <w:pPr>
              <w:spacing w:after="0"/>
              <w:rPr>
                <w:sz w:val="21"/>
                <w:szCs w:val="21"/>
                <w:color w:val="auto"/>
              </w:rPr>
            </w:pPr>
          </w:p>
        </w:tc>
        <w:tc>
          <w:tcPr>
            <w:tcW w:w="80" w:type="dxa"/>
            <w:vAlign w:val="bottom"/>
            <w:tcBorders>
              <w:bottom w:val="single" w:sz="8" w:color="D6F3E8"/>
            </w:tcBorders>
            <w:shd w:val="clear" w:color="auto" w:fill="D6F3E8"/>
          </w:tcPr>
          <w:p>
            <w:pPr>
              <w:spacing w:after="0"/>
              <w:rPr>
                <w:sz w:val="21"/>
                <w:szCs w:val="21"/>
                <w:color w:val="auto"/>
              </w:rPr>
            </w:pPr>
          </w:p>
        </w:tc>
        <w:tc>
          <w:tcPr>
            <w:tcW w:w="160" w:type="dxa"/>
            <w:vAlign w:val="bottom"/>
            <w:tcBorders>
              <w:top w:val="single" w:sz="8" w:color="auto"/>
              <w:bottom w:val="single" w:sz="8" w:color="auto"/>
            </w:tcBorders>
            <w:shd w:val="clear" w:color="auto" w:fill="D6F3E8"/>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21,327</w:t>
            </w:r>
          </w:p>
        </w:tc>
        <w:tc>
          <w:tcPr>
            <w:tcW w:w="80" w:type="dxa"/>
            <w:vAlign w:val="bottom"/>
            <w:tcBorders>
              <w:bottom w:val="single" w:sz="8" w:color="D6F3E8"/>
            </w:tcBorders>
            <w:shd w:val="clear" w:color="auto" w:fill="D6F3E8"/>
          </w:tcPr>
          <w:p>
            <w:pPr>
              <w:spacing w:after="0"/>
              <w:rPr>
                <w:sz w:val="21"/>
                <w:szCs w:val="21"/>
                <w:color w:val="auto"/>
              </w:rPr>
            </w:pPr>
          </w:p>
        </w:tc>
      </w:tr>
    </w:tbl>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0D0E00"/>
        </w:rPr>
        <w:t>The first in, first out (“FIFO”) value of inventories accounted for under the last in, first out (“LIFO”) method was $27.2 million at September 30, 2010 and $23.1 million at March 28, 2010. The remainder of the inventory was valued and accounted for under the FIFO method. The LIFO reserve decreased $0.1 million during the three months ended September 30, 2010 compared to $4.2 million the three months ended September 30, 2009. During the six months ended September 30, 2010, the LIFO reserve increased $0.7 million while the reserve decreased $7.0 million in the six months ended September 30, 2009 as a result of the changes in inventory costs and inventory product mix. The valuation of LIFO inventory for interim periods is based on our estimates of year-end inventory levels and costs.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0D0E00"/>
        </w:rPr>
        <w:t>Note 5 – Goodwill and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0D0E00"/>
        </w:rPr>
        <w:t>The carrying amount of goodwill as of September 30, 2010 and March 28, 2010 was $1.2 million.</w:t>
      </w:r>
    </w:p>
    <w:p>
      <w:pPr>
        <w:spacing w:after="0" w:line="25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0D0E00"/>
        </w:rPr>
        <w:t>Intangible assets consist primarily of customer lists, trade secrets and non-compete agreements classified as finite life and trademarks and trade names classified as indefinite life, related to previous business acquisitions. A summary of our intangible assets as of September 30, 2010 and March 28, 2010 were as follows:</w:t>
      </w:r>
    </w:p>
    <w:p>
      <w:pPr>
        <w:sectPr>
          <w:pgSz w:w="11900" w:h="16838" w:orient="portrait"/>
          <w:cols w:equalWidth="0" w:num="1">
            <w:col w:w="11420"/>
          </w:cols>
          <w:pgMar w:left="240" w:top="36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Finite-life intangible assets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Indefinite-life intangible assets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Total intangible assets,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Finite-life intangible assets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Indefinite-life intangible assets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Total intangible assets, net</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jc w:val="center"/>
        <w:ind w:right="2940"/>
        <w:spacing w:after="0"/>
        <w:rPr>
          <w:sz w:val="20"/>
          <w:szCs w:val="20"/>
          <w:color w:val="auto"/>
        </w:rPr>
      </w:pPr>
      <w:r>
        <w:rPr>
          <w:rFonts w:ascii="Arial" w:cs="Arial" w:eastAsia="Arial" w:hAnsi="Arial"/>
          <w:sz w:val="14"/>
          <w:szCs w:val="14"/>
          <w:b w:val="1"/>
          <w:bCs w:val="1"/>
          <w:color w:val="auto"/>
        </w:rPr>
        <w:t>September 30, 2010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60"/>
              <w:spacing w:after="0" w:line="119" w:lineRule="exact"/>
              <w:rPr>
                <w:sz w:val="20"/>
                <w:szCs w:val="20"/>
                <w:color w:val="auto"/>
              </w:rPr>
            </w:pPr>
            <w:r>
              <w:rPr>
                <w:rFonts w:ascii="Arial" w:cs="Arial" w:eastAsia="Arial" w:hAnsi="Arial"/>
                <w:sz w:val="13"/>
                <w:szCs w:val="13"/>
                <w:b w:val="1"/>
                <w:bCs w:val="1"/>
                <w:color w:val="auto"/>
                <w:w w:val="95"/>
              </w:rPr>
              <w:t>Gross</w:t>
            </w:r>
          </w:p>
        </w:tc>
        <w:tc>
          <w:tcPr>
            <w:tcW w:w="2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7"/>
              </w:rPr>
              <w:t>Accumulated</w:t>
            </w:r>
          </w:p>
        </w:tc>
        <w:tc>
          <w:tcPr>
            <w:tcW w:w="1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0"/>
        </w:trPr>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3,259</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(972)</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2,287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1,227</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4,486</w:t>
            </w:r>
          </w:p>
        </w:tc>
        <w:tc>
          <w:tcPr>
            <w:tcW w:w="24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(972</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March 28, 2010</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60"/>
              <w:spacing w:after="0" w:line="119" w:lineRule="exact"/>
              <w:rPr>
                <w:sz w:val="20"/>
                <w:szCs w:val="20"/>
                <w:color w:val="auto"/>
              </w:rPr>
            </w:pPr>
            <w:r>
              <w:rPr>
                <w:rFonts w:ascii="Arial" w:cs="Arial" w:eastAsia="Arial" w:hAnsi="Arial"/>
                <w:sz w:val="13"/>
                <w:szCs w:val="13"/>
                <w:b w:val="1"/>
                <w:bCs w:val="1"/>
                <w:color w:val="auto"/>
                <w:w w:val="95"/>
              </w:rPr>
              <w:t>Gross</w:t>
            </w:r>
          </w:p>
        </w:tc>
        <w:tc>
          <w:tcPr>
            <w:tcW w:w="240" w:type="dxa"/>
            <w:vAlign w:val="bottom"/>
          </w:tcPr>
          <w:p>
            <w:pPr>
              <w:spacing w:after="0"/>
              <w:rPr>
                <w:sz w:val="10"/>
                <w:szCs w:val="10"/>
                <w:color w:val="auto"/>
              </w:rPr>
            </w:pPr>
          </w:p>
        </w:tc>
        <w:tc>
          <w:tcPr>
            <w:tcW w:w="110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7"/>
              </w:rPr>
              <w:t>Accumulated</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0"/>
        </w:trPr>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3,259</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(851)</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2,408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1,227</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4,486</w:t>
            </w:r>
          </w:p>
        </w:tc>
        <w:tc>
          <w:tcPr>
            <w:tcW w:w="24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-1868805</wp:posOffset>
            </wp:positionV>
            <wp:extent cx="5428615"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28615" cy="154305"/>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-1560195</wp:posOffset>
            </wp:positionV>
            <wp:extent cx="542861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28615" cy="17145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-479425</wp:posOffset>
            </wp:positionV>
            <wp:extent cx="5428615"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28615" cy="154305"/>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-170815</wp:posOffset>
            </wp:positionV>
            <wp:extent cx="542861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2861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20" w:space="720"/>
            <w:col w:w="6280"/>
          </w:cols>
          <w:pgMar w:left="240" w:top="36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243205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0D0E00"/>
        </w:rPr>
        <w:t>Note 6 – Income Taxes</w:t>
      </w:r>
    </w:p>
    <w:p>
      <w:pPr>
        <w:spacing w:after="0" w:line="256"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0D0E00"/>
        </w:rPr>
        <w:t>In the preparation of our financial statements, management calculates income taxes based upon the estimated effective rate applicable to operating results for the full fiscal year. This includes estimating the current tax liability as well as assessing differences resulting from different treatment of items for tax and book accounting purposes. These differences result in deferred tax assets and liabilities, which are recorded on the balance sheet. These assets and liabilities are analyzed regularly and management assesses the likelihood that deferred tax assets will be recovered from future taxable income. We record any interest and penalties related to income taxes as income tax expense in the statements of income.</w:t>
      </w:r>
    </w:p>
    <w:p>
      <w:pPr>
        <w:spacing w:after="0" w:line="20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0D0E00"/>
        </w:rPr>
        <w:t>We recognize the effect of income tax positions only if those positions are more likely than not of being sustained. Changes in recognition or measurement are reflected in the period in which the change in judgment occurs.</w:t>
      </w:r>
    </w:p>
    <w:p>
      <w:pPr>
        <w:spacing w:after="0" w:line="197"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0D0E00"/>
        </w:rPr>
        <w:t>We are subject to U.S. federal income tax as well as income tax of multiple state jurisdictions. The tax years beginning with 2006 remain open to examination by the Internal Revenue Service, and with few exceptions, state and local income tax jurisdictions.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0D0E00"/>
        </w:rPr>
        <w:t>Note 7 – Accumulated Other Comprehensive Income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0D0E00"/>
        </w:rPr>
        <w:t>Components of accumulated other comprehensive income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March 28,</w:t>
            </w:r>
          </w:p>
        </w:tc>
        <w:tc>
          <w:tcPr>
            <w:tcW w:w="0" w:type="dxa"/>
            <w:vAlign w:val="bottom"/>
          </w:tcPr>
          <w:p>
            <w:pPr>
              <w:spacing w:after="0"/>
              <w:rPr>
                <w:sz w:val="1"/>
                <w:szCs w:val="1"/>
                <w:color w:val="auto"/>
              </w:rPr>
            </w:pPr>
          </w:p>
        </w:tc>
      </w:tr>
      <w:tr>
        <w:trPr>
          <w:trHeight w:val="171"/>
        </w:trPr>
        <w:tc>
          <w:tcPr>
            <w:tcW w:w="4920" w:type="dxa"/>
            <w:vAlign w:val="bottom"/>
            <w:tcBorders>
              <w:bottom w:val="single" w:sz="8" w:color="D6F3E8"/>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D6F3E8"/>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D6F3E8"/>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920" w:type="dxa"/>
            <w:vAlign w:val="bottom"/>
            <w:shd w:val="clear" w:color="auto" w:fill="D6F3E8"/>
          </w:tcPr>
          <w:p>
            <w:pPr>
              <w:spacing w:after="0"/>
              <w:rPr>
                <w:sz w:val="20"/>
                <w:szCs w:val="20"/>
                <w:color w:val="auto"/>
              </w:rPr>
            </w:pPr>
            <w:r>
              <w:rPr>
                <w:rFonts w:ascii="Arial" w:cs="Arial" w:eastAsia="Arial" w:hAnsi="Arial"/>
                <w:sz w:val="18"/>
                <w:szCs w:val="18"/>
                <w:color w:val="auto"/>
              </w:rPr>
              <w:t>Unrealized gain (loss) on:</w:t>
            </w:r>
          </w:p>
        </w:tc>
        <w:tc>
          <w:tcPr>
            <w:tcW w:w="200" w:type="dxa"/>
            <w:vAlign w:val="bottom"/>
            <w:shd w:val="clear" w:color="auto" w:fill="D6F3E8"/>
          </w:tcPr>
          <w:p>
            <w:pPr>
              <w:spacing w:after="0"/>
              <w:rPr>
                <w:sz w:val="20"/>
                <w:szCs w:val="20"/>
                <w:color w:val="auto"/>
              </w:rPr>
            </w:pPr>
          </w:p>
        </w:tc>
        <w:tc>
          <w:tcPr>
            <w:tcW w:w="700" w:type="dxa"/>
            <w:vAlign w:val="bottom"/>
            <w:shd w:val="clear" w:color="auto" w:fill="D6F3E8"/>
          </w:tcPr>
          <w:p>
            <w:pPr>
              <w:spacing w:after="0"/>
              <w:rPr>
                <w:sz w:val="20"/>
                <w:szCs w:val="20"/>
                <w:color w:val="auto"/>
              </w:rPr>
            </w:pPr>
          </w:p>
        </w:tc>
        <w:tc>
          <w:tcPr>
            <w:tcW w:w="220" w:type="dxa"/>
            <w:vAlign w:val="bottom"/>
            <w:shd w:val="clear" w:color="auto" w:fill="D6F3E8"/>
          </w:tcPr>
          <w:p>
            <w:pPr>
              <w:spacing w:after="0"/>
              <w:rPr>
                <w:sz w:val="20"/>
                <w:szCs w:val="20"/>
                <w:color w:val="auto"/>
              </w:rPr>
            </w:pPr>
          </w:p>
        </w:tc>
        <w:tc>
          <w:tcPr>
            <w:tcW w:w="160" w:type="dxa"/>
            <w:vAlign w:val="bottom"/>
            <w:shd w:val="clear" w:color="auto" w:fill="D6F3E8"/>
          </w:tcPr>
          <w:p>
            <w:pPr>
              <w:spacing w:after="0"/>
              <w:rPr>
                <w:sz w:val="20"/>
                <w:szCs w:val="20"/>
                <w:color w:val="auto"/>
              </w:rPr>
            </w:pPr>
          </w:p>
        </w:tc>
        <w:tc>
          <w:tcPr>
            <w:tcW w:w="580" w:type="dxa"/>
            <w:vAlign w:val="bottom"/>
            <w:shd w:val="clear" w:color="auto" w:fill="D6F3E8"/>
          </w:tcPr>
          <w:p>
            <w:pPr>
              <w:spacing w:after="0"/>
              <w:rPr>
                <w:sz w:val="20"/>
                <w:szCs w:val="20"/>
                <w:color w:val="auto"/>
              </w:rPr>
            </w:pPr>
          </w:p>
        </w:tc>
        <w:tc>
          <w:tcPr>
            <w:tcW w:w="8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Available-for-sale investments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580" w:type="dxa"/>
            <w:vAlign w:val="bottom"/>
          </w:tcPr>
          <w:p>
            <w:pPr>
              <w:jc w:val="center"/>
              <w:ind w:left="314"/>
              <w:spacing w:after="0"/>
              <w:rPr>
                <w:sz w:val="20"/>
                <w:szCs w:val="20"/>
                <w:color w:val="auto"/>
              </w:rPr>
            </w:pPr>
            <w:r>
              <w:rPr>
                <w:rFonts w:ascii="Arial" w:cs="Arial" w:eastAsia="Arial" w:hAnsi="Arial"/>
                <w:sz w:val="18"/>
                <w:szCs w:val="18"/>
                <w:color w:val="auto"/>
                <w:w w:val="89"/>
              </w:rPr>
              <w:t>66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shd w:val="clear" w:color="auto" w:fill="D6F3E8"/>
          </w:tcPr>
          <w:p>
            <w:pPr>
              <w:ind w:left="180"/>
              <w:spacing w:after="0"/>
              <w:rPr>
                <w:sz w:val="20"/>
                <w:szCs w:val="20"/>
                <w:color w:val="auto"/>
              </w:rPr>
            </w:pPr>
            <w:r>
              <w:rPr>
                <w:rFonts w:ascii="Arial" w:cs="Arial" w:eastAsia="Arial" w:hAnsi="Arial"/>
                <w:sz w:val="18"/>
                <w:szCs w:val="18"/>
                <w:color w:val="auto"/>
              </w:rPr>
              <w:t>Post-retirement plan liability adjustments</w:t>
            </w:r>
          </w:p>
        </w:tc>
        <w:tc>
          <w:tcPr>
            <w:tcW w:w="200" w:type="dxa"/>
            <w:vAlign w:val="bottom"/>
            <w:shd w:val="clear" w:color="auto" w:fill="D6F3E8"/>
          </w:tcPr>
          <w:p>
            <w:pPr>
              <w:spacing w:after="0"/>
              <w:rPr>
                <w:sz w:val="21"/>
                <w:szCs w:val="21"/>
                <w:color w:val="auto"/>
              </w:rPr>
            </w:pPr>
          </w:p>
        </w:tc>
        <w:tc>
          <w:tcPr>
            <w:tcW w:w="92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D6F3E8"/>
          </w:tcPr>
          <w:p>
            <w:pPr>
              <w:spacing w:after="0"/>
              <w:rPr>
                <w:sz w:val="21"/>
                <w:szCs w:val="21"/>
                <w:color w:val="auto"/>
              </w:rPr>
            </w:pPr>
          </w:p>
        </w:tc>
        <w:tc>
          <w:tcPr>
            <w:tcW w:w="660" w:type="dxa"/>
            <w:vAlign w:val="bottom"/>
            <w:gridSpan w:val="2"/>
            <w:shd w:val="clear" w:color="auto" w:fill="D6F3E8"/>
          </w:tcPr>
          <w:p>
            <w:pPr>
              <w:jc w:val="center"/>
              <w:ind w:left="234"/>
              <w:spacing w:after="0"/>
              <w:rPr>
                <w:sz w:val="20"/>
                <w:szCs w:val="20"/>
                <w:color w:val="auto"/>
              </w:rPr>
            </w:pPr>
            <w:r>
              <w:rPr>
                <w:rFonts w:ascii="Arial" w:cs="Arial" w:eastAsia="Arial" w:hAnsi="Arial"/>
                <w:sz w:val="18"/>
                <w:szCs w:val="18"/>
                <w:color w:val="auto"/>
                <w:w w:val="93"/>
              </w:rPr>
              <w:t>(29)</w:t>
            </w:r>
          </w:p>
        </w:tc>
        <w:tc>
          <w:tcPr>
            <w:tcW w:w="0" w:type="dxa"/>
            <w:vAlign w:val="bottom"/>
          </w:tcPr>
          <w:p>
            <w:pPr>
              <w:spacing w:after="0"/>
              <w:rPr>
                <w:sz w:val="1"/>
                <w:szCs w:val="1"/>
                <w:color w:val="auto"/>
              </w:rPr>
            </w:pPr>
          </w:p>
        </w:tc>
      </w:tr>
      <w:tr>
        <w:trPr>
          <w:trHeight w:val="210"/>
        </w:trPr>
        <w:tc>
          <w:tcPr>
            <w:tcW w:w="492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center"/>
              <w:ind w:left="314"/>
              <w:spacing w:after="0"/>
              <w:rPr>
                <w:sz w:val="20"/>
                <w:szCs w:val="20"/>
                <w:color w:val="auto"/>
              </w:rPr>
            </w:pPr>
            <w:r>
              <w:rPr>
                <w:rFonts w:ascii="Arial" w:cs="Arial" w:eastAsia="Arial" w:hAnsi="Arial"/>
                <w:sz w:val="18"/>
                <w:szCs w:val="18"/>
                <w:color w:val="auto"/>
                <w:w w:val="89"/>
              </w:rPr>
              <w:t>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0D0E00"/>
        </w:rPr>
        <w:t>Note 8 – Stock Based Compensation</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0D0E00"/>
        </w:rPr>
        <w:t xml:space="preserve">Stock Option Awards. </w:t>
      </w:r>
      <w:r>
        <w:rPr>
          <w:rFonts w:ascii="Arial" w:cs="Arial" w:eastAsia="Arial" w:hAnsi="Arial"/>
          <w:sz w:val="18"/>
          <w:szCs w:val="18"/>
          <w:color w:val="0D0E00"/>
        </w:rPr>
        <w:t>Our Board of Directors approved a long-term incentive equity compensation arrangement for our executive officers during the first</w:t>
      </w:r>
      <w:r>
        <w:rPr>
          <w:rFonts w:ascii="Arial" w:cs="Arial" w:eastAsia="Arial" w:hAnsi="Arial"/>
          <w:sz w:val="18"/>
          <w:szCs w:val="18"/>
          <w:i w:val="1"/>
          <w:iCs w:val="1"/>
          <w:color w:val="0D0E00"/>
        </w:rPr>
        <w:t xml:space="preserve"> </w:t>
      </w:r>
      <w:r>
        <w:rPr>
          <w:rFonts w:ascii="Arial" w:cs="Arial" w:eastAsia="Arial" w:hAnsi="Arial"/>
          <w:sz w:val="18"/>
          <w:szCs w:val="18"/>
          <w:color w:val="0D0E00"/>
        </w:rPr>
        <w:t>quarter of fiscal 2009. This long-term incentive arrangement provides for the grant of nonqualified stock options that vest at the end of a three-year period and expire no later than 10 years after the grant date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0D0E00"/>
        </w:rPr>
        <w:t>The following table represents the stock option activity for the six months ended September 30, 2010:</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0D0E00"/>
                <w:w w:val="91"/>
              </w:rPr>
              <w:t>Weighted-</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0D0E00"/>
                <w:w w:val="90"/>
              </w:rPr>
              <w:t>Average</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9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0D0E00"/>
              </w:rPr>
              <w:t>Shares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0D0E00"/>
                <w:w w:val="90"/>
              </w:rPr>
              <w:t>Exercise</w:t>
            </w:r>
          </w:p>
        </w:tc>
        <w:tc>
          <w:tcPr>
            <w:tcW w:w="940" w:type="dxa"/>
            <w:vAlign w:val="bottom"/>
            <w:vMerge w:val="restart"/>
          </w:tcPr>
          <w:p>
            <w:pPr>
              <w:ind w:left="120"/>
              <w:spacing w:after="0"/>
              <w:rPr>
                <w:sz w:val="20"/>
                <w:szCs w:val="20"/>
                <w:color w:val="auto"/>
              </w:rPr>
            </w:pPr>
            <w:r>
              <w:rPr>
                <w:rFonts w:ascii="Arial" w:cs="Arial" w:eastAsia="Arial" w:hAnsi="Arial"/>
                <w:sz w:val="14"/>
                <w:szCs w:val="14"/>
                <w:b w:val="1"/>
                <w:bCs w:val="1"/>
                <w:color w:val="0D0E00"/>
              </w:rPr>
              <w:t>Exercisable</w:t>
            </w:r>
          </w:p>
        </w:tc>
        <w:tc>
          <w:tcPr>
            <w:tcW w:w="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40" w:type="dxa"/>
            <w:vAlign w:val="bottom"/>
            <w:tcBorders>
              <w:bottom w:val="single" w:sz="8" w:color="D6F3E8"/>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D6F3E8"/>
            </w:tcBorders>
            <w:vMerge w:val="continue"/>
          </w:tcPr>
          <w:p>
            <w:pPr>
              <w:spacing w:after="0"/>
              <w:rPr>
                <w:sz w:val="14"/>
                <w:szCs w:val="14"/>
                <w:color w:val="auto"/>
              </w:rPr>
            </w:pPr>
          </w:p>
        </w:tc>
        <w:tc>
          <w:tcPr>
            <w:tcW w:w="140" w:type="dxa"/>
            <w:vAlign w:val="bottom"/>
            <w:tcBorders>
              <w:bottom w:val="single" w:sz="8" w:color="D6F3E8"/>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0D0E00"/>
                <w:w w:val="93"/>
              </w:rPr>
              <w:t>Price</w:t>
            </w:r>
          </w:p>
        </w:tc>
        <w:tc>
          <w:tcPr>
            <w:tcW w:w="240" w:type="dxa"/>
            <w:vAlign w:val="bottom"/>
            <w:tcBorders>
              <w:bottom w:val="single" w:sz="8" w:color="D6F3E8"/>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D6F3E8"/>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140" w:type="dxa"/>
            <w:vAlign w:val="bottom"/>
            <w:shd w:val="clear" w:color="auto" w:fill="D6F3E8"/>
          </w:tcPr>
          <w:p>
            <w:pPr>
              <w:spacing w:after="0"/>
              <w:rPr>
                <w:sz w:val="20"/>
                <w:szCs w:val="20"/>
                <w:color w:val="auto"/>
              </w:rPr>
            </w:pPr>
            <w:r>
              <w:rPr>
                <w:rFonts w:ascii="Arial" w:cs="Arial" w:eastAsia="Arial" w:hAnsi="Arial"/>
                <w:sz w:val="18"/>
                <w:szCs w:val="18"/>
                <w:color w:val="0D0E00"/>
              </w:rPr>
              <w:t>Outstanding at beginning of period</w:t>
            </w:r>
          </w:p>
        </w:tc>
        <w:tc>
          <w:tcPr>
            <w:tcW w:w="108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0D0E00"/>
              </w:rPr>
              <w:t>131,997</w:t>
            </w:r>
          </w:p>
        </w:tc>
        <w:tc>
          <w:tcPr>
            <w:tcW w:w="26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0D0E00"/>
              </w:rPr>
              <w:t>$</w:t>
            </w:r>
          </w:p>
        </w:tc>
        <w:tc>
          <w:tcPr>
            <w:tcW w:w="106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0D0E00"/>
              </w:rPr>
              <w:t>17.82</w:t>
            </w:r>
          </w:p>
        </w:tc>
        <w:tc>
          <w:tcPr>
            <w:tcW w:w="1020" w:type="dxa"/>
            <w:vAlign w:val="bottom"/>
            <w:gridSpan w:val="2"/>
            <w:shd w:val="clear" w:color="auto" w:fill="D6F3E8"/>
          </w:tcPr>
          <w:p>
            <w:pPr>
              <w:ind w:left="760"/>
              <w:spacing w:after="0"/>
              <w:rPr>
                <w:sz w:val="20"/>
                <w:szCs w:val="20"/>
                <w:color w:val="auto"/>
              </w:rPr>
            </w:pPr>
            <w:r>
              <w:rPr>
                <w:rFonts w:ascii="Arial" w:cs="Arial" w:eastAsia="Arial" w:hAnsi="Arial"/>
                <w:sz w:val="18"/>
                <w:szCs w:val="18"/>
                <w:color w:val="0D0E00"/>
              </w:rPr>
              <w:t>—</w:t>
            </w:r>
          </w:p>
        </w:tc>
        <w:tc>
          <w:tcPr>
            <w:tcW w:w="0" w:type="dxa"/>
            <w:vAlign w:val="bottom"/>
          </w:tcPr>
          <w:p>
            <w:pPr>
              <w:spacing w:after="0"/>
              <w:rPr>
                <w:sz w:val="1"/>
                <w:szCs w:val="1"/>
                <w:color w:val="auto"/>
              </w:rPr>
            </w:pP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0D0E00"/>
              </w:rPr>
              <w:t>Granted</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0D0E00"/>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0D0E00"/>
              </w:rPr>
              <w:t>—</w:t>
            </w:r>
          </w:p>
        </w:tc>
        <w:tc>
          <w:tcPr>
            <w:tcW w:w="1020" w:type="dxa"/>
            <w:vAlign w:val="bottom"/>
            <w:gridSpan w:val="2"/>
          </w:tcPr>
          <w:p>
            <w:pPr>
              <w:ind w:left="760"/>
              <w:spacing w:after="0"/>
              <w:rPr>
                <w:sz w:val="20"/>
                <w:szCs w:val="20"/>
                <w:color w:val="auto"/>
              </w:rPr>
            </w:pPr>
            <w:r>
              <w:rPr>
                <w:rFonts w:ascii="Arial" w:cs="Arial" w:eastAsia="Arial" w:hAnsi="Arial"/>
                <w:sz w:val="18"/>
                <w:szCs w:val="18"/>
                <w:color w:val="0D0E00"/>
              </w:rPr>
              <w:t>—</w:t>
            </w:r>
          </w:p>
        </w:tc>
        <w:tc>
          <w:tcPr>
            <w:tcW w:w="0" w:type="dxa"/>
            <w:vAlign w:val="bottom"/>
          </w:tcPr>
          <w:p>
            <w:pPr>
              <w:spacing w:after="0"/>
              <w:rPr>
                <w:sz w:val="1"/>
                <w:szCs w:val="1"/>
                <w:color w:val="auto"/>
              </w:rPr>
            </w:pPr>
          </w:p>
        </w:tc>
      </w:tr>
      <w:tr>
        <w:trPr>
          <w:trHeight w:val="243"/>
        </w:trPr>
        <w:tc>
          <w:tcPr>
            <w:tcW w:w="5140" w:type="dxa"/>
            <w:vAlign w:val="bottom"/>
            <w:shd w:val="clear" w:color="auto" w:fill="D6F3E8"/>
          </w:tcPr>
          <w:p>
            <w:pPr>
              <w:spacing w:after="0"/>
              <w:rPr>
                <w:sz w:val="20"/>
                <w:szCs w:val="20"/>
                <w:color w:val="auto"/>
              </w:rPr>
            </w:pPr>
            <w:r>
              <w:rPr>
                <w:rFonts w:ascii="Arial" w:cs="Arial" w:eastAsia="Arial" w:hAnsi="Arial"/>
                <w:sz w:val="18"/>
                <w:szCs w:val="18"/>
                <w:color w:val="0D0E00"/>
              </w:rPr>
              <w:t>Exercised</w:t>
            </w:r>
          </w:p>
        </w:tc>
        <w:tc>
          <w:tcPr>
            <w:tcW w:w="108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0D0E00"/>
              </w:rPr>
              <w:t>—</w:t>
            </w:r>
          </w:p>
        </w:tc>
        <w:tc>
          <w:tcPr>
            <w:tcW w:w="140" w:type="dxa"/>
            <w:vAlign w:val="bottom"/>
            <w:shd w:val="clear" w:color="auto" w:fill="D6F3E8"/>
          </w:tcPr>
          <w:p>
            <w:pPr>
              <w:spacing w:after="0"/>
              <w:rPr>
                <w:sz w:val="21"/>
                <w:szCs w:val="21"/>
                <w:color w:val="auto"/>
              </w:rPr>
            </w:pPr>
          </w:p>
        </w:tc>
        <w:tc>
          <w:tcPr>
            <w:tcW w:w="120" w:type="dxa"/>
            <w:vAlign w:val="bottom"/>
            <w:shd w:val="clear" w:color="auto" w:fill="D6F3E8"/>
          </w:tcPr>
          <w:p>
            <w:pPr>
              <w:spacing w:after="0"/>
              <w:rPr>
                <w:sz w:val="21"/>
                <w:szCs w:val="21"/>
                <w:color w:val="auto"/>
              </w:rPr>
            </w:pPr>
          </w:p>
        </w:tc>
        <w:tc>
          <w:tcPr>
            <w:tcW w:w="106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0D0E00"/>
              </w:rPr>
              <w:t>—</w:t>
            </w:r>
          </w:p>
        </w:tc>
        <w:tc>
          <w:tcPr>
            <w:tcW w:w="1020" w:type="dxa"/>
            <w:vAlign w:val="bottom"/>
            <w:gridSpan w:val="2"/>
            <w:shd w:val="clear" w:color="auto" w:fill="D6F3E8"/>
          </w:tcPr>
          <w:p>
            <w:pPr>
              <w:ind w:left="760"/>
              <w:spacing w:after="0"/>
              <w:rPr>
                <w:sz w:val="20"/>
                <w:szCs w:val="20"/>
                <w:color w:val="auto"/>
              </w:rPr>
            </w:pPr>
            <w:r>
              <w:rPr>
                <w:rFonts w:ascii="Arial" w:cs="Arial" w:eastAsia="Arial" w:hAnsi="Arial"/>
                <w:sz w:val="18"/>
                <w:szCs w:val="18"/>
                <w:color w:val="0D0E00"/>
              </w:rPr>
              <w:t>—</w:t>
            </w:r>
          </w:p>
        </w:tc>
        <w:tc>
          <w:tcPr>
            <w:tcW w:w="0" w:type="dxa"/>
            <w:vAlign w:val="bottom"/>
          </w:tcPr>
          <w:p>
            <w:pPr>
              <w:spacing w:after="0"/>
              <w:rPr>
                <w:sz w:val="1"/>
                <w:szCs w:val="1"/>
                <w:color w:val="auto"/>
              </w:rPr>
            </w:pP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0D0E00"/>
              </w:rPr>
              <w:t>Forfeited or expired</w:t>
            </w:r>
          </w:p>
        </w:tc>
        <w:tc>
          <w:tcPr>
            <w:tcW w:w="960" w:type="dxa"/>
            <w:vAlign w:val="bottom"/>
          </w:tcPr>
          <w:p>
            <w:pPr>
              <w:jc w:val="right"/>
              <w:spacing w:after="0"/>
              <w:rPr>
                <w:sz w:val="20"/>
                <w:szCs w:val="20"/>
                <w:color w:val="auto"/>
              </w:rPr>
            </w:pPr>
            <w:r>
              <w:rPr>
                <w:rFonts w:ascii="Arial" w:cs="Arial" w:eastAsia="Arial" w:hAnsi="Arial"/>
                <w:sz w:val="18"/>
                <w:szCs w:val="18"/>
                <w:color w:val="0D0E00"/>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0D0E00"/>
              </w:rPr>
              <w:t>—</w:t>
            </w:r>
          </w:p>
        </w:tc>
        <w:tc>
          <w:tcPr>
            <w:tcW w:w="1020" w:type="dxa"/>
            <w:vAlign w:val="bottom"/>
            <w:gridSpan w:val="2"/>
          </w:tcPr>
          <w:p>
            <w:pPr>
              <w:ind w:left="760"/>
              <w:spacing w:after="0"/>
              <w:rPr>
                <w:sz w:val="20"/>
                <w:szCs w:val="20"/>
                <w:color w:val="auto"/>
              </w:rPr>
            </w:pPr>
            <w:r>
              <w:rPr>
                <w:rFonts w:ascii="Arial" w:cs="Arial" w:eastAsia="Arial" w:hAnsi="Arial"/>
                <w:sz w:val="18"/>
                <w:szCs w:val="18"/>
                <w:color w:val="0D0E00"/>
              </w:rPr>
              <w:t>—</w:t>
            </w:r>
          </w:p>
        </w:tc>
        <w:tc>
          <w:tcPr>
            <w:tcW w:w="0" w:type="dxa"/>
            <w:vAlign w:val="bottom"/>
          </w:tcPr>
          <w:p>
            <w:pPr>
              <w:spacing w:after="0"/>
              <w:rPr>
                <w:sz w:val="1"/>
                <w:szCs w:val="1"/>
                <w:color w:val="auto"/>
              </w:rPr>
            </w:pPr>
          </w:p>
        </w:tc>
      </w:tr>
      <w:tr>
        <w:trPr>
          <w:trHeight w:val="20"/>
        </w:trPr>
        <w:tc>
          <w:tcPr>
            <w:tcW w:w="5140" w:type="dxa"/>
            <w:vAlign w:val="bottom"/>
            <w:shd w:val="clear" w:color="auto" w:fill="D6F3E8"/>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140" w:type="dxa"/>
            <w:vAlign w:val="bottom"/>
            <w:shd w:val="clear" w:color="auto" w:fill="D6F3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D6F3E8"/>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40" w:type="dxa"/>
            <w:vAlign w:val="bottom"/>
            <w:shd w:val="clear" w:color="auto" w:fill="D6F3E8"/>
          </w:tcPr>
          <w:p>
            <w:pPr>
              <w:spacing w:after="0"/>
              <w:rPr>
                <w:sz w:val="20"/>
                <w:szCs w:val="20"/>
                <w:color w:val="auto"/>
              </w:rPr>
            </w:pPr>
            <w:r>
              <w:rPr>
                <w:rFonts w:ascii="Arial" w:cs="Arial" w:eastAsia="Arial" w:hAnsi="Arial"/>
                <w:sz w:val="18"/>
                <w:szCs w:val="18"/>
                <w:color w:val="0D0E00"/>
              </w:rPr>
              <w:t>Outstanding at end of period</w:t>
            </w: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0D0E00"/>
              </w:rPr>
              <w:t>131,997</w:t>
            </w:r>
          </w:p>
        </w:tc>
        <w:tc>
          <w:tcPr>
            <w:tcW w:w="120" w:type="dxa"/>
            <w:vAlign w:val="bottom"/>
            <w:shd w:val="clear" w:color="auto" w:fill="D6F3E8"/>
          </w:tcPr>
          <w:p>
            <w:pPr>
              <w:spacing w:after="0"/>
              <w:rPr>
                <w:sz w:val="20"/>
                <w:szCs w:val="20"/>
                <w:color w:val="auto"/>
              </w:rPr>
            </w:pPr>
          </w:p>
        </w:tc>
        <w:tc>
          <w:tcPr>
            <w:tcW w:w="26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0D0E00"/>
              </w:rPr>
              <w:t>$</w:t>
            </w:r>
          </w:p>
        </w:tc>
        <w:tc>
          <w:tcPr>
            <w:tcW w:w="106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0D0E00"/>
              </w:rPr>
              <w:t>17.82</w:t>
            </w:r>
          </w:p>
        </w:tc>
        <w:tc>
          <w:tcPr>
            <w:tcW w:w="1020" w:type="dxa"/>
            <w:vAlign w:val="bottom"/>
            <w:gridSpan w:val="2"/>
            <w:shd w:val="clear" w:color="auto" w:fill="D6F3E8"/>
          </w:tcPr>
          <w:p>
            <w:pPr>
              <w:ind w:left="760"/>
              <w:spacing w:after="0"/>
              <w:rPr>
                <w:sz w:val="20"/>
                <w:szCs w:val="20"/>
                <w:color w:val="auto"/>
              </w:rPr>
            </w:pPr>
            <w:r>
              <w:rPr>
                <w:rFonts w:ascii="Arial" w:cs="Arial" w:eastAsia="Arial" w:hAnsi="Arial"/>
                <w:sz w:val="18"/>
                <w:szCs w:val="18"/>
                <w:color w:val="0D0E00"/>
              </w:rPr>
              <w:t>—</w:t>
            </w:r>
          </w:p>
        </w:tc>
        <w:tc>
          <w:tcPr>
            <w:tcW w:w="0" w:type="dxa"/>
            <w:vAlign w:val="bottom"/>
          </w:tcPr>
          <w:p>
            <w:pPr>
              <w:spacing w:after="0"/>
              <w:rPr>
                <w:sz w:val="1"/>
                <w:szCs w:val="1"/>
                <w:color w:val="auto"/>
              </w:rPr>
            </w:pPr>
          </w:p>
        </w:tc>
      </w:tr>
      <w:tr>
        <w:trPr>
          <w:trHeight w:val="20"/>
        </w:trPr>
        <w:tc>
          <w:tcPr>
            <w:tcW w:w="5140" w:type="dxa"/>
            <w:vAlign w:val="bottom"/>
            <w:tcBorders>
              <w:top w:val="single" w:sz="8" w:color="D6F3E8"/>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D6F3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D6F3E8"/>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0D0E00"/>
        </w:rPr>
        <w:t>Compensation expense for the three months ended September 30, 2010 and 2009 related to stock options was not material. We recorded $0.1 million in compensation expense related to stock options for the six month periods ended September 30, 2010 and 2009.</w:t>
      </w:r>
    </w:p>
    <w:p>
      <w:pPr>
        <w:spacing w:after="0" w:line="19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0D0E00"/>
        </w:rPr>
        <w:t xml:space="preserve">Performance-Based Restricted Stock Units. </w:t>
      </w:r>
      <w:r>
        <w:rPr>
          <w:rFonts w:ascii="Arial" w:cs="Arial" w:eastAsia="Arial" w:hAnsi="Arial"/>
          <w:sz w:val="17"/>
          <w:szCs w:val="17"/>
          <w:color w:val="0D0E00"/>
        </w:rPr>
        <w:t>Our Board of Directors approved a performance-based equity compensation arrangement for our executive</w:t>
      </w:r>
      <w:r>
        <w:rPr>
          <w:rFonts w:ascii="Arial" w:cs="Arial" w:eastAsia="Arial" w:hAnsi="Arial"/>
          <w:sz w:val="17"/>
          <w:szCs w:val="17"/>
          <w:i w:val="1"/>
          <w:iCs w:val="1"/>
          <w:color w:val="0D0E00"/>
        </w:rPr>
        <w:t xml:space="preserve"> </w:t>
      </w:r>
      <w:r>
        <w:rPr>
          <w:rFonts w:ascii="Arial" w:cs="Arial" w:eastAsia="Arial" w:hAnsi="Arial"/>
          <w:sz w:val="17"/>
          <w:szCs w:val="17"/>
          <w:color w:val="0D0E00"/>
        </w:rPr>
        <w:t>officers during the first quarter of fiscal 2009. This performance-based arrangement provides for the grant of performance-based restricted stock units that represent a possible future issuance of restricted shares of our common stock based on our pre-tax income target for the applicable fiscal year. The actual number of restricted shares to be issued to each executive officer will be determined when our final financial information becomes available after the applicable fiscal year and will be between zero shares and 73,387 shares in the aggregate for fiscal 2011. The restricted shares issued will fully vest two years after the last day of the fisc al year on which the performance is based. We are recording the compensation expense for the outstanding performance share units and then-converted restricted stock over the life of the awards.</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0D0E00"/>
        </w:rPr>
        <w:t>On June 10, 2009 and June 2, 2010, we awarded performance-based restricted stock units to our executive officers under this arrangement. The following table represents the restricted stock activity for the six months ended September 30, 2010:</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0D0E00"/>
                <w:w w:val="97"/>
              </w:rPr>
              <w:t>Weighted-</w:t>
            </w: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76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0D0E00"/>
              </w:rPr>
              <w:t>Shares</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0D0E00"/>
                <w:w w:val="95"/>
              </w:rPr>
              <w:t>Average Grant</w:t>
            </w: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0D0E00"/>
              </w:rPr>
              <w:t>Date Fair Value</w:t>
            </w:r>
          </w:p>
        </w:tc>
        <w:tc>
          <w:tcPr>
            <w:tcW w:w="0" w:type="dxa"/>
            <w:vAlign w:val="bottom"/>
          </w:tcPr>
          <w:p>
            <w:pPr>
              <w:spacing w:after="0"/>
              <w:rPr>
                <w:sz w:val="1"/>
                <w:szCs w:val="1"/>
                <w:color w:val="auto"/>
              </w:rPr>
            </w:pPr>
          </w:p>
        </w:tc>
      </w:tr>
      <w:tr>
        <w:trPr>
          <w:trHeight w:val="20"/>
        </w:trPr>
        <w:tc>
          <w:tcPr>
            <w:tcW w:w="4860" w:type="dxa"/>
            <w:vAlign w:val="bottom"/>
            <w:shd w:val="clear" w:color="auto" w:fill="D6F3E8"/>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60" w:type="dxa"/>
            <w:vAlign w:val="bottom"/>
            <w:shd w:val="clear" w:color="auto" w:fill="D6F3E8"/>
          </w:tcPr>
          <w:p>
            <w:pPr>
              <w:spacing w:after="0"/>
              <w:rPr>
                <w:sz w:val="20"/>
                <w:szCs w:val="20"/>
                <w:color w:val="auto"/>
              </w:rPr>
            </w:pPr>
            <w:r>
              <w:rPr>
                <w:rFonts w:ascii="Arial" w:cs="Arial" w:eastAsia="Arial" w:hAnsi="Arial"/>
                <w:sz w:val="18"/>
                <w:szCs w:val="18"/>
                <w:color w:val="0D0E00"/>
              </w:rPr>
              <w:t>Outstanding at beginning of period</w:t>
            </w:r>
          </w:p>
        </w:tc>
        <w:tc>
          <w:tcPr>
            <w:tcW w:w="760" w:type="dxa"/>
            <w:vAlign w:val="bottom"/>
            <w:shd w:val="clear" w:color="auto" w:fill="D6F3E8"/>
          </w:tcPr>
          <w:p>
            <w:pPr>
              <w:jc w:val="right"/>
              <w:spacing w:after="0"/>
              <w:rPr>
                <w:sz w:val="20"/>
                <w:szCs w:val="20"/>
                <w:color w:val="auto"/>
              </w:rPr>
            </w:pPr>
            <w:r>
              <w:rPr>
                <w:rFonts w:ascii="Arial" w:cs="Arial" w:eastAsia="Arial" w:hAnsi="Arial"/>
                <w:sz w:val="18"/>
                <w:szCs w:val="18"/>
                <w:color w:val="0D0E00"/>
              </w:rPr>
              <w:t>23,000</w:t>
            </w:r>
          </w:p>
        </w:tc>
        <w:tc>
          <w:tcPr>
            <w:tcW w:w="100" w:type="dxa"/>
            <w:vAlign w:val="bottom"/>
            <w:shd w:val="clear" w:color="auto" w:fill="D6F3E8"/>
          </w:tcPr>
          <w:p>
            <w:pPr>
              <w:spacing w:after="0"/>
              <w:rPr>
                <w:sz w:val="20"/>
                <w:szCs w:val="20"/>
                <w:color w:val="auto"/>
              </w:rPr>
            </w:pPr>
          </w:p>
        </w:tc>
        <w:tc>
          <w:tcPr>
            <w:tcW w:w="220" w:type="dxa"/>
            <w:vAlign w:val="bottom"/>
            <w:gridSpan w:val="2"/>
            <w:shd w:val="clear" w:color="auto" w:fill="D6F3E8"/>
          </w:tcPr>
          <w:p>
            <w:pPr>
              <w:ind w:left="100"/>
              <w:spacing w:after="0"/>
              <w:rPr>
                <w:sz w:val="20"/>
                <w:szCs w:val="20"/>
                <w:color w:val="auto"/>
              </w:rPr>
            </w:pPr>
            <w:r>
              <w:rPr>
                <w:rFonts w:ascii="Arial" w:cs="Arial" w:eastAsia="Arial" w:hAnsi="Arial"/>
                <w:sz w:val="18"/>
                <w:szCs w:val="18"/>
                <w:color w:val="0D0E00"/>
                <w:w w:val="99"/>
              </w:rPr>
              <w:t>$</w:t>
            </w:r>
          </w:p>
        </w:tc>
        <w:tc>
          <w:tcPr>
            <w:tcW w:w="92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0D0E00"/>
              </w:rPr>
              <w:t>19.90</w:t>
            </w:r>
          </w:p>
        </w:tc>
        <w:tc>
          <w:tcPr>
            <w:tcW w:w="0" w:type="dxa"/>
            <w:vAlign w:val="bottom"/>
          </w:tcPr>
          <w:p>
            <w:pPr>
              <w:spacing w:after="0"/>
              <w:rPr>
                <w:sz w:val="1"/>
                <w:szCs w:val="1"/>
                <w:color w:val="auto"/>
              </w:rPr>
            </w:pPr>
          </w:p>
        </w:tc>
      </w:tr>
      <w:tr>
        <w:trPr>
          <w:trHeight w:val="243"/>
        </w:trPr>
        <w:tc>
          <w:tcPr>
            <w:tcW w:w="4860" w:type="dxa"/>
            <w:vAlign w:val="bottom"/>
          </w:tcPr>
          <w:p>
            <w:pPr>
              <w:spacing w:after="0"/>
              <w:rPr>
                <w:sz w:val="20"/>
                <w:szCs w:val="20"/>
                <w:color w:val="auto"/>
              </w:rPr>
            </w:pPr>
            <w:r>
              <w:rPr>
                <w:rFonts w:ascii="Arial" w:cs="Arial" w:eastAsia="Arial" w:hAnsi="Arial"/>
                <w:sz w:val="18"/>
                <w:szCs w:val="18"/>
                <w:color w:val="0D0E00"/>
              </w:rPr>
              <w:t>Granted</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0D0E00"/>
              </w:rPr>
              <w:t>26,500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0D0E00"/>
              </w:rPr>
              <w:t>25.81</w:t>
            </w:r>
          </w:p>
        </w:tc>
        <w:tc>
          <w:tcPr>
            <w:tcW w:w="0" w:type="dxa"/>
            <w:vAlign w:val="bottom"/>
          </w:tcPr>
          <w:p>
            <w:pPr>
              <w:spacing w:after="0"/>
              <w:rPr>
                <w:sz w:val="1"/>
                <w:szCs w:val="1"/>
                <w:color w:val="auto"/>
              </w:rPr>
            </w:pPr>
          </w:p>
        </w:tc>
      </w:tr>
      <w:tr>
        <w:trPr>
          <w:trHeight w:val="243"/>
        </w:trPr>
        <w:tc>
          <w:tcPr>
            <w:tcW w:w="4860" w:type="dxa"/>
            <w:vAlign w:val="bottom"/>
            <w:shd w:val="clear" w:color="auto" w:fill="D6F3E8"/>
          </w:tcPr>
          <w:p>
            <w:pPr>
              <w:spacing w:after="0"/>
              <w:rPr>
                <w:sz w:val="20"/>
                <w:szCs w:val="20"/>
                <w:color w:val="auto"/>
              </w:rPr>
            </w:pPr>
            <w:r>
              <w:rPr>
                <w:rFonts w:ascii="Arial" w:cs="Arial" w:eastAsia="Arial" w:hAnsi="Arial"/>
                <w:sz w:val="18"/>
                <w:szCs w:val="18"/>
                <w:color w:val="0D0E00"/>
              </w:rPr>
              <w:t>Vested</w:t>
            </w:r>
          </w:p>
        </w:tc>
        <w:tc>
          <w:tcPr>
            <w:tcW w:w="8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0D0E00"/>
              </w:rPr>
              <w:t>—</w:t>
            </w:r>
          </w:p>
        </w:tc>
        <w:tc>
          <w:tcPr>
            <w:tcW w:w="100" w:type="dxa"/>
            <w:vAlign w:val="bottom"/>
            <w:shd w:val="clear" w:color="auto" w:fill="D6F3E8"/>
          </w:tcPr>
          <w:p>
            <w:pPr>
              <w:spacing w:after="0"/>
              <w:rPr>
                <w:sz w:val="21"/>
                <w:szCs w:val="21"/>
                <w:color w:val="auto"/>
              </w:rPr>
            </w:pPr>
          </w:p>
        </w:tc>
        <w:tc>
          <w:tcPr>
            <w:tcW w:w="120" w:type="dxa"/>
            <w:vAlign w:val="bottom"/>
            <w:shd w:val="clear" w:color="auto" w:fill="D6F3E8"/>
          </w:tcPr>
          <w:p>
            <w:pPr>
              <w:spacing w:after="0"/>
              <w:rPr>
                <w:sz w:val="21"/>
                <w:szCs w:val="21"/>
                <w:color w:val="auto"/>
              </w:rPr>
            </w:pPr>
          </w:p>
        </w:tc>
        <w:tc>
          <w:tcPr>
            <w:tcW w:w="92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0D0E00"/>
              </w:rPr>
              <w:t>—</w:t>
            </w:r>
          </w:p>
        </w:tc>
        <w:tc>
          <w:tcPr>
            <w:tcW w:w="0" w:type="dxa"/>
            <w:vAlign w:val="bottom"/>
          </w:tcPr>
          <w:p>
            <w:pPr>
              <w:spacing w:after="0"/>
              <w:rPr>
                <w:sz w:val="1"/>
                <w:szCs w:val="1"/>
                <w:color w:val="auto"/>
              </w:rPr>
            </w:pPr>
          </w:p>
        </w:tc>
      </w:tr>
      <w:tr>
        <w:trPr>
          <w:trHeight w:val="243"/>
        </w:trPr>
        <w:tc>
          <w:tcPr>
            <w:tcW w:w="4860" w:type="dxa"/>
            <w:vAlign w:val="bottom"/>
          </w:tcPr>
          <w:p>
            <w:pPr>
              <w:spacing w:after="0"/>
              <w:rPr>
                <w:sz w:val="20"/>
                <w:szCs w:val="20"/>
                <w:color w:val="auto"/>
              </w:rPr>
            </w:pPr>
            <w:r>
              <w:rPr>
                <w:rFonts w:ascii="Arial" w:cs="Arial" w:eastAsia="Arial" w:hAnsi="Arial"/>
                <w:sz w:val="18"/>
                <w:szCs w:val="18"/>
                <w:color w:val="0D0E00"/>
              </w:rPr>
              <w:t>Forfeited or expired</w:t>
            </w:r>
          </w:p>
        </w:tc>
        <w:tc>
          <w:tcPr>
            <w:tcW w:w="760" w:type="dxa"/>
            <w:vAlign w:val="bottom"/>
          </w:tcPr>
          <w:p>
            <w:pPr>
              <w:jc w:val="right"/>
              <w:spacing w:after="0"/>
              <w:rPr>
                <w:sz w:val="20"/>
                <w:szCs w:val="20"/>
                <w:color w:val="auto"/>
              </w:rPr>
            </w:pPr>
            <w:r>
              <w:rPr>
                <w:rFonts w:ascii="Arial" w:cs="Arial" w:eastAsia="Arial" w:hAnsi="Arial"/>
                <w:sz w:val="18"/>
                <w:szCs w:val="18"/>
                <w:color w:val="0D0E00"/>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0D0E00"/>
              </w:rPr>
              <w:t>—</w:t>
            </w:r>
          </w:p>
        </w:tc>
        <w:tc>
          <w:tcPr>
            <w:tcW w:w="0" w:type="dxa"/>
            <w:vAlign w:val="bottom"/>
          </w:tcPr>
          <w:p>
            <w:pPr>
              <w:spacing w:after="0"/>
              <w:rPr>
                <w:sz w:val="1"/>
                <w:szCs w:val="1"/>
                <w:color w:val="auto"/>
              </w:rPr>
            </w:pPr>
          </w:p>
        </w:tc>
      </w:tr>
      <w:tr>
        <w:trPr>
          <w:trHeight w:val="20"/>
        </w:trPr>
        <w:tc>
          <w:tcPr>
            <w:tcW w:w="4860" w:type="dxa"/>
            <w:vAlign w:val="bottom"/>
            <w:shd w:val="clear" w:color="auto" w:fill="D6F3E8"/>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60" w:type="dxa"/>
            <w:vAlign w:val="bottom"/>
            <w:shd w:val="clear" w:color="auto" w:fill="D6F3E8"/>
          </w:tcPr>
          <w:p>
            <w:pPr>
              <w:spacing w:after="0"/>
              <w:rPr>
                <w:sz w:val="20"/>
                <w:szCs w:val="20"/>
                <w:color w:val="auto"/>
              </w:rPr>
            </w:pPr>
            <w:r>
              <w:rPr>
                <w:rFonts w:ascii="Arial" w:cs="Arial" w:eastAsia="Arial" w:hAnsi="Arial"/>
                <w:sz w:val="18"/>
                <w:szCs w:val="18"/>
                <w:color w:val="0D0E00"/>
              </w:rPr>
              <w:t>Outstanding at end of period</w:t>
            </w:r>
          </w:p>
        </w:tc>
        <w:tc>
          <w:tcPr>
            <w:tcW w:w="760" w:type="dxa"/>
            <w:vAlign w:val="bottom"/>
            <w:shd w:val="clear" w:color="auto" w:fill="D6F3E8"/>
          </w:tcPr>
          <w:p>
            <w:pPr>
              <w:jc w:val="right"/>
              <w:spacing w:after="0"/>
              <w:rPr>
                <w:sz w:val="20"/>
                <w:szCs w:val="20"/>
                <w:color w:val="auto"/>
              </w:rPr>
            </w:pPr>
            <w:r>
              <w:rPr>
                <w:rFonts w:ascii="Arial" w:cs="Arial" w:eastAsia="Arial" w:hAnsi="Arial"/>
                <w:sz w:val="18"/>
                <w:szCs w:val="18"/>
                <w:color w:val="0D0E00"/>
              </w:rPr>
              <w:t>49,500</w:t>
            </w:r>
          </w:p>
        </w:tc>
        <w:tc>
          <w:tcPr>
            <w:tcW w:w="100" w:type="dxa"/>
            <w:vAlign w:val="bottom"/>
            <w:shd w:val="clear" w:color="auto" w:fill="D6F3E8"/>
          </w:tcPr>
          <w:p>
            <w:pPr>
              <w:spacing w:after="0"/>
              <w:rPr>
                <w:sz w:val="20"/>
                <w:szCs w:val="20"/>
                <w:color w:val="auto"/>
              </w:rPr>
            </w:pPr>
          </w:p>
        </w:tc>
        <w:tc>
          <w:tcPr>
            <w:tcW w:w="220" w:type="dxa"/>
            <w:vAlign w:val="bottom"/>
            <w:gridSpan w:val="2"/>
            <w:shd w:val="clear" w:color="auto" w:fill="D6F3E8"/>
          </w:tcPr>
          <w:p>
            <w:pPr>
              <w:ind w:left="100"/>
              <w:spacing w:after="0"/>
              <w:rPr>
                <w:sz w:val="20"/>
                <w:szCs w:val="20"/>
                <w:color w:val="auto"/>
              </w:rPr>
            </w:pPr>
            <w:r>
              <w:rPr>
                <w:rFonts w:ascii="Arial" w:cs="Arial" w:eastAsia="Arial" w:hAnsi="Arial"/>
                <w:sz w:val="18"/>
                <w:szCs w:val="18"/>
                <w:color w:val="0D0E00"/>
                <w:w w:val="99"/>
              </w:rPr>
              <w:t>$</w:t>
            </w:r>
          </w:p>
        </w:tc>
        <w:tc>
          <w:tcPr>
            <w:tcW w:w="92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0D0E00"/>
              </w:rPr>
              <w:t>23.06</w:t>
            </w:r>
          </w:p>
        </w:tc>
        <w:tc>
          <w:tcPr>
            <w:tcW w:w="0" w:type="dxa"/>
            <w:vAlign w:val="bottom"/>
          </w:tcPr>
          <w:p>
            <w:pPr>
              <w:spacing w:after="0"/>
              <w:rPr>
                <w:sz w:val="1"/>
                <w:szCs w:val="1"/>
                <w:color w:val="auto"/>
              </w:rPr>
            </w:pPr>
          </w:p>
        </w:tc>
      </w:tr>
      <w:tr>
        <w:trPr>
          <w:trHeight w:val="20"/>
        </w:trPr>
        <w:tc>
          <w:tcPr>
            <w:tcW w:w="4860" w:type="dxa"/>
            <w:vAlign w:val="bottom"/>
            <w:tcBorders>
              <w:top w:val="single" w:sz="8" w:color="D6F3E8"/>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0D0E00"/>
        </w:rPr>
        <w:t>We recorded compensation expense of $0.3 million and $0.5 million related to performance share units for the three and six months ended September 30, 2010, respectively. We recorded compensation expense of $0.1 million and $0.2 million related to performance share units for the three and six months ended September 30, 2009, respectively.</w:t>
      </w:r>
    </w:p>
    <w:p>
      <w:pPr>
        <w:spacing w:after="0" w:line="20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i w:val="1"/>
          <w:iCs w:val="1"/>
          <w:color w:val="0D0E00"/>
        </w:rPr>
        <w:t xml:space="preserve">Restricted Stock Awards. </w:t>
      </w:r>
      <w:r>
        <w:rPr>
          <w:rFonts w:ascii="Arial" w:cs="Arial" w:eastAsia="Arial" w:hAnsi="Arial"/>
          <w:sz w:val="18"/>
          <w:szCs w:val="18"/>
          <w:color w:val="0D0E00"/>
        </w:rPr>
        <w:t>As part of their retainer, each non-employee Director receives restricted stock for their Board services. The restricted stock awards</w:t>
      </w:r>
      <w:r>
        <w:rPr>
          <w:rFonts w:ascii="Arial" w:cs="Arial" w:eastAsia="Arial" w:hAnsi="Arial"/>
          <w:sz w:val="18"/>
          <w:szCs w:val="18"/>
          <w:i w:val="1"/>
          <w:iCs w:val="1"/>
          <w:color w:val="0D0E00"/>
        </w:rPr>
        <w:t xml:space="preserve"> </w:t>
      </w:r>
      <w:r>
        <w:rPr>
          <w:rFonts w:ascii="Arial" w:cs="Arial" w:eastAsia="Arial" w:hAnsi="Arial"/>
          <w:sz w:val="18"/>
          <w:szCs w:val="18"/>
          <w:color w:val="0D0E00"/>
        </w:rPr>
        <w:t>are expensed over the requisite vesting period, which begins on the date of issuance and ends on the date of the next Annual Meeting of Shareholders, based on the market value on the date of grant.</w:t>
      </w:r>
    </w:p>
    <w:p>
      <w:pPr>
        <w:spacing w:after="0" w:line="20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0D0E00"/>
        </w:rPr>
        <w:t>On August 5, 2009 and July 28, 2010 we awarded restricted stock to the Board. The following table represents the Board’s restricted stock activity for the six months ended September 30, 2010:</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0D0E00"/>
                <w:w w:val="97"/>
              </w:rPr>
              <w:t>Weighted-</w:t>
            </w: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74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0D0E00"/>
              </w:rPr>
              <w:t>Shares</w:t>
            </w:r>
          </w:p>
        </w:tc>
        <w:tc>
          <w:tcPr>
            <w:tcW w:w="1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0D0E00"/>
                <w:w w:val="95"/>
              </w:rPr>
              <w:t>Average Grant</w:t>
            </w: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0D0E00"/>
              </w:rPr>
              <w:t>Date Fair Value</w:t>
            </w:r>
          </w:p>
        </w:tc>
        <w:tc>
          <w:tcPr>
            <w:tcW w:w="0" w:type="dxa"/>
            <w:vAlign w:val="bottom"/>
          </w:tcPr>
          <w:p>
            <w:pPr>
              <w:spacing w:after="0"/>
              <w:rPr>
                <w:sz w:val="1"/>
                <w:szCs w:val="1"/>
                <w:color w:val="auto"/>
              </w:rPr>
            </w:pPr>
          </w:p>
        </w:tc>
      </w:tr>
      <w:tr>
        <w:trPr>
          <w:trHeight w:val="20"/>
        </w:trPr>
        <w:tc>
          <w:tcPr>
            <w:tcW w:w="4880" w:type="dxa"/>
            <w:vAlign w:val="bottom"/>
            <w:shd w:val="clear" w:color="auto" w:fill="D6F3E8"/>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80" w:type="dxa"/>
            <w:vAlign w:val="bottom"/>
            <w:shd w:val="clear" w:color="auto" w:fill="D6F3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80" w:type="dxa"/>
            <w:vAlign w:val="bottom"/>
            <w:shd w:val="clear" w:color="auto" w:fill="D6F3E8"/>
          </w:tcPr>
          <w:p>
            <w:pPr>
              <w:spacing w:after="0"/>
              <w:rPr>
                <w:sz w:val="20"/>
                <w:szCs w:val="20"/>
                <w:color w:val="auto"/>
              </w:rPr>
            </w:pPr>
            <w:r>
              <w:rPr>
                <w:rFonts w:ascii="Arial" w:cs="Arial" w:eastAsia="Arial" w:hAnsi="Arial"/>
                <w:sz w:val="18"/>
                <w:szCs w:val="18"/>
                <w:color w:val="0D0E00"/>
              </w:rPr>
              <w:t>Outstanding at beginning of period</w:t>
            </w:r>
          </w:p>
        </w:tc>
        <w:tc>
          <w:tcPr>
            <w:tcW w:w="740" w:type="dxa"/>
            <w:vAlign w:val="bottom"/>
            <w:shd w:val="clear" w:color="auto" w:fill="D6F3E8"/>
          </w:tcPr>
          <w:p>
            <w:pPr>
              <w:jc w:val="right"/>
              <w:spacing w:after="0"/>
              <w:rPr>
                <w:sz w:val="20"/>
                <w:szCs w:val="20"/>
                <w:color w:val="auto"/>
              </w:rPr>
            </w:pPr>
            <w:r>
              <w:rPr>
                <w:rFonts w:ascii="Arial" w:cs="Arial" w:eastAsia="Arial" w:hAnsi="Arial"/>
                <w:sz w:val="18"/>
                <w:szCs w:val="18"/>
                <w:color w:val="0D0E00"/>
              </w:rPr>
              <w:t>6,000</w:t>
            </w:r>
          </w:p>
        </w:tc>
        <w:tc>
          <w:tcPr>
            <w:tcW w:w="120" w:type="dxa"/>
            <w:vAlign w:val="bottom"/>
            <w:shd w:val="clear" w:color="auto" w:fill="D6F3E8"/>
          </w:tcPr>
          <w:p>
            <w:pPr>
              <w:spacing w:after="0"/>
              <w:rPr>
                <w:sz w:val="20"/>
                <w:szCs w:val="20"/>
                <w:color w:val="auto"/>
              </w:rPr>
            </w:pPr>
          </w:p>
        </w:tc>
        <w:tc>
          <w:tcPr>
            <w:tcW w:w="200" w:type="dxa"/>
            <w:vAlign w:val="bottom"/>
            <w:gridSpan w:val="2"/>
            <w:shd w:val="clear" w:color="auto" w:fill="D6F3E8"/>
          </w:tcPr>
          <w:p>
            <w:pPr>
              <w:ind w:left="80"/>
              <w:spacing w:after="0"/>
              <w:rPr>
                <w:sz w:val="20"/>
                <w:szCs w:val="20"/>
                <w:color w:val="auto"/>
              </w:rPr>
            </w:pPr>
            <w:r>
              <w:rPr>
                <w:rFonts w:ascii="Arial" w:cs="Arial" w:eastAsia="Arial" w:hAnsi="Arial"/>
                <w:sz w:val="18"/>
                <w:szCs w:val="18"/>
                <w:color w:val="0D0E00"/>
                <w:w w:val="99"/>
              </w:rPr>
              <w:t>$</w:t>
            </w:r>
          </w:p>
        </w:tc>
        <w:tc>
          <w:tcPr>
            <w:tcW w:w="92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0D0E00"/>
              </w:rPr>
              <w:t>18.68</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Arial" w:cs="Arial" w:eastAsia="Arial" w:hAnsi="Arial"/>
                <w:sz w:val="18"/>
                <w:szCs w:val="18"/>
                <w:color w:val="0D0E00"/>
              </w:rPr>
              <w:t>Granted</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0D0E00"/>
              </w:rPr>
              <w:t>6,996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0D0E00"/>
              </w:rPr>
              <w:t>30.00</w:t>
            </w:r>
          </w:p>
        </w:tc>
        <w:tc>
          <w:tcPr>
            <w:tcW w:w="0" w:type="dxa"/>
            <w:vAlign w:val="bottom"/>
          </w:tcPr>
          <w:p>
            <w:pPr>
              <w:spacing w:after="0"/>
              <w:rPr>
                <w:sz w:val="1"/>
                <w:szCs w:val="1"/>
                <w:color w:val="auto"/>
              </w:rPr>
            </w:pPr>
          </w:p>
        </w:tc>
      </w:tr>
      <w:tr>
        <w:trPr>
          <w:trHeight w:val="243"/>
        </w:trPr>
        <w:tc>
          <w:tcPr>
            <w:tcW w:w="4880" w:type="dxa"/>
            <w:vAlign w:val="bottom"/>
            <w:shd w:val="clear" w:color="auto" w:fill="D6F3E8"/>
          </w:tcPr>
          <w:p>
            <w:pPr>
              <w:spacing w:after="0"/>
              <w:rPr>
                <w:sz w:val="20"/>
                <w:szCs w:val="20"/>
                <w:color w:val="auto"/>
              </w:rPr>
            </w:pPr>
            <w:r>
              <w:rPr>
                <w:rFonts w:ascii="Arial" w:cs="Arial" w:eastAsia="Arial" w:hAnsi="Arial"/>
                <w:sz w:val="18"/>
                <w:szCs w:val="18"/>
                <w:color w:val="0D0E00"/>
              </w:rPr>
              <w:t>Vested</w:t>
            </w:r>
          </w:p>
        </w:tc>
        <w:tc>
          <w:tcPr>
            <w:tcW w:w="86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0D0E00"/>
              </w:rPr>
              <w:t>(6,000)</w:t>
            </w:r>
          </w:p>
        </w:tc>
        <w:tc>
          <w:tcPr>
            <w:tcW w:w="80" w:type="dxa"/>
            <w:vAlign w:val="bottom"/>
            <w:shd w:val="clear" w:color="auto" w:fill="D6F3E8"/>
          </w:tcPr>
          <w:p>
            <w:pPr>
              <w:spacing w:after="0"/>
              <w:rPr>
                <w:sz w:val="21"/>
                <w:szCs w:val="21"/>
                <w:color w:val="auto"/>
              </w:rPr>
            </w:pPr>
          </w:p>
        </w:tc>
        <w:tc>
          <w:tcPr>
            <w:tcW w:w="120" w:type="dxa"/>
            <w:vAlign w:val="bottom"/>
            <w:shd w:val="clear" w:color="auto" w:fill="D6F3E8"/>
          </w:tcPr>
          <w:p>
            <w:pPr>
              <w:spacing w:after="0"/>
              <w:rPr>
                <w:sz w:val="21"/>
                <w:szCs w:val="21"/>
                <w:color w:val="auto"/>
              </w:rPr>
            </w:pPr>
          </w:p>
        </w:tc>
        <w:tc>
          <w:tcPr>
            <w:tcW w:w="92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0D0E00"/>
              </w:rPr>
              <w:t>18.68</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Arial" w:cs="Arial" w:eastAsia="Arial" w:hAnsi="Arial"/>
                <w:sz w:val="18"/>
                <w:szCs w:val="18"/>
                <w:color w:val="0D0E00"/>
              </w:rPr>
              <w:t>Forfeited or expired</w:t>
            </w:r>
          </w:p>
        </w:tc>
        <w:tc>
          <w:tcPr>
            <w:tcW w:w="740" w:type="dxa"/>
            <w:vAlign w:val="bottom"/>
          </w:tcPr>
          <w:p>
            <w:pPr>
              <w:jc w:val="right"/>
              <w:spacing w:after="0"/>
              <w:rPr>
                <w:sz w:val="20"/>
                <w:szCs w:val="20"/>
                <w:color w:val="auto"/>
              </w:rPr>
            </w:pPr>
            <w:r>
              <w:rPr>
                <w:rFonts w:ascii="Arial" w:cs="Arial" w:eastAsia="Arial" w:hAnsi="Arial"/>
                <w:sz w:val="18"/>
                <w:szCs w:val="18"/>
                <w:color w:val="0D0E00"/>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0D0E00"/>
              </w:rPr>
              <w:t>—</w:t>
            </w:r>
          </w:p>
        </w:tc>
        <w:tc>
          <w:tcPr>
            <w:tcW w:w="0" w:type="dxa"/>
            <w:vAlign w:val="bottom"/>
          </w:tcPr>
          <w:p>
            <w:pPr>
              <w:spacing w:after="0"/>
              <w:rPr>
                <w:sz w:val="1"/>
                <w:szCs w:val="1"/>
                <w:color w:val="auto"/>
              </w:rPr>
            </w:pPr>
          </w:p>
        </w:tc>
      </w:tr>
      <w:tr>
        <w:trPr>
          <w:trHeight w:val="20"/>
        </w:trPr>
        <w:tc>
          <w:tcPr>
            <w:tcW w:w="4880" w:type="dxa"/>
            <w:vAlign w:val="bottom"/>
            <w:shd w:val="clear" w:color="auto" w:fill="D6F3E8"/>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80" w:type="dxa"/>
            <w:vAlign w:val="bottom"/>
            <w:shd w:val="clear" w:color="auto" w:fill="D6F3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80" w:type="dxa"/>
            <w:vAlign w:val="bottom"/>
            <w:shd w:val="clear" w:color="auto" w:fill="D6F3E8"/>
          </w:tcPr>
          <w:p>
            <w:pPr>
              <w:spacing w:after="0"/>
              <w:rPr>
                <w:sz w:val="20"/>
                <w:szCs w:val="20"/>
                <w:color w:val="auto"/>
              </w:rPr>
            </w:pPr>
            <w:r>
              <w:rPr>
                <w:rFonts w:ascii="Arial" w:cs="Arial" w:eastAsia="Arial" w:hAnsi="Arial"/>
                <w:sz w:val="18"/>
                <w:szCs w:val="18"/>
                <w:color w:val="0D0E00"/>
              </w:rPr>
              <w:t>Outstanding at end of period</w:t>
            </w:r>
          </w:p>
        </w:tc>
        <w:tc>
          <w:tcPr>
            <w:tcW w:w="740" w:type="dxa"/>
            <w:vAlign w:val="bottom"/>
            <w:shd w:val="clear" w:color="auto" w:fill="D6F3E8"/>
          </w:tcPr>
          <w:p>
            <w:pPr>
              <w:jc w:val="right"/>
              <w:spacing w:after="0"/>
              <w:rPr>
                <w:sz w:val="20"/>
                <w:szCs w:val="20"/>
                <w:color w:val="auto"/>
              </w:rPr>
            </w:pPr>
            <w:r>
              <w:rPr>
                <w:rFonts w:ascii="Arial" w:cs="Arial" w:eastAsia="Arial" w:hAnsi="Arial"/>
                <w:sz w:val="18"/>
                <w:szCs w:val="18"/>
                <w:color w:val="0D0E00"/>
              </w:rPr>
              <w:t>6,996</w:t>
            </w:r>
          </w:p>
        </w:tc>
        <w:tc>
          <w:tcPr>
            <w:tcW w:w="120" w:type="dxa"/>
            <w:vAlign w:val="bottom"/>
            <w:shd w:val="clear" w:color="auto" w:fill="D6F3E8"/>
          </w:tcPr>
          <w:p>
            <w:pPr>
              <w:spacing w:after="0"/>
              <w:rPr>
                <w:sz w:val="20"/>
                <w:szCs w:val="20"/>
                <w:color w:val="auto"/>
              </w:rPr>
            </w:pPr>
          </w:p>
        </w:tc>
        <w:tc>
          <w:tcPr>
            <w:tcW w:w="200" w:type="dxa"/>
            <w:vAlign w:val="bottom"/>
            <w:gridSpan w:val="2"/>
            <w:shd w:val="clear" w:color="auto" w:fill="D6F3E8"/>
          </w:tcPr>
          <w:p>
            <w:pPr>
              <w:ind w:left="80"/>
              <w:spacing w:after="0"/>
              <w:rPr>
                <w:sz w:val="20"/>
                <w:szCs w:val="20"/>
                <w:color w:val="auto"/>
              </w:rPr>
            </w:pPr>
            <w:r>
              <w:rPr>
                <w:rFonts w:ascii="Arial" w:cs="Arial" w:eastAsia="Arial" w:hAnsi="Arial"/>
                <w:sz w:val="18"/>
                <w:szCs w:val="18"/>
                <w:color w:val="0D0E00"/>
                <w:w w:val="99"/>
              </w:rPr>
              <w:t>$</w:t>
            </w:r>
          </w:p>
        </w:tc>
        <w:tc>
          <w:tcPr>
            <w:tcW w:w="92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0D0E00"/>
              </w:rPr>
              <w:t>30.00</w:t>
            </w:r>
          </w:p>
        </w:tc>
        <w:tc>
          <w:tcPr>
            <w:tcW w:w="0" w:type="dxa"/>
            <w:vAlign w:val="bottom"/>
          </w:tcPr>
          <w:p>
            <w:pPr>
              <w:spacing w:after="0"/>
              <w:rPr>
                <w:sz w:val="1"/>
                <w:szCs w:val="1"/>
                <w:color w:val="auto"/>
              </w:rPr>
            </w:pPr>
          </w:p>
        </w:tc>
      </w:tr>
      <w:tr>
        <w:trPr>
          <w:trHeight w:val="20"/>
        </w:trPr>
        <w:tc>
          <w:tcPr>
            <w:tcW w:w="4880" w:type="dxa"/>
            <w:vAlign w:val="bottom"/>
            <w:tcBorders>
              <w:top w:val="single" w:sz="8" w:color="D6F3E8"/>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6F3E8"/>
            </w:tcBorders>
          </w:tcPr>
          <w:p>
            <w:pPr>
              <w:spacing w:after="0" w:line="20" w:lineRule="exact"/>
              <w:rPr>
                <w:sz w:val="1"/>
                <w:szCs w:val="1"/>
                <w:color w:val="auto"/>
              </w:rPr>
            </w:pPr>
          </w:p>
        </w:tc>
        <w:tc>
          <w:tcPr>
            <w:tcW w:w="80" w:type="dxa"/>
            <w:vAlign w:val="bottom"/>
            <w:tcBorders>
              <w:top w:val="single" w:sz="8" w:color="D6F3E8"/>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0D0E00"/>
        </w:rPr>
        <w:t>Compensation expense for the three months ended September 30, 2010 and 2009 related to restricted stock awards to the Board was not material. We recorded $0.1 million in compensation expense related to restricted stock awards to the Board for the six month periods ended September 30, 2010 and 2009.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0D0E00"/>
        </w:rPr>
        <w:t>Note 9 – Commitments and Contingencies</w:t>
      </w:r>
    </w:p>
    <w:p>
      <w:pPr>
        <w:spacing w:after="0" w:line="252"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i w:val="1"/>
          <w:iCs w:val="1"/>
          <w:color w:val="0D0E00"/>
        </w:rPr>
        <w:t xml:space="preserve">Litigation </w:t>
      </w:r>
      <w:r>
        <w:rPr>
          <w:rFonts w:ascii="Arial" w:cs="Arial" w:eastAsia="Arial" w:hAnsi="Arial"/>
          <w:sz w:val="18"/>
          <w:szCs w:val="18"/>
          <w:b w:val="1"/>
          <w:bCs w:val="1"/>
          <w:color w:val="0D0E00"/>
        </w:rPr>
        <w:t>—</w:t>
      </w:r>
      <w:r>
        <w:rPr>
          <w:rFonts w:ascii="Arial" w:cs="Arial" w:eastAsia="Arial" w:hAnsi="Arial"/>
          <w:sz w:val="18"/>
          <w:szCs w:val="18"/>
          <w:color w:val="0D0E00"/>
        </w:rPr>
        <w:t>We are a party from time to time in various legal proceedings arising in the ordinary course of our business. None of the pending proceedings</w:t>
      </w:r>
      <w:r>
        <w:rPr>
          <w:rFonts w:ascii="Arial" w:cs="Arial" w:eastAsia="Arial" w:hAnsi="Arial"/>
          <w:sz w:val="18"/>
          <w:szCs w:val="18"/>
          <w:b w:val="1"/>
          <w:bCs w:val="1"/>
          <w:i w:val="1"/>
          <w:iCs w:val="1"/>
          <w:color w:val="0D0E00"/>
        </w:rPr>
        <w:t xml:space="preserve"> </w:t>
      </w:r>
      <w:r>
        <w:rPr>
          <w:rFonts w:ascii="Arial" w:cs="Arial" w:eastAsia="Arial" w:hAnsi="Arial"/>
          <w:sz w:val="18"/>
          <w:szCs w:val="18"/>
          <w:color w:val="0D0E00"/>
        </w:rPr>
        <w:t>are expected to have a material effect on the Company’s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0D0E00"/>
        </w:rPr>
        <w:t>Note 10 – Discontinued Operations</w:t>
      </w:r>
    </w:p>
    <w:p>
      <w:pPr>
        <w:spacing w:after="0" w:line="25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0D0E00"/>
        </w:rPr>
        <w:t>In February 2009, we agreed to sell our inventory and entered into a marketing agreement regarding the business of our Pharmaceutical segment, which provided pharmaceutical chemicals to retail pharmacies and small-scale pharmaceutical manufacturers. On May 22, 2009 the majority of the inventory was sold for cash of approximately $1.6 million which approximated its carrying value. The remaining inventory, with a carrying value of approximately $0.1 million, was sold during fiscal 2010. The agreement provides for annual payments based on a percentage of gross profit on future sales up to a maximum of approximately $3.7 million. We have no significant remaining obligations to fulfill under the agreement. We initially recorded a receivable of approximately $1.7 million, equal to the carrying value of the assets that were related to this business. The first year payment under the agreement of ap proximately $0.8 million was received in the second quarter of fiscal 2011. Amounts received in excess of the $0.9 million remaining receivable will be recorded as a gain on sale of discontinued operations in future periods. The results of the Pharmaceutical segment have been reported as discontinued operations for all periods presented.</w:t>
      </w: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0D0E00"/>
        </w:rPr>
        <w:t>Note 11 – Segment Information</w:t>
      </w:r>
    </w:p>
    <w:p>
      <w:pPr>
        <w:spacing w:after="0" w:line="256" w:lineRule="exact"/>
        <w:rPr>
          <w:sz w:val="20"/>
          <w:szCs w:val="20"/>
          <w:color w:val="auto"/>
        </w:rPr>
      </w:pPr>
    </w:p>
    <w:p>
      <w:pPr>
        <w:spacing w:after="0" w:line="254" w:lineRule="auto"/>
        <w:rPr>
          <w:sz w:val="20"/>
          <w:szCs w:val="20"/>
          <w:color w:val="auto"/>
        </w:rPr>
      </w:pPr>
      <w:r>
        <w:rPr>
          <w:rFonts w:ascii="Arial" w:cs="Arial" w:eastAsia="Arial" w:hAnsi="Arial"/>
          <w:sz w:val="18"/>
          <w:szCs w:val="18"/>
          <w:color w:val="0D0E00"/>
        </w:rPr>
        <w:t>We have two reportable segments: Industrial and Water Treatment. The accounting policies of the segments are the same as those described in the summary of significant accounting policies. Product costs and expenses for each segment are based on actual costs incurred along with cost allocation of shared and centralized functions. We evaluate performance based on profit or loss from operations before income taxes not including nonrecurring gains and losses. Reportable segments are defined by product and type of customer. Segments are responsible for the sales, marketing and development of their products and services. The segments do not have separate accounting, administration, customer service or purchasing functions. There are no intersegment sales and no operating segments have been aggregated. Given our nature, it is not practical to disclose revenues from external customers for each prod uct or each group of similar products. No single customer represents 10 percent or more of our revenue. Sales are primarily within the United States and all assets are located within the United States.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vMerge w:val="restart"/>
          </w:tcPr>
          <w:p>
            <w:pPr>
              <w:spacing w:after="0"/>
              <w:rPr>
                <w:sz w:val="20"/>
                <w:szCs w:val="20"/>
                <w:color w:val="auto"/>
              </w:rPr>
            </w:pPr>
            <w:r>
              <w:rPr>
                <w:rFonts w:ascii="Arial" w:cs="Arial" w:eastAsia="Arial" w:hAnsi="Arial"/>
                <w:sz w:val="14"/>
                <w:szCs w:val="14"/>
                <w:b w:val="1"/>
                <w:bCs w:val="1"/>
                <w:color w:val="auto"/>
              </w:rPr>
              <w:t>Reportable Segments</w:t>
            </w: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Industrial</w:t>
            </w:r>
          </w:p>
        </w:tc>
        <w:tc>
          <w:tcPr>
            <w:tcW w:w="12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Water</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1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7"/>
              </w:rPr>
              <w:t>Treatment</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41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Three Months Ended September 30, 2010:</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00" w:type="dxa"/>
            <w:vAlign w:val="bottom"/>
            <w:shd w:val="clear" w:color="auto" w:fill="D6F3E8"/>
          </w:tcPr>
          <w:p>
            <w:pPr>
              <w:ind w:left="340"/>
              <w:spacing w:after="0"/>
              <w:rPr>
                <w:sz w:val="20"/>
                <w:szCs w:val="20"/>
                <w:color w:val="auto"/>
              </w:rPr>
            </w:pPr>
            <w:r>
              <w:rPr>
                <w:rFonts w:ascii="Arial" w:cs="Arial" w:eastAsia="Arial" w:hAnsi="Arial"/>
                <w:sz w:val="18"/>
                <w:szCs w:val="18"/>
                <w:color w:val="auto"/>
              </w:rPr>
              <w:t>Sales</w:t>
            </w:r>
          </w:p>
        </w:tc>
        <w:tc>
          <w:tcPr>
            <w:tcW w:w="118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44,928</w:t>
            </w:r>
          </w:p>
        </w:tc>
        <w:tc>
          <w:tcPr>
            <w:tcW w:w="12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25,470</w:t>
            </w:r>
          </w:p>
        </w:tc>
        <w:tc>
          <w:tcPr>
            <w:tcW w:w="34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70,398</w:t>
            </w:r>
          </w:p>
        </w:tc>
        <w:tc>
          <w:tcPr>
            <w:tcW w:w="0" w:type="dxa"/>
            <w:vAlign w:val="bottom"/>
          </w:tcPr>
          <w:p>
            <w:pPr>
              <w:spacing w:after="0"/>
              <w:rPr>
                <w:sz w:val="1"/>
                <w:szCs w:val="1"/>
                <w:color w:val="auto"/>
              </w:rPr>
            </w:pPr>
          </w:p>
        </w:tc>
      </w:tr>
      <w:tr>
        <w:trPr>
          <w:trHeight w:val="243"/>
        </w:trPr>
        <w:tc>
          <w:tcPr>
            <w:tcW w:w="410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9,582</w:t>
            </w:r>
          </w:p>
        </w:tc>
        <w:tc>
          <w:tcPr>
            <w:tcW w:w="12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8,160</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17,742</w:t>
            </w:r>
          </w:p>
        </w:tc>
        <w:tc>
          <w:tcPr>
            <w:tcW w:w="0" w:type="dxa"/>
            <w:vAlign w:val="bottom"/>
          </w:tcPr>
          <w:p>
            <w:pPr>
              <w:spacing w:after="0"/>
              <w:rPr>
                <w:sz w:val="1"/>
                <w:szCs w:val="1"/>
                <w:color w:val="auto"/>
              </w:rPr>
            </w:pPr>
          </w:p>
        </w:tc>
      </w:tr>
      <w:tr>
        <w:trPr>
          <w:trHeight w:val="243"/>
        </w:trPr>
        <w:tc>
          <w:tcPr>
            <w:tcW w:w="4100" w:type="dxa"/>
            <w:vAlign w:val="bottom"/>
            <w:shd w:val="clear" w:color="auto" w:fill="D6F3E8"/>
          </w:tcPr>
          <w:p>
            <w:pPr>
              <w:ind w:left="340"/>
              <w:spacing w:after="0"/>
              <w:rPr>
                <w:sz w:val="20"/>
                <w:szCs w:val="20"/>
                <w:color w:val="auto"/>
              </w:rPr>
            </w:pPr>
            <w:r>
              <w:rPr>
                <w:rFonts w:ascii="Arial" w:cs="Arial" w:eastAsia="Arial" w:hAnsi="Arial"/>
                <w:sz w:val="18"/>
                <w:szCs w:val="18"/>
                <w:color w:val="auto"/>
              </w:rPr>
              <w:t>Operating income</w:t>
            </w:r>
          </w:p>
        </w:tc>
        <w:tc>
          <w:tcPr>
            <w:tcW w:w="1040" w:type="dxa"/>
            <w:vAlign w:val="bottom"/>
            <w:shd w:val="clear" w:color="auto" w:fill="D6F3E8"/>
          </w:tcPr>
          <w:p>
            <w:pPr>
              <w:spacing w:after="0"/>
              <w:rPr>
                <w:sz w:val="21"/>
                <w:szCs w:val="21"/>
                <w:color w:val="auto"/>
              </w:rPr>
            </w:pPr>
          </w:p>
        </w:tc>
        <w:tc>
          <w:tcPr>
            <w:tcW w:w="140" w:type="dxa"/>
            <w:vAlign w:val="bottom"/>
            <w:shd w:val="clear" w:color="auto" w:fill="D6F3E8"/>
          </w:tcPr>
          <w:p>
            <w:pPr>
              <w:spacing w:after="0"/>
              <w:rPr>
                <w:sz w:val="21"/>
                <w:szCs w:val="21"/>
                <w:color w:val="auto"/>
              </w:rPr>
            </w:pPr>
          </w:p>
        </w:tc>
        <w:tc>
          <w:tcPr>
            <w:tcW w:w="106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5,351</w:t>
            </w:r>
          </w:p>
        </w:tc>
        <w:tc>
          <w:tcPr>
            <w:tcW w:w="120" w:type="dxa"/>
            <w:vAlign w:val="bottom"/>
            <w:shd w:val="clear" w:color="auto" w:fill="D6F3E8"/>
          </w:tcPr>
          <w:p>
            <w:pPr>
              <w:spacing w:after="0"/>
              <w:rPr>
                <w:sz w:val="21"/>
                <w:szCs w:val="21"/>
                <w:color w:val="auto"/>
              </w:rPr>
            </w:pPr>
          </w:p>
        </w:tc>
        <w:tc>
          <w:tcPr>
            <w:tcW w:w="94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5,577</w:t>
            </w:r>
          </w:p>
        </w:tc>
        <w:tc>
          <w:tcPr>
            <w:tcW w:w="140" w:type="dxa"/>
            <w:vAlign w:val="bottom"/>
            <w:shd w:val="clear" w:color="auto" w:fill="D6F3E8"/>
          </w:tcPr>
          <w:p>
            <w:pPr>
              <w:spacing w:after="0"/>
              <w:rPr>
                <w:sz w:val="21"/>
                <w:szCs w:val="21"/>
                <w:color w:val="auto"/>
              </w:rPr>
            </w:pPr>
          </w:p>
        </w:tc>
        <w:tc>
          <w:tcPr>
            <w:tcW w:w="200" w:type="dxa"/>
            <w:vAlign w:val="bottom"/>
            <w:shd w:val="clear" w:color="auto" w:fill="D6F3E8"/>
          </w:tcPr>
          <w:p>
            <w:pPr>
              <w:spacing w:after="0"/>
              <w:rPr>
                <w:sz w:val="21"/>
                <w:szCs w:val="21"/>
                <w:color w:val="auto"/>
              </w:rPr>
            </w:pPr>
          </w:p>
        </w:tc>
        <w:tc>
          <w:tcPr>
            <w:tcW w:w="82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10,928</w:t>
            </w:r>
          </w:p>
        </w:tc>
        <w:tc>
          <w:tcPr>
            <w:tcW w:w="0" w:type="dxa"/>
            <w:vAlign w:val="bottom"/>
          </w:tcPr>
          <w:p>
            <w:pPr>
              <w:spacing w:after="0"/>
              <w:rPr>
                <w:sz w:val="1"/>
                <w:szCs w:val="1"/>
                <w:color w:val="auto"/>
              </w:rPr>
            </w:pPr>
          </w:p>
        </w:tc>
      </w:tr>
      <w:tr>
        <w:trPr>
          <w:trHeight w:val="486"/>
        </w:trPr>
        <w:tc>
          <w:tcPr>
            <w:tcW w:w="4100" w:type="dxa"/>
            <w:vAlign w:val="bottom"/>
          </w:tcPr>
          <w:p>
            <w:pPr>
              <w:spacing w:after="0"/>
              <w:rPr>
                <w:sz w:val="20"/>
                <w:szCs w:val="20"/>
                <w:color w:val="auto"/>
              </w:rPr>
            </w:pPr>
            <w:r>
              <w:rPr>
                <w:rFonts w:ascii="Arial" w:cs="Arial" w:eastAsia="Arial" w:hAnsi="Arial"/>
                <w:sz w:val="18"/>
                <w:szCs w:val="18"/>
                <w:color w:val="auto"/>
              </w:rPr>
              <w:t>Three Months Ended September 30, 2009:</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340"/>
              <w:spacing w:after="0"/>
              <w:rPr>
                <w:sz w:val="20"/>
                <w:szCs w:val="20"/>
                <w:color w:val="auto"/>
              </w:rPr>
            </w:pPr>
            <w:r>
              <w:rPr>
                <w:rFonts w:ascii="Arial" w:cs="Arial" w:eastAsia="Arial" w:hAnsi="Arial"/>
                <w:sz w:val="18"/>
                <w:szCs w:val="18"/>
                <w:color w:val="auto"/>
              </w:rPr>
              <w:t>Sales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41,404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23,572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64,976</w:t>
            </w:r>
          </w:p>
        </w:tc>
        <w:tc>
          <w:tcPr>
            <w:tcW w:w="0" w:type="dxa"/>
            <w:vAlign w:val="bottom"/>
          </w:tcPr>
          <w:p>
            <w:pPr>
              <w:spacing w:after="0"/>
              <w:rPr>
                <w:sz w:val="1"/>
                <w:szCs w:val="1"/>
                <w:color w:val="auto"/>
              </w:rPr>
            </w:pPr>
          </w:p>
        </w:tc>
      </w:tr>
      <w:tr>
        <w:trPr>
          <w:trHeight w:val="243"/>
        </w:trPr>
        <w:tc>
          <w:tcPr>
            <w:tcW w:w="4100" w:type="dxa"/>
            <w:vAlign w:val="bottom"/>
            <w:shd w:val="clear" w:color="auto" w:fill="D6F3E8"/>
          </w:tcPr>
          <w:p>
            <w:pPr>
              <w:ind w:left="340"/>
              <w:spacing w:after="0"/>
              <w:rPr>
                <w:sz w:val="20"/>
                <w:szCs w:val="20"/>
                <w:color w:val="auto"/>
              </w:rPr>
            </w:pPr>
            <w:r>
              <w:rPr>
                <w:rFonts w:ascii="Arial" w:cs="Arial" w:eastAsia="Arial" w:hAnsi="Arial"/>
                <w:sz w:val="18"/>
                <w:szCs w:val="18"/>
                <w:color w:val="auto"/>
              </w:rPr>
              <w:t>Gross profit</w:t>
            </w:r>
          </w:p>
        </w:tc>
        <w:tc>
          <w:tcPr>
            <w:tcW w:w="1040" w:type="dxa"/>
            <w:vAlign w:val="bottom"/>
            <w:shd w:val="clear" w:color="auto" w:fill="D6F3E8"/>
          </w:tcPr>
          <w:p>
            <w:pPr>
              <w:spacing w:after="0"/>
              <w:rPr>
                <w:sz w:val="21"/>
                <w:szCs w:val="21"/>
                <w:color w:val="auto"/>
              </w:rPr>
            </w:pPr>
          </w:p>
        </w:tc>
        <w:tc>
          <w:tcPr>
            <w:tcW w:w="140" w:type="dxa"/>
            <w:vAlign w:val="bottom"/>
            <w:shd w:val="clear" w:color="auto" w:fill="D6F3E8"/>
          </w:tcPr>
          <w:p>
            <w:pPr>
              <w:spacing w:after="0"/>
              <w:rPr>
                <w:sz w:val="21"/>
                <w:szCs w:val="21"/>
                <w:color w:val="auto"/>
              </w:rPr>
            </w:pPr>
          </w:p>
        </w:tc>
        <w:tc>
          <w:tcPr>
            <w:tcW w:w="106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8,823</w:t>
            </w:r>
          </w:p>
        </w:tc>
        <w:tc>
          <w:tcPr>
            <w:tcW w:w="120" w:type="dxa"/>
            <w:vAlign w:val="bottom"/>
            <w:shd w:val="clear" w:color="auto" w:fill="D6F3E8"/>
          </w:tcPr>
          <w:p>
            <w:pPr>
              <w:spacing w:after="0"/>
              <w:rPr>
                <w:sz w:val="21"/>
                <w:szCs w:val="21"/>
                <w:color w:val="auto"/>
              </w:rPr>
            </w:pPr>
          </w:p>
        </w:tc>
        <w:tc>
          <w:tcPr>
            <w:tcW w:w="94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8,593</w:t>
            </w:r>
          </w:p>
        </w:tc>
        <w:tc>
          <w:tcPr>
            <w:tcW w:w="140" w:type="dxa"/>
            <w:vAlign w:val="bottom"/>
            <w:shd w:val="clear" w:color="auto" w:fill="D6F3E8"/>
          </w:tcPr>
          <w:p>
            <w:pPr>
              <w:spacing w:after="0"/>
              <w:rPr>
                <w:sz w:val="21"/>
                <w:szCs w:val="21"/>
                <w:color w:val="auto"/>
              </w:rPr>
            </w:pPr>
          </w:p>
        </w:tc>
        <w:tc>
          <w:tcPr>
            <w:tcW w:w="200" w:type="dxa"/>
            <w:vAlign w:val="bottom"/>
            <w:shd w:val="clear" w:color="auto" w:fill="D6F3E8"/>
          </w:tcPr>
          <w:p>
            <w:pPr>
              <w:spacing w:after="0"/>
              <w:rPr>
                <w:sz w:val="21"/>
                <w:szCs w:val="21"/>
                <w:color w:val="auto"/>
              </w:rPr>
            </w:pPr>
          </w:p>
        </w:tc>
        <w:tc>
          <w:tcPr>
            <w:tcW w:w="82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17,416</w:t>
            </w:r>
          </w:p>
        </w:tc>
        <w:tc>
          <w:tcPr>
            <w:tcW w:w="0" w:type="dxa"/>
            <w:vAlign w:val="bottom"/>
          </w:tcPr>
          <w:p>
            <w:pPr>
              <w:spacing w:after="0"/>
              <w:rPr>
                <w:sz w:val="1"/>
                <w:szCs w:val="1"/>
                <w:color w:val="auto"/>
              </w:rPr>
            </w:pPr>
          </w:p>
        </w:tc>
      </w:tr>
      <w:tr>
        <w:trPr>
          <w:trHeight w:val="243"/>
        </w:trPr>
        <w:tc>
          <w:tcPr>
            <w:tcW w:w="4100" w:type="dxa"/>
            <w:vAlign w:val="bottom"/>
          </w:tcPr>
          <w:p>
            <w:pPr>
              <w:ind w:left="340"/>
              <w:spacing w:after="0"/>
              <w:rPr>
                <w:sz w:val="20"/>
                <w:szCs w:val="20"/>
                <w:color w:val="auto"/>
              </w:rPr>
            </w:pPr>
            <w:r>
              <w:rPr>
                <w:rFonts w:ascii="Arial" w:cs="Arial" w:eastAsia="Arial" w:hAnsi="Arial"/>
                <w:sz w:val="18"/>
                <w:szCs w:val="18"/>
                <w:color w:val="auto"/>
              </w:rPr>
              <w:t>Operating income</w:t>
            </w: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4,615</w:t>
            </w:r>
          </w:p>
        </w:tc>
        <w:tc>
          <w:tcPr>
            <w:tcW w:w="12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6,233</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10,848</w:t>
            </w:r>
          </w:p>
        </w:tc>
        <w:tc>
          <w:tcPr>
            <w:tcW w:w="0" w:type="dxa"/>
            <w:vAlign w:val="bottom"/>
          </w:tcPr>
          <w:p>
            <w:pPr>
              <w:spacing w:after="0"/>
              <w:rPr>
                <w:sz w:val="1"/>
                <w:szCs w:val="1"/>
                <w:color w:val="auto"/>
              </w:rPr>
            </w:pPr>
          </w:p>
        </w:tc>
      </w:tr>
      <w:tr>
        <w:trPr>
          <w:trHeight w:val="486"/>
        </w:trPr>
        <w:tc>
          <w:tcPr>
            <w:tcW w:w="4100" w:type="dxa"/>
            <w:vAlign w:val="bottom"/>
          </w:tcPr>
          <w:p>
            <w:pPr>
              <w:spacing w:after="0"/>
              <w:rPr>
                <w:sz w:val="20"/>
                <w:szCs w:val="20"/>
                <w:color w:val="auto"/>
              </w:rPr>
            </w:pPr>
            <w:r>
              <w:rPr>
                <w:rFonts w:ascii="Arial" w:cs="Arial" w:eastAsia="Arial" w:hAnsi="Arial"/>
                <w:sz w:val="18"/>
                <w:szCs w:val="18"/>
                <w:color w:val="auto"/>
              </w:rPr>
              <w:t>Six Months Ended September 30, 2010:</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00" w:type="dxa"/>
            <w:vAlign w:val="bottom"/>
            <w:shd w:val="clear" w:color="auto" w:fill="D6F3E8"/>
          </w:tcPr>
          <w:p>
            <w:pPr>
              <w:ind w:left="340"/>
              <w:spacing w:after="0"/>
              <w:rPr>
                <w:sz w:val="20"/>
                <w:szCs w:val="20"/>
                <w:color w:val="auto"/>
              </w:rPr>
            </w:pPr>
            <w:r>
              <w:rPr>
                <w:rFonts w:ascii="Arial" w:cs="Arial" w:eastAsia="Arial" w:hAnsi="Arial"/>
                <w:sz w:val="18"/>
                <w:szCs w:val="18"/>
                <w:color w:val="auto"/>
              </w:rPr>
              <w:t>Sales</w:t>
            </w:r>
          </w:p>
        </w:tc>
        <w:tc>
          <w:tcPr>
            <w:tcW w:w="118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94,734</w:t>
            </w:r>
          </w:p>
        </w:tc>
        <w:tc>
          <w:tcPr>
            <w:tcW w:w="12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50,330</w:t>
            </w:r>
          </w:p>
        </w:tc>
        <w:tc>
          <w:tcPr>
            <w:tcW w:w="34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145,064</w:t>
            </w:r>
          </w:p>
        </w:tc>
        <w:tc>
          <w:tcPr>
            <w:tcW w:w="80" w:type="dxa"/>
            <w:vAlign w:val="bottom"/>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19,923</w:t>
            </w:r>
          </w:p>
        </w:tc>
        <w:tc>
          <w:tcPr>
            <w:tcW w:w="12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16,267</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36,190</w:t>
            </w:r>
          </w:p>
        </w:tc>
        <w:tc>
          <w:tcPr>
            <w:tcW w:w="0" w:type="dxa"/>
            <w:vAlign w:val="bottom"/>
          </w:tcPr>
          <w:p>
            <w:pPr>
              <w:spacing w:after="0"/>
              <w:rPr>
                <w:sz w:val="1"/>
                <w:szCs w:val="1"/>
                <w:color w:val="auto"/>
              </w:rPr>
            </w:pPr>
          </w:p>
        </w:tc>
      </w:tr>
      <w:tr>
        <w:trPr>
          <w:trHeight w:val="243"/>
        </w:trPr>
        <w:tc>
          <w:tcPr>
            <w:tcW w:w="4100" w:type="dxa"/>
            <w:vAlign w:val="bottom"/>
            <w:shd w:val="clear" w:color="auto" w:fill="D6F3E8"/>
          </w:tcPr>
          <w:p>
            <w:pPr>
              <w:ind w:left="340"/>
              <w:spacing w:after="0"/>
              <w:rPr>
                <w:sz w:val="20"/>
                <w:szCs w:val="20"/>
                <w:color w:val="auto"/>
              </w:rPr>
            </w:pPr>
            <w:r>
              <w:rPr>
                <w:rFonts w:ascii="Arial" w:cs="Arial" w:eastAsia="Arial" w:hAnsi="Arial"/>
                <w:sz w:val="18"/>
                <w:szCs w:val="18"/>
                <w:color w:val="auto"/>
              </w:rPr>
              <w:t>Operating income</w:t>
            </w:r>
          </w:p>
        </w:tc>
        <w:tc>
          <w:tcPr>
            <w:tcW w:w="1040" w:type="dxa"/>
            <w:vAlign w:val="bottom"/>
            <w:shd w:val="clear" w:color="auto" w:fill="D6F3E8"/>
          </w:tcPr>
          <w:p>
            <w:pPr>
              <w:spacing w:after="0"/>
              <w:rPr>
                <w:sz w:val="21"/>
                <w:szCs w:val="21"/>
                <w:color w:val="auto"/>
              </w:rPr>
            </w:pPr>
          </w:p>
        </w:tc>
        <w:tc>
          <w:tcPr>
            <w:tcW w:w="140" w:type="dxa"/>
            <w:vAlign w:val="bottom"/>
            <w:shd w:val="clear" w:color="auto" w:fill="D6F3E8"/>
          </w:tcPr>
          <w:p>
            <w:pPr>
              <w:spacing w:after="0"/>
              <w:rPr>
                <w:sz w:val="21"/>
                <w:szCs w:val="21"/>
                <w:color w:val="auto"/>
              </w:rPr>
            </w:pPr>
          </w:p>
        </w:tc>
        <w:tc>
          <w:tcPr>
            <w:tcW w:w="106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11,764</w:t>
            </w:r>
          </w:p>
        </w:tc>
        <w:tc>
          <w:tcPr>
            <w:tcW w:w="120" w:type="dxa"/>
            <w:vAlign w:val="bottom"/>
            <w:shd w:val="clear" w:color="auto" w:fill="D6F3E8"/>
          </w:tcPr>
          <w:p>
            <w:pPr>
              <w:spacing w:after="0"/>
              <w:rPr>
                <w:sz w:val="21"/>
                <w:szCs w:val="21"/>
                <w:color w:val="auto"/>
              </w:rPr>
            </w:pPr>
          </w:p>
        </w:tc>
        <w:tc>
          <w:tcPr>
            <w:tcW w:w="94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10,951</w:t>
            </w:r>
          </w:p>
        </w:tc>
        <w:tc>
          <w:tcPr>
            <w:tcW w:w="140" w:type="dxa"/>
            <w:vAlign w:val="bottom"/>
            <w:shd w:val="clear" w:color="auto" w:fill="D6F3E8"/>
          </w:tcPr>
          <w:p>
            <w:pPr>
              <w:spacing w:after="0"/>
              <w:rPr>
                <w:sz w:val="21"/>
                <w:szCs w:val="21"/>
                <w:color w:val="auto"/>
              </w:rPr>
            </w:pPr>
          </w:p>
        </w:tc>
        <w:tc>
          <w:tcPr>
            <w:tcW w:w="200" w:type="dxa"/>
            <w:vAlign w:val="bottom"/>
            <w:shd w:val="clear" w:color="auto" w:fill="D6F3E8"/>
          </w:tcPr>
          <w:p>
            <w:pPr>
              <w:spacing w:after="0"/>
              <w:rPr>
                <w:sz w:val="21"/>
                <w:szCs w:val="21"/>
                <w:color w:val="auto"/>
              </w:rPr>
            </w:pPr>
          </w:p>
        </w:tc>
        <w:tc>
          <w:tcPr>
            <w:tcW w:w="82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22,715</w:t>
            </w:r>
          </w:p>
        </w:tc>
        <w:tc>
          <w:tcPr>
            <w:tcW w:w="0" w:type="dxa"/>
            <w:vAlign w:val="bottom"/>
          </w:tcPr>
          <w:p>
            <w:pPr>
              <w:spacing w:after="0"/>
              <w:rPr>
                <w:sz w:val="1"/>
                <w:szCs w:val="1"/>
                <w:color w:val="auto"/>
              </w:rPr>
            </w:pPr>
          </w:p>
        </w:tc>
      </w:tr>
      <w:tr>
        <w:trPr>
          <w:trHeight w:val="486"/>
        </w:trPr>
        <w:tc>
          <w:tcPr>
            <w:tcW w:w="4100" w:type="dxa"/>
            <w:vAlign w:val="bottom"/>
          </w:tcPr>
          <w:p>
            <w:pPr>
              <w:spacing w:after="0"/>
              <w:rPr>
                <w:sz w:val="20"/>
                <w:szCs w:val="20"/>
                <w:color w:val="auto"/>
              </w:rPr>
            </w:pPr>
            <w:r>
              <w:rPr>
                <w:rFonts w:ascii="Arial" w:cs="Arial" w:eastAsia="Arial" w:hAnsi="Arial"/>
                <w:sz w:val="18"/>
                <w:szCs w:val="18"/>
                <w:color w:val="auto"/>
              </w:rPr>
              <w:t>Six Months Ended September 30, 2009:</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340"/>
              <w:spacing w:after="0"/>
              <w:rPr>
                <w:sz w:val="20"/>
                <w:szCs w:val="20"/>
                <w:color w:val="auto"/>
              </w:rPr>
            </w:pPr>
            <w:r>
              <w:rPr>
                <w:rFonts w:ascii="Arial" w:cs="Arial" w:eastAsia="Arial" w:hAnsi="Arial"/>
                <w:sz w:val="18"/>
                <w:szCs w:val="18"/>
                <w:color w:val="auto"/>
              </w:rPr>
              <w:t>Sales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91,124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47,438</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138,562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shd w:val="clear" w:color="auto" w:fill="D6F3E8"/>
          </w:tcPr>
          <w:p>
            <w:pPr>
              <w:ind w:left="340"/>
              <w:spacing w:after="0"/>
              <w:rPr>
                <w:sz w:val="20"/>
                <w:szCs w:val="20"/>
                <w:color w:val="auto"/>
              </w:rPr>
            </w:pPr>
            <w:r>
              <w:rPr>
                <w:rFonts w:ascii="Arial" w:cs="Arial" w:eastAsia="Arial" w:hAnsi="Arial"/>
                <w:sz w:val="18"/>
                <w:szCs w:val="18"/>
                <w:color w:val="auto"/>
              </w:rPr>
              <w:t>Gross profit</w:t>
            </w:r>
          </w:p>
        </w:tc>
        <w:tc>
          <w:tcPr>
            <w:tcW w:w="1040" w:type="dxa"/>
            <w:vAlign w:val="bottom"/>
            <w:shd w:val="clear" w:color="auto" w:fill="D6F3E8"/>
          </w:tcPr>
          <w:p>
            <w:pPr>
              <w:spacing w:after="0"/>
              <w:rPr>
                <w:sz w:val="21"/>
                <w:szCs w:val="21"/>
                <w:color w:val="auto"/>
              </w:rPr>
            </w:pPr>
          </w:p>
        </w:tc>
        <w:tc>
          <w:tcPr>
            <w:tcW w:w="140" w:type="dxa"/>
            <w:vAlign w:val="bottom"/>
            <w:shd w:val="clear" w:color="auto" w:fill="D6F3E8"/>
          </w:tcPr>
          <w:p>
            <w:pPr>
              <w:spacing w:after="0"/>
              <w:rPr>
                <w:sz w:val="21"/>
                <w:szCs w:val="21"/>
                <w:color w:val="auto"/>
              </w:rPr>
            </w:pPr>
          </w:p>
        </w:tc>
        <w:tc>
          <w:tcPr>
            <w:tcW w:w="106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17,264</w:t>
            </w:r>
          </w:p>
        </w:tc>
        <w:tc>
          <w:tcPr>
            <w:tcW w:w="120" w:type="dxa"/>
            <w:vAlign w:val="bottom"/>
            <w:shd w:val="clear" w:color="auto" w:fill="D6F3E8"/>
          </w:tcPr>
          <w:p>
            <w:pPr>
              <w:spacing w:after="0"/>
              <w:rPr>
                <w:sz w:val="21"/>
                <w:szCs w:val="21"/>
                <w:color w:val="auto"/>
              </w:rPr>
            </w:pPr>
          </w:p>
        </w:tc>
        <w:tc>
          <w:tcPr>
            <w:tcW w:w="94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16,008</w:t>
            </w:r>
          </w:p>
        </w:tc>
        <w:tc>
          <w:tcPr>
            <w:tcW w:w="140" w:type="dxa"/>
            <w:vAlign w:val="bottom"/>
            <w:shd w:val="clear" w:color="auto" w:fill="D6F3E8"/>
          </w:tcPr>
          <w:p>
            <w:pPr>
              <w:spacing w:after="0"/>
              <w:rPr>
                <w:sz w:val="21"/>
                <w:szCs w:val="21"/>
                <w:color w:val="auto"/>
              </w:rPr>
            </w:pPr>
          </w:p>
        </w:tc>
        <w:tc>
          <w:tcPr>
            <w:tcW w:w="200" w:type="dxa"/>
            <w:vAlign w:val="bottom"/>
            <w:shd w:val="clear" w:color="auto" w:fill="D6F3E8"/>
          </w:tcPr>
          <w:p>
            <w:pPr>
              <w:spacing w:after="0"/>
              <w:rPr>
                <w:sz w:val="21"/>
                <w:szCs w:val="21"/>
                <w:color w:val="auto"/>
              </w:rPr>
            </w:pPr>
          </w:p>
        </w:tc>
        <w:tc>
          <w:tcPr>
            <w:tcW w:w="82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33,272</w:t>
            </w:r>
          </w:p>
        </w:tc>
        <w:tc>
          <w:tcPr>
            <w:tcW w:w="0" w:type="dxa"/>
            <w:vAlign w:val="bottom"/>
          </w:tcPr>
          <w:p>
            <w:pPr>
              <w:spacing w:after="0"/>
              <w:rPr>
                <w:sz w:val="1"/>
                <w:szCs w:val="1"/>
                <w:color w:val="auto"/>
              </w:rPr>
            </w:pPr>
          </w:p>
        </w:tc>
      </w:tr>
      <w:tr>
        <w:trPr>
          <w:trHeight w:val="243"/>
        </w:trPr>
        <w:tc>
          <w:tcPr>
            <w:tcW w:w="4100" w:type="dxa"/>
            <w:vAlign w:val="bottom"/>
          </w:tcPr>
          <w:p>
            <w:pPr>
              <w:ind w:left="340"/>
              <w:spacing w:after="0"/>
              <w:rPr>
                <w:sz w:val="20"/>
                <w:szCs w:val="20"/>
                <w:color w:val="auto"/>
              </w:rPr>
            </w:pPr>
            <w:r>
              <w:rPr>
                <w:rFonts w:ascii="Arial" w:cs="Arial" w:eastAsia="Arial" w:hAnsi="Arial"/>
                <w:sz w:val="18"/>
                <w:szCs w:val="18"/>
                <w:color w:val="auto"/>
              </w:rPr>
              <w:t>Operating income</w:t>
            </w: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9,130</w:t>
            </w:r>
          </w:p>
        </w:tc>
        <w:tc>
          <w:tcPr>
            <w:tcW w:w="12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11,219</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20,349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88" w:lineRule="exact"/>
        <w:rPr>
          <w:sz w:val="20"/>
          <w:szCs w:val="20"/>
          <w:color w:val="auto"/>
        </w:rPr>
      </w:pPr>
    </w:p>
    <w:p>
      <w:pPr>
        <w:ind w:left="960" w:right="1080" w:hanging="971"/>
        <w:spacing w:after="0" w:line="251" w:lineRule="auto"/>
        <w:tabs>
          <w:tab w:leader="none" w:pos="940" w:val="left"/>
        </w:tabs>
        <w:rPr>
          <w:sz w:val="20"/>
          <w:szCs w:val="20"/>
          <w:color w:val="auto"/>
        </w:rPr>
      </w:pPr>
      <w:r>
        <w:rPr>
          <w:rFonts w:ascii="Arial" w:cs="Arial" w:eastAsia="Arial" w:hAnsi="Arial"/>
          <w:sz w:val="22"/>
          <w:szCs w:val="22"/>
          <w:color w:val="0D0E00"/>
        </w:rPr>
        <w:t>ITEM 2.</w:t>
        <w:tab/>
        <w:t>MANAGEMENT’S DISCUSSION AND ANALYSIS OF FINANCIAL CONDITION AND RESULTS OF OPERATIONS</w:t>
      </w:r>
    </w:p>
    <w:p>
      <w:pPr>
        <w:spacing w:after="0" w:line="2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0D0E00"/>
        </w:rPr>
        <w:t>The following is a discussion and analysis of our financial condition and results of operations for the three and six months ended September 30, 2010 as compared to September 30, 2009. This discussion should be read in conjunction with the Condensed Financial Statements and Notes to Condensed Financial Statements included in this Form 10-Q and Item 8 of our Annual Report on Form 10-K for the fiscal year ended March 28, 2010 (“fiscal 2010”). References to fiscal 2011 refer to the fiscal year ending April 3, 2011.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0D0E00"/>
        </w:rPr>
        <w:t>Overview</w:t>
      </w:r>
    </w:p>
    <w:p>
      <w:pPr>
        <w:spacing w:after="0" w:line="25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0D0E00"/>
        </w:rPr>
        <w:t>We derive substantially all of our revenues from the sale of bulk and specialty chemicals to our customers in a wide variety of industries. We began our operations primarily as a distributor of bulk chemicals with a strong customer focus. Over the years we have maintained our strong customer focus and have expanded our business by increasing our sales of value-added specialty chemical products, including repackaging, blending and manufacturing certain products. In recent years, we significantly expanded the sales of our higher-margin blended and manufactured products. We expect this specialty chemical portion of our business to continue to grow.</w:t>
      </w:r>
    </w:p>
    <w:p>
      <w:pPr>
        <w:spacing w:after="0" w:line="21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0D0E00"/>
        </w:rPr>
        <w:t>We have continued to invest in growing our business. In fiscal 2010, we invested in two new facilities, which expanded our ability to service our customers and facilitate growth within our Industrial Group. Our new facility in Centralia, Illinois began operations in July 2009 and primarily serves our food-grade products business. Additionally, our new facility in Minneapolis, Minnesota, built to handle bulk chemicals sold to pharmaceutical manufacturers, became operational in June 2009. We opened one branch for our Water Treatment Group in the first quarter of each of fiscal 2010 and 2011 and expect to continue to invest in new branches to expand our geographic coverage. The cost of these new branches is not expected to be material.</w:t>
      </w:r>
    </w:p>
    <w:p>
      <w:pPr>
        <w:spacing w:after="0" w:line="18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0D0E00"/>
        </w:rPr>
        <w:t>We seek to maintain relatively constant gross profit dollars on each of our products as the cost of our raw materials increase or decrease. Since we expect that we will continue to experience fluctuations in our raw material costs and resulting prices in the future, we believe that gross profit dollars is the best measure of our profitability from the sale of our products. If we maintain relatively stable profit dollars on each of our products, our reported gross profit percentage will decrease when the cost of the product increases and will increase when the cost of the product decreases.</w:t>
      </w:r>
    </w:p>
    <w:p>
      <w:pPr>
        <w:spacing w:after="0" w:line="198" w:lineRule="exact"/>
        <w:rPr>
          <w:sz w:val="20"/>
          <w:szCs w:val="20"/>
          <w:color w:val="auto"/>
        </w:rPr>
      </w:pPr>
    </w:p>
    <w:p>
      <w:pPr>
        <w:spacing w:after="0" w:line="269" w:lineRule="auto"/>
        <w:rPr>
          <w:sz w:val="20"/>
          <w:szCs w:val="20"/>
          <w:color w:val="auto"/>
        </w:rPr>
      </w:pPr>
      <w:r>
        <w:rPr>
          <w:rFonts w:ascii="Arial" w:cs="Arial" w:eastAsia="Arial" w:hAnsi="Arial"/>
          <w:sz w:val="17"/>
          <w:szCs w:val="17"/>
          <w:color w:val="0D0E00"/>
        </w:rPr>
        <w:t>We use the last in, first out (“LIFO”) method of valuing inventory, which causes the most recent product costs to be recognized in our income statement. The valuation of LIFO inventory for interim periods is based on our estimates of fiscal year-end inventory levels and costs. The LIFO inventory valuation method and the resulting cost of sales are consistent with our business practices of pricing to current commodity chemical raw material prices. Our raw material costs have been stable through the first six months of fiscal 2011, although we anticipate some increases in commodity costs by the end of fiscal 2011. As a result of these cost projections, we have recorded a $0.1 million decrease in our LIFO reserve and a corresponding increase in our reported gross profit for the three months ended September 30, 2010. For the six months ended September 30, 2010, we have recorded a $0.7 million increase in our LIFO reserve and a corresponding reduction in our reported gross profit. We anticipate continued competitive pricing pressure, which negatively impacted our margins in the second quarter and may have a negative effect on our margins in the remainder of fiscal 2011. Our raw material costs declined significantly in the first half of fiscal 2010, negatively impacting the results for that period due to selling higher cost inventory on hand at lower market prices. Our use of LIFO partially offsets the impact of the rapidly changing prices, and our LIFO reserve decreased significantly in fiscal 2010 due to declining costs. This decrease in the reserve increased our reported gross profit in the three months ended September 30, 2009 by $4.2 million and in the six months ended September 30, 2009 by $7.0 million.</w:t>
      </w: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0E00"/>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0D0E00"/>
        </w:rPr>
        <w:t>The following table sets forth the percentage relationship of certain items to sales for the period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20" w:type="dxa"/>
            <w:vAlign w:val="bottom"/>
            <w:gridSpan w:val="3"/>
          </w:tcPr>
          <w:p>
            <w:pPr>
              <w:jc w:val="center"/>
              <w:ind w:right="248"/>
              <w:spacing w:after="0"/>
              <w:rPr>
                <w:sz w:val="20"/>
                <w:szCs w:val="20"/>
                <w:color w:val="auto"/>
              </w:rPr>
            </w:pPr>
            <w:r>
              <w:rPr>
                <w:rFonts w:ascii="Arial" w:cs="Arial" w:eastAsia="Arial" w:hAnsi="Arial"/>
                <w:sz w:val="14"/>
                <w:szCs w:val="14"/>
                <w:b w:val="1"/>
                <w:bCs w:val="1"/>
                <w:color w:val="auto"/>
                <w:w w:val="91"/>
              </w:rPr>
              <w:t>Three months ended</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Six months ended</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86"/>
        </w:trPr>
        <w:tc>
          <w:tcPr>
            <w:tcW w:w="5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20" w:type="dxa"/>
            <w:vAlign w:val="bottom"/>
            <w:gridSpan w:val="3"/>
          </w:tcPr>
          <w:p>
            <w:pPr>
              <w:jc w:val="center"/>
              <w:ind w:right="268"/>
              <w:spacing w:after="0"/>
              <w:rPr>
                <w:sz w:val="20"/>
                <w:szCs w:val="20"/>
                <w:color w:val="auto"/>
              </w:rPr>
            </w:pPr>
            <w:r>
              <w:rPr>
                <w:rFonts w:ascii="Arial" w:cs="Arial" w:eastAsia="Arial" w:hAnsi="Arial"/>
                <w:sz w:val="14"/>
                <w:szCs w:val="14"/>
                <w:b w:val="1"/>
                <w:bCs w:val="1"/>
                <w:color w:val="auto"/>
                <w:w w:val="91"/>
              </w:rPr>
              <w:t>September 30,</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28"/>
        </w:trPr>
        <w:tc>
          <w:tcPr>
            <w:tcW w:w="5280" w:type="dxa"/>
            <w:vAlign w:val="bottom"/>
            <w:tcBorders>
              <w:bottom w:val="single" w:sz="8" w:color="D6F3E8"/>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480" w:type="dxa"/>
            <w:vAlign w:val="bottom"/>
            <w:tcBorders>
              <w:bottom w:val="single" w:sz="8" w:color="auto"/>
            </w:tcBorders>
          </w:tcPr>
          <w:p>
            <w:pPr>
              <w:spacing w:after="0"/>
              <w:rPr>
                <w:sz w:val="19"/>
                <w:szCs w:val="19"/>
                <w:color w:val="auto"/>
              </w:rPr>
            </w:pPr>
          </w:p>
        </w:tc>
        <w:tc>
          <w:tcPr>
            <w:tcW w:w="340" w:type="dxa"/>
            <w:vAlign w:val="bottom"/>
            <w:tcBorders>
              <w:bottom w:val="single" w:sz="8" w:color="D6F3E8"/>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440" w:type="dxa"/>
            <w:vAlign w:val="bottom"/>
            <w:tcBorders>
              <w:bottom w:val="single" w:sz="8" w:color="auto"/>
            </w:tcBorders>
          </w:tcPr>
          <w:p>
            <w:pPr>
              <w:spacing w:after="0"/>
              <w:rPr>
                <w:sz w:val="19"/>
                <w:szCs w:val="19"/>
                <w:color w:val="auto"/>
              </w:rPr>
            </w:pPr>
          </w:p>
        </w:tc>
        <w:tc>
          <w:tcPr>
            <w:tcW w:w="340" w:type="dxa"/>
            <w:vAlign w:val="bottom"/>
            <w:tcBorders>
              <w:bottom w:val="single" w:sz="8" w:color="D6F3E8"/>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440" w:type="dxa"/>
            <w:vAlign w:val="bottom"/>
            <w:tcBorders>
              <w:bottom w:val="single" w:sz="8" w:color="auto"/>
            </w:tcBorders>
          </w:tcPr>
          <w:p>
            <w:pPr>
              <w:spacing w:after="0"/>
              <w:rPr>
                <w:sz w:val="19"/>
                <w:szCs w:val="19"/>
                <w:color w:val="auto"/>
              </w:rPr>
            </w:pPr>
          </w:p>
        </w:tc>
        <w:tc>
          <w:tcPr>
            <w:tcW w:w="340" w:type="dxa"/>
            <w:vAlign w:val="bottom"/>
            <w:tcBorders>
              <w:bottom w:val="single" w:sz="8" w:color="D6F3E8"/>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2009</w:t>
            </w:r>
          </w:p>
        </w:tc>
        <w:tc>
          <w:tcPr>
            <w:tcW w:w="160" w:type="dxa"/>
            <w:vAlign w:val="bottom"/>
            <w:tcBorders>
              <w:bottom w:val="single" w:sz="8" w:color="D6F3E8"/>
            </w:tcBorders>
          </w:tcPr>
          <w:p>
            <w:pPr>
              <w:spacing w:after="0"/>
              <w:rPr>
                <w:sz w:val="19"/>
                <w:szCs w:val="19"/>
                <w:color w:val="auto"/>
              </w:rPr>
            </w:pPr>
          </w:p>
        </w:tc>
      </w:tr>
      <w:tr>
        <w:trPr>
          <w:trHeight w:val="237"/>
        </w:trPr>
        <w:tc>
          <w:tcPr>
            <w:tcW w:w="60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Sales</w:t>
            </w:r>
          </w:p>
        </w:tc>
        <w:tc>
          <w:tcPr>
            <w:tcW w:w="82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w w:val="98"/>
              </w:rPr>
              <w:t>100.0%</w:t>
            </w:r>
          </w:p>
        </w:tc>
        <w:tc>
          <w:tcPr>
            <w:tcW w:w="800" w:type="dxa"/>
            <w:vAlign w:val="bottom"/>
            <w:shd w:val="clear" w:color="auto" w:fill="D6F3E8"/>
          </w:tcPr>
          <w:p>
            <w:pPr>
              <w:spacing w:after="0"/>
              <w:rPr>
                <w:sz w:val="20"/>
                <w:szCs w:val="20"/>
                <w:color w:val="auto"/>
              </w:rPr>
            </w:pPr>
          </w:p>
        </w:tc>
        <w:tc>
          <w:tcPr>
            <w:tcW w:w="7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w w:val="91"/>
              </w:rPr>
              <w:t>100.0%</w:t>
            </w:r>
          </w:p>
        </w:tc>
        <w:tc>
          <w:tcPr>
            <w:tcW w:w="800" w:type="dxa"/>
            <w:vAlign w:val="bottom"/>
            <w:shd w:val="clear" w:color="auto" w:fill="D6F3E8"/>
          </w:tcPr>
          <w:p>
            <w:pPr>
              <w:spacing w:after="0"/>
              <w:rPr>
                <w:sz w:val="20"/>
                <w:szCs w:val="20"/>
                <w:color w:val="auto"/>
              </w:rPr>
            </w:pPr>
          </w:p>
        </w:tc>
        <w:tc>
          <w:tcPr>
            <w:tcW w:w="7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w w:val="91"/>
              </w:rPr>
              <w:t>100.0%</w:t>
            </w:r>
          </w:p>
        </w:tc>
        <w:tc>
          <w:tcPr>
            <w:tcW w:w="420" w:type="dxa"/>
            <w:vAlign w:val="bottom"/>
            <w:shd w:val="clear" w:color="auto" w:fill="D6F3E8"/>
          </w:tcPr>
          <w:p>
            <w:pPr>
              <w:spacing w:after="0"/>
              <w:rPr>
                <w:sz w:val="20"/>
                <w:szCs w:val="20"/>
                <w:color w:val="auto"/>
              </w:rPr>
            </w:pPr>
          </w:p>
        </w:tc>
        <w:tc>
          <w:tcPr>
            <w:tcW w:w="98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100.0%</w:t>
            </w:r>
          </w:p>
        </w:tc>
      </w:tr>
      <w:tr>
        <w:trPr>
          <w:trHeight w:val="243"/>
        </w:trPr>
        <w:tc>
          <w:tcPr>
            <w:tcW w:w="5280" w:type="dxa"/>
            <w:vAlign w:val="bottom"/>
          </w:tcPr>
          <w:p>
            <w:pPr>
              <w:spacing w:after="0"/>
              <w:rPr>
                <w:sz w:val="20"/>
                <w:szCs w:val="20"/>
                <w:color w:val="auto"/>
              </w:rPr>
            </w:pPr>
            <w:r>
              <w:rPr>
                <w:rFonts w:ascii="Arial" w:cs="Arial" w:eastAsia="Arial" w:hAnsi="Arial"/>
                <w:sz w:val="18"/>
                <w:szCs w:val="18"/>
                <w:color w:val="auto"/>
              </w:rPr>
              <w:t>Cost of sales</w:t>
            </w:r>
          </w:p>
        </w:tc>
        <w:tc>
          <w:tcPr>
            <w:tcW w:w="760" w:type="dxa"/>
            <w:vAlign w:val="bottom"/>
          </w:tcPr>
          <w:p>
            <w:pPr>
              <w:spacing w:after="0"/>
              <w:rPr>
                <w:sz w:val="21"/>
                <w:szCs w:val="21"/>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(74.8)</w:t>
            </w:r>
          </w:p>
        </w:tc>
        <w:tc>
          <w:tcPr>
            <w:tcW w:w="800" w:type="dxa"/>
            <w:vAlign w:val="bottom"/>
          </w:tcPr>
          <w:p>
            <w:pPr>
              <w:spacing w:after="0"/>
              <w:rPr>
                <w:sz w:val="21"/>
                <w:szCs w:val="21"/>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(73.2)</w:t>
            </w:r>
          </w:p>
        </w:tc>
        <w:tc>
          <w:tcPr>
            <w:tcW w:w="800" w:type="dxa"/>
            <w:vAlign w:val="bottom"/>
          </w:tcPr>
          <w:p>
            <w:pPr>
              <w:spacing w:after="0"/>
              <w:rPr>
                <w:sz w:val="21"/>
                <w:szCs w:val="21"/>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(75.1)</w:t>
            </w:r>
          </w:p>
        </w:tc>
        <w:tc>
          <w:tcPr>
            <w:tcW w:w="42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(76.0)</w:t>
            </w:r>
          </w:p>
        </w:tc>
      </w:tr>
      <w:tr>
        <w:trPr>
          <w:trHeight w:val="237"/>
        </w:trPr>
        <w:tc>
          <w:tcPr>
            <w:tcW w:w="5280" w:type="dxa"/>
            <w:vAlign w:val="bottom"/>
            <w:tcBorders>
              <w:top w:val="single" w:sz="8" w:color="D6F3E8"/>
            </w:tcBorders>
            <w:shd w:val="clear" w:color="auto" w:fill="D6F3E8"/>
          </w:tcPr>
          <w:p>
            <w:pPr>
              <w:spacing w:after="0"/>
              <w:rPr>
                <w:sz w:val="20"/>
                <w:szCs w:val="20"/>
                <w:color w:val="auto"/>
              </w:rPr>
            </w:pPr>
            <w:r>
              <w:rPr>
                <w:rFonts w:ascii="Arial" w:cs="Arial" w:eastAsia="Arial" w:hAnsi="Arial"/>
                <w:sz w:val="18"/>
                <w:szCs w:val="18"/>
                <w:color w:val="auto"/>
              </w:rPr>
              <w:t>Gross profit</w:t>
            </w:r>
          </w:p>
        </w:tc>
        <w:tc>
          <w:tcPr>
            <w:tcW w:w="760" w:type="dxa"/>
            <w:vAlign w:val="bottom"/>
            <w:tcBorders>
              <w:top w:val="single" w:sz="8" w:color="auto"/>
            </w:tcBorders>
            <w:shd w:val="clear" w:color="auto" w:fill="D6F3E8"/>
          </w:tcPr>
          <w:p>
            <w:pPr>
              <w:spacing w:after="0"/>
              <w:rPr>
                <w:sz w:val="20"/>
                <w:szCs w:val="20"/>
                <w:color w:val="auto"/>
              </w:rPr>
            </w:pPr>
          </w:p>
        </w:tc>
        <w:tc>
          <w:tcPr>
            <w:tcW w:w="4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25.2</w:t>
            </w:r>
          </w:p>
        </w:tc>
        <w:tc>
          <w:tcPr>
            <w:tcW w:w="340" w:type="dxa"/>
            <w:vAlign w:val="bottom"/>
            <w:tcBorders>
              <w:top w:val="single" w:sz="8" w:color="D6F3E8"/>
            </w:tcBorders>
            <w:shd w:val="clear" w:color="auto" w:fill="D6F3E8"/>
          </w:tcPr>
          <w:p>
            <w:pPr>
              <w:spacing w:after="0"/>
              <w:rPr>
                <w:sz w:val="20"/>
                <w:szCs w:val="20"/>
                <w:color w:val="auto"/>
              </w:rPr>
            </w:pPr>
          </w:p>
        </w:tc>
        <w:tc>
          <w:tcPr>
            <w:tcW w:w="800" w:type="dxa"/>
            <w:vAlign w:val="bottom"/>
            <w:tcBorders>
              <w:top w:val="single" w:sz="8" w:color="auto"/>
            </w:tcBorders>
            <w:shd w:val="clear" w:color="auto" w:fill="D6F3E8"/>
          </w:tcPr>
          <w:p>
            <w:pPr>
              <w:spacing w:after="0"/>
              <w:rPr>
                <w:sz w:val="20"/>
                <w:szCs w:val="20"/>
                <w:color w:val="auto"/>
              </w:rPr>
            </w:pPr>
          </w:p>
        </w:tc>
        <w:tc>
          <w:tcPr>
            <w:tcW w:w="4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26.8</w:t>
            </w:r>
          </w:p>
        </w:tc>
        <w:tc>
          <w:tcPr>
            <w:tcW w:w="340" w:type="dxa"/>
            <w:vAlign w:val="bottom"/>
            <w:tcBorders>
              <w:top w:val="single" w:sz="8" w:color="D6F3E8"/>
            </w:tcBorders>
            <w:shd w:val="clear" w:color="auto" w:fill="D6F3E8"/>
          </w:tcPr>
          <w:p>
            <w:pPr>
              <w:spacing w:after="0"/>
              <w:rPr>
                <w:sz w:val="20"/>
                <w:szCs w:val="20"/>
                <w:color w:val="auto"/>
              </w:rPr>
            </w:pPr>
          </w:p>
        </w:tc>
        <w:tc>
          <w:tcPr>
            <w:tcW w:w="800" w:type="dxa"/>
            <w:vAlign w:val="bottom"/>
            <w:tcBorders>
              <w:top w:val="single" w:sz="8" w:color="auto"/>
            </w:tcBorders>
            <w:shd w:val="clear" w:color="auto" w:fill="D6F3E8"/>
          </w:tcPr>
          <w:p>
            <w:pPr>
              <w:spacing w:after="0"/>
              <w:rPr>
                <w:sz w:val="20"/>
                <w:szCs w:val="20"/>
                <w:color w:val="auto"/>
              </w:rPr>
            </w:pPr>
          </w:p>
        </w:tc>
        <w:tc>
          <w:tcPr>
            <w:tcW w:w="4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24.9</w:t>
            </w:r>
          </w:p>
        </w:tc>
        <w:tc>
          <w:tcPr>
            <w:tcW w:w="340" w:type="dxa"/>
            <w:vAlign w:val="bottom"/>
            <w:tcBorders>
              <w:top w:val="single" w:sz="8" w:color="D6F3E8"/>
            </w:tcBorders>
            <w:shd w:val="clear" w:color="auto" w:fill="D6F3E8"/>
          </w:tcPr>
          <w:p>
            <w:pPr>
              <w:spacing w:after="0"/>
              <w:rPr>
                <w:sz w:val="20"/>
                <w:szCs w:val="20"/>
                <w:color w:val="auto"/>
              </w:rPr>
            </w:pPr>
          </w:p>
        </w:tc>
        <w:tc>
          <w:tcPr>
            <w:tcW w:w="420" w:type="dxa"/>
            <w:vAlign w:val="bottom"/>
            <w:tcBorders>
              <w:top w:val="single" w:sz="8" w:color="auto"/>
            </w:tcBorders>
            <w:shd w:val="clear" w:color="auto" w:fill="D6F3E8"/>
          </w:tcPr>
          <w:p>
            <w:pPr>
              <w:spacing w:after="0"/>
              <w:rPr>
                <w:sz w:val="20"/>
                <w:szCs w:val="20"/>
                <w:color w:val="auto"/>
              </w:rPr>
            </w:pPr>
          </w:p>
        </w:tc>
        <w:tc>
          <w:tcPr>
            <w:tcW w:w="8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24.0</w:t>
            </w:r>
          </w:p>
        </w:tc>
        <w:tc>
          <w:tcPr>
            <w:tcW w:w="160" w:type="dxa"/>
            <w:vAlign w:val="bottom"/>
            <w:tcBorders>
              <w:top w:val="single" w:sz="8" w:color="D6F3E8"/>
            </w:tcBorders>
            <w:shd w:val="clear" w:color="auto" w:fill="D6F3E8"/>
          </w:tcPr>
          <w:p>
            <w:pPr>
              <w:spacing w:after="0"/>
              <w:rPr>
                <w:sz w:val="20"/>
                <w:szCs w:val="20"/>
                <w:color w:val="auto"/>
              </w:rPr>
            </w:pPr>
          </w:p>
        </w:tc>
      </w:tr>
      <w:tr>
        <w:trPr>
          <w:trHeight w:val="243"/>
        </w:trPr>
        <w:tc>
          <w:tcPr>
            <w:tcW w:w="52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760" w:type="dxa"/>
            <w:vAlign w:val="bottom"/>
          </w:tcPr>
          <w:p>
            <w:pPr>
              <w:spacing w:after="0"/>
              <w:rPr>
                <w:sz w:val="21"/>
                <w:szCs w:val="21"/>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(9.7)</w:t>
            </w:r>
          </w:p>
        </w:tc>
        <w:tc>
          <w:tcPr>
            <w:tcW w:w="800" w:type="dxa"/>
            <w:vAlign w:val="bottom"/>
          </w:tcPr>
          <w:p>
            <w:pPr>
              <w:spacing w:after="0"/>
              <w:rPr>
                <w:sz w:val="21"/>
                <w:szCs w:val="21"/>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(10.1)</w:t>
            </w:r>
          </w:p>
        </w:tc>
        <w:tc>
          <w:tcPr>
            <w:tcW w:w="800" w:type="dxa"/>
            <w:vAlign w:val="bottom"/>
          </w:tcPr>
          <w:p>
            <w:pPr>
              <w:spacing w:after="0"/>
              <w:rPr>
                <w:sz w:val="21"/>
                <w:szCs w:val="21"/>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(9.3)</w:t>
            </w:r>
          </w:p>
        </w:tc>
        <w:tc>
          <w:tcPr>
            <w:tcW w:w="42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r>
      <w:tr>
        <w:trPr>
          <w:trHeight w:val="237"/>
        </w:trPr>
        <w:tc>
          <w:tcPr>
            <w:tcW w:w="5280" w:type="dxa"/>
            <w:vAlign w:val="bottom"/>
            <w:tcBorders>
              <w:top w:val="single" w:sz="8" w:color="D6F3E8"/>
            </w:tcBorders>
            <w:shd w:val="clear" w:color="auto" w:fill="D6F3E8"/>
          </w:tcPr>
          <w:p>
            <w:pPr>
              <w:spacing w:after="0"/>
              <w:rPr>
                <w:sz w:val="20"/>
                <w:szCs w:val="20"/>
                <w:color w:val="auto"/>
              </w:rPr>
            </w:pPr>
            <w:r>
              <w:rPr>
                <w:rFonts w:ascii="Arial" w:cs="Arial" w:eastAsia="Arial" w:hAnsi="Arial"/>
                <w:sz w:val="18"/>
                <w:szCs w:val="18"/>
                <w:color w:val="auto"/>
              </w:rPr>
              <w:t>Operating income</w:t>
            </w:r>
          </w:p>
        </w:tc>
        <w:tc>
          <w:tcPr>
            <w:tcW w:w="760" w:type="dxa"/>
            <w:vAlign w:val="bottom"/>
            <w:tcBorders>
              <w:top w:val="single" w:sz="8" w:color="auto"/>
            </w:tcBorders>
            <w:shd w:val="clear" w:color="auto" w:fill="D6F3E8"/>
          </w:tcPr>
          <w:p>
            <w:pPr>
              <w:spacing w:after="0"/>
              <w:rPr>
                <w:sz w:val="20"/>
                <w:szCs w:val="20"/>
                <w:color w:val="auto"/>
              </w:rPr>
            </w:pPr>
          </w:p>
        </w:tc>
        <w:tc>
          <w:tcPr>
            <w:tcW w:w="4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15.5</w:t>
            </w:r>
          </w:p>
        </w:tc>
        <w:tc>
          <w:tcPr>
            <w:tcW w:w="340" w:type="dxa"/>
            <w:vAlign w:val="bottom"/>
            <w:tcBorders>
              <w:top w:val="single" w:sz="8" w:color="D6F3E8"/>
            </w:tcBorders>
            <w:shd w:val="clear" w:color="auto" w:fill="D6F3E8"/>
          </w:tcPr>
          <w:p>
            <w:pPr>
              <w:spacing w:after="0"/>
              <w:rPr>
                <w:sz w:val="20"/>
                <w:szCs w:val="20"/>
                <w:color w:val="auto"/>
              </w:rPr>
            </w:pPr>
          </w:p>
        </w:tc>
        <w:tc>
          <w:tcPr>
            <w:tcW w:w="800" w:type="dxa"/>
            <w:vAlign w:val="bottom"/>
            <w:tcBorders>
              <w:top w:val="single" w:sz="8" w:color="auto"/>
            </w:tcBorders>
            <w:shd w:val="clear" w:color="auto" w:fill="D6F3E8"/>
          </w:tcPr>
          <w:p>
            <w:pPr>
              <w:spacing w:after="0"/>
              <w:rPr>
                <w:sz w:val="20"/>
                <w:szCs w:val="20"/>
                <w:color w:val="auto"/>
              </w:rPr>
            </w:pPr>
          </w:p>
        </w:tc>
        <w:tc>
          <w:tcPr>
            <w:tcW w:w="4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16.7</w:t>
            </w:r>
          </w:p>
        </w:tc>
        <w:tc>
          <w:tcPr>
            <w:tcW w:w="340" w:type="dxa"/>
            <w:vAlign w:val="bottom"/>
            <w:tcBorders>
              <w:top w:val="single" w:sz="8" w:color="D6F3E8"/>
            </w:tcBorders>
            <w:shd w:val="clear" w:color="auto" w:fill="D6F3E8"/>
          </w:tcPr>
          <w:p>
            <w:pPr>
              <w:spacing w:after="0"/>
              <w:rPr>
                <w:sz w:val="20"/>
                <w:szCs w:val="20"/>
                <w:color w:val="auto"/>
              </w:rPr>
            </w:pPr>
          </w:p>
        </w:tc>
        <w:tc>
          <w:tcPr>
            <w:tcW w:w="800" w:type="dxa"/>
            <w:vAlign w:val="bottom"/>
            <w:tcBorders>
              <w:top w:val="single" w:sz="8" w:color="auto"/>
            </w:tcBorders>
            <w:shd w:val="clear" w:color="auto" w:fill="D6F3E8"/>
          </w:tcPr>
          <w:p>
            <w:pPr>
              <w:spacing w:after="0"/>
              <w:rPr>
                <w:sz w:val="20"/>
                <w:szCs w:val="20"/>
                <w:color w:val="auto"/>
              </w:rPr>
            </w:pPr>
          </w:p>
        </w:tc>
        <w:tc>
          <w:tcPr>
            <w:tcW w:w="4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15.6</w:t>
            </w:r>
          </w:p>
        </w:tc>
        <w:tc>
          <w:tcPr>
            <w:tcW w:w="340" w:type="dxa"/>
            <w:vAlign w:val="bottom"/>
            <w:tcBorders>
              <w:top w:val="single" w:sz="8" w:color="D6F3E8"/>
            </w:tcBorders>
            <w:shd w:val="clear" w:color="auto" w:fill="D6F3E8"/>
          </w:tcPr>
          <w:p>
            <w:pPr>
              <w:spacing w:after="0"/>
              <w:rPr>
                <w:sz w:val="20"/>
                <w:szCs w:val="20"/>
                <w:color w:val="auto"/>
              </w:rPr>
            </w:pPr>
          </w:p>
        </w:tc>
        <w:tc>
          <w:tcPr>
            <w:tcW w:w="420" w:type="dxa"/>
            <w:vAlign w:val="bottom"/>
            <w:tcBorders>
              <w:top w:val="single" w:sz="8" w:color="auto"/>
            </w:tcBorders>
            <w:shd w:val="clear" w:color="auto" w:fill="D6F3E8"/>
          </w:tcPr>
          <w:p>
            <w:pPr>
              <w:spacing w:after="0"/>
              <w:rPr>
                <w:sz w:val="20"/>
                <w:szCs w:val="20"/>
                <w:color w:val="auto"/>
              </w:rPr>
            </w:pPr>
          </w:p>
        </w:tc>
        <w:tc>
          <w:tcPr>
            <w:tcW w:w="8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14.7</w:t>
            </w:r>
          </w:p>
        </w:tc>
        <w:tc>
          <w:tcPr>
            <w:tcW w:w="160" w:type="dxa"/>
            <w:vAlign w:val="bottom"/>
            <w:tcBorders>
              <w:top w:val="single" w:sz="8" w:color="D6F3E8"/>
            </w:tcBorders>
            <w:shd w:val="clear" w:color="auto" w:fill="D6F3E8"/>
          </w:tcPr>
          <w:p>
            <w:pPr>
              <w:spacing w:after="0"/>
              <w:rPr>
                <w:sz w:val="20"/>
                <w:szCs w:val="20"/>
                <w:color w:val="auto"/>
              </w:rPr>
            </w:pPr>
          </w:p>
        </w:tc>
      </w:tr>
      <w:tr>
        <w:trPr>
          <w:trHeight w:val="243"/>
        </w:trPr>
        <w:tc>
          <w:tcPr>
            <w:tcW w:w="5280" w:type="dxa"/>
            <w:vAlign w:val="bottom"/>
            <w:tcBorders>
              <w:bottom w:val="single" w:sz="8" w:color="D6F3E8"/>
            </w:tcBorders>
          </w:tcPr>
          <w:p>
            <w:pPr>
              <w:spacing w:after="0"/>
              <w:rPr>
                <w:sz w:val="20"/>
                <w:szCs w:val="20"/>
                <w:color w:val="auto"/>
              </w:rPr>
            </w:pPr>
            <w:r>
              <w:rPr>
                <w:rFonts w:ascii="Arial" w:cs="Arial" w:eastAsia="Arial" w:hAnsi="Arial"/>
                <w:sz w:val="18"/>
                <w:szCs w:val="18"/>
                <w:color w:val="auto"/>
              </w:rPr>
              <w:t>Investment income</w:t>
            </w:r>
          </w:p>
        </w:tc>
        <w:tc>
          <w:tcPr>
            <w:tcW w:w="7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340" w:type="dxa"/>
            <w:vAlign w:val="bottom"/>
            <w:tcBorders>
              <w:bottom w:val="single" w:sz="8" w:color="D6F3E8"/>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340" w:type="dxa"/>
            <w:vAlign w:val="bottom"/>
            <w:tcBorders>
              <w:bottom w:val="single" w:sz="8" w:color="D6F3E8"/>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340" w:type="dxa"/>
            <w:vAlign w:val="bottom"/>
            <w:tcBorders>
              <w:bottom w:val="single" w:sz="8" w:color="D6F3E8"/>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60" w:type="dxa"/>
            <w:vAlign w:val="bottom"/>
            <w:tcBorders>
              <w:bottom w:val="single" w:sz="8" w:color="D6F3E8"/>
            </w:tcBorders>
          </w:tcPr>
          <w:p>
            <w:pPr>
              <w:spacing w:after="0"/>
              <w:rPr>
                <w:sz w:val="21"/>
                <w:szCs w:val="21"/>
                <w:color w:val="auto"/>
              </w:rPr>
            </w:pPr>
          </w:p>
        </w:tc>
      </w:tr>
      <w:tr>
        <w:trPr>
          <w:trHeight w:val="237"/>
        </w:trPr>
        <w:tc>
          <w:tcPr>
            <w:tcW w:w="60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8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15.6</w:t>
            </w:r>
          </w:p>
        </w:tc>
        <w:tc>
          <w:tcPr>
            <w:tcW w:w="800" w:type="dxa"/>
            <w:vAlign w:val="bottom"/>
            <w:shd w:val="clear" w:color="auto" w:fill="D6F3E8"/>
          </w:tcPr>
          <w:p>
            <w:pPr>
              <w:spacing w:after="0"/>
              <w:rPr>
                <w:sz w:val="20"/>
                <w:szCs w:val="20"/>
                <w:color w:val="auto"/>
              </w:rPr>
            </w:pPr>
          </w:p>
        </w:tc>
        <w:tc>
          <w:tcPr>
            <w:tcW w:w="7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16.8</w:t>
            </w:r>
          </w:p>
        </w:tc>
        <w:tc>
          <w:tcPr>
            <w:tcW w:w="800" w:type="dxa"/>
            <w:vAlign w:val="bottom"/>
            <w:shd w:val="clear" w:color="auto" w:fill="D6F3E8"/>
          </w:tcPr>
          <w:p>
            <w:pPr>
              <w:spacing w:after="0"/>
              <w:rPr>
                <w:sz w:val="20"/>
                <w:szCs w:val="20"/>
                <w:color w:val="auto"/>
              </w:rPr>
            </w:pPr>
          </w:p>
        </w:tc>
        <w:tc>
          <w:tcPr>
            <w:tcW w:w="7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15.7</w:t>
            </w:r>
          </w:p>
        </w:tc>
        <w:tc>
          <w:tcPr>
            <w:tcW w:w="420" w:type="dxa"/>
            <w:vAlign w:val="bottom"/>
            <w:shd w:val="clear" w:color="auto" w:fill="D6F3E8"/>
          </w:tcPr>
          <w:p>
            <w:pPr>
              <w:spacing w:after="0"/>
              <w:rPr>
                <w:sz w:val="20"/>
                <w:szCs w:val="20"/>
                <w:color w:val="auto"/>
              </w:rPr>
            </w:pPr>
          </w:p>
        </w:tc>
        <w:tc>
          <w:tcPr>
            <w:tcW w:w="98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14.8</w:t>
            </w:r>
          </w:p>
        </w:tc>
      </w:tr>
      <w:tr>
        <w:trPr>
          <w:trHeight w:val="243"/>
        </w:trPr>
        <w:tc>
          <w:tcPr>
            <w:tcW w:w="52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760" w:type="dxa"/>
            <w:vAlign w:val="bottom"/>
          </w:tcPr>
          <w:p>
            <w:pPr>
              <w:spacing w:after="0"/>
              <w:rPr>
                <w:sz w:val="21"/>
                <w:szCs w:val="21"/>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(6.0)</w:t>
            </w:r>
          </w:p>
        </w:tc>
        <w:tc>
          <w:tcPr>
            <w:tcW w:w="800" w:type="dxa"/>
            <w:vAlign w:val="bottom"/>
          </w:tcPr>
          <w:p>
            <w:pPr>
              <w:spacing w:after="0"/>
              <w:rPr>
                <w:sz w:val="21"/>
                <w:szCs w:val="21"/>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(6.6)</w:t>
            </w:r>
          </w:p>
        </w:tc>
        <w:tc>
          <w:tcPr>
            <w:tcW w:w="800" w:type="dxa"/>
            <w:vAlign w:val="bottom"/>
          </w:tcPr>
          <w:p>
            <w:pPr>
              <w:spacing w:after="0"/>
              <w:rPr>
                <w:sz w:val="21"/>
                <w:szCs w:val="21"/>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(6.0)</w:t>
            </w:r>
          </w:p>
        </w:tc>
        <w:tc>
          <w:tcPr>
            <w:tcW w:w="42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r>
      <w:tr>
        <w:trPr>
          <w:trHeight w:val="237"/>
        </w:trPr>
        <w:tc>
          <w:tcPr>
            <w:tcW w:w="5280" w:type="dxa"/>
            <w:vAlign w:val="bottom"/>
            <w:tcBorders>
              <w:top w:val="single" w:sz="8" w:color="D6F3E8"/>
            </w:tcBorders>
            <w:shd w:val="clear" w:color="auto" w:fill="D6F3E8"/>
          </w:tcPr>
          <w:p>
            <w:pPr>
              <w:spacing w:after="0"/>
              <w:rPr>
                <w:sz w:val="20"/>
                <w:szCs w:val="20"/>
                <w:color w:val="auto"/>
              </w:rPr>
            </w:pPr>
            <w:r>
              <w:rPr>
                <w:rFonts w:ascii="Arial" w:cs="Arial" w:eastAsia="Arial" w:hAnsi="Arial"/>
                <w:sz w:val="18"/>
                <w:szCs w:val="18"/>
                <w:color w:val="auto"/>
              </w:rPr>
              <w:t>Incoming from continuing operations</w:t>
            </w:r>
          </w:p>
        </w:tc>
        <w:tc>
          <w:tcPr>
            <w:tcW w:w="760" w:type="dxa"/>
            <w:vAlign w:val="bottom"/>
            <w:tcBorders>
              <w:top w:val="single" w:sz="8" w:color="auto"/>
            </w:tcBorders>
            <w:shd w:val="clear" w:color="auto" w:fill="D6F3E8"/>
          </w:tcPr>
          <w:p>
            <w:pPr>
              <w:spacing w:after="0"/>
              <w:rPr>
                <w:sz w:val="20"/>
                <w:szCs w:val="20"/>
                <w:color w:val="auto"/>
              </w:rPr>
            </w:pPr>
          </w:p>
        </w:tc>
        <w:tc>
          <w:tcPr>
            <w:tcW w:w="4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9.6</w:t>
            </w:r>
          </w:p>
        </w:tc>
        <w:tc>
          <w:tcPr>
            <w:tcW w:w="340" w:type="dxa"/>
            <w:vAlign w:val="bottom"/>
            <w:tcBorders>
              <w:top w:val="single" w:sz="8" w:color="D6F3E8"/>
            </w:tcBorders>
            <w:shd w:val="clear" w:color="auto" w:fill="D6F3E8"/>
          </w:tcPr>
          <w:p>
            <w:pPr>
              <w:spacing w:after="0"/>
              <w:rPr>
                <w:sz w:val="20"/>
                <w:szCs w:val="20"/>
                <w:color w:val="auto"/>
              </w:rPr>
            </w:pPr>
          </w:p>
        </w:tc>
        <w:tc>
          <w:tcPr>
            <w:tcW w:w="800" w:type="dxa"/>
            <w:vAlign w:val="bottom"/>
            <w:tcBorders>
              <w:top w:val="single" w:sz="8" w:color="auto"/>
            </w:tcBorders>
            <w:shd w:val="clear" w:color="auto" w:fill="D6F3E8"/>
          </w:tcPr>
          <w:p>
            <w:pPr>
              <w:spacing w:after="0"/>
              <w:rPr>
                <w:sz w:val="20"/>
                <w:szCs w:val="20"/>
                <w:color w:val="auto"/>
              </w:rPr>
            </w:pPr>
          </w:p>
        </w:tc>
        <w:tc>
          <w:tcPr>
            <w:tcW w:w="4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10.2</w:t>
            </w:r>
          </w:p>
        </w:tc>
        <w:tc>
          <w:tcPr>
            <w:tcW w:w="340" w:type="dxa"/>
            <w:vAlign w:val="bottom"/>
            <w:tcBorders>
              <w:top w:val="single" w:sz="8" w:color="D6F3E8"/>
            </w:tcBorders>
            <w:shd w:val="clear" w:color="auto" w:fill="D6F3E8"/>
          </w:tcPr>
          <w:p>
            <w:pPr>
              <w:spacing w:after="0"/>
              <w:rPr>
                <w:sz w:val="20"/>
                <w:szCs w:val="20"/>
                <w:color w:val="auto"/>
              </w:rPr>
            </w:pPr>
          </w:p>
        </w:tc>
        <w:tc>
          <w:tcPr>
            <w:tcW w:w="800" w:type="dxa"/>
            <w:vAlign w:val="bottom"/>
            <w:tcBorders>
              <w:top w:val="single" w:sz="8" w:color="auto"/>
            </w:tcBorders>
            <w:shd w:val="clear" w:color="auto" w:fill="D6F3E8"/>
          </w:tcPr>
          <w:p>
            <w:pPr>
              <w:spacing w:after="0"/>
              <w:rPr>
                <w:sz w:val="20"/>
                <w:szCs w:val="20"/>
                <w:color w:val="auto"/>
              </w:rPr>
            </w:pPr>
          </w:p>
        </w:tc>
        <w:tc>
          <w:tcPr>
            <w:tcW w:w="4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9.7</w:t>
            </w:r>
          </w:p>
        </w:tc>
        <w:tc>
          <w:tcPr>
            <w:tcW w:w="340" w:type="dxa"/>
            <w:vAlign w:val="bottom"/>
            <w:tcBorders>
              <w:top w:val="single" w:sz="8" w:color="D6F3E8"/>
            </w:tcBorders>
            <w:shd w:val="clear" w:color="auto" w:fill="D6F3E8"/>
          </w:tcPr>
          <w:p>
            <w:pPr>
              <w:spacing w:after="0"/>
              <w:rPr>
                <w:sz w:val="20"/>
                <w:szCs w:val="20"/>
                <w:color w:val="auto"/>
              </w:rPr>
            </w:pPr>
          </w:p>
        </w:tc>
        <w:tc>
          <w:tcPr>
            <w:tcW w:w="420" w:type="dxa"/>
            <w:vAlign w:val="bottom"/>
            <w:tcBorders>
              <w:top w:val="single" w:sz="8" w:color="auto"/>
            </w:tcBorders>
            <w:shd w:val="clear" w:color="auto" w:fill="D6F3E8"/>
          </w:tcPr>
          <w:p>
            <w:pPr>
              <w:spacing w:after="0"/>
              <w:rPr>
                <w:sz w:val="20"/>
                <w:szCs w:val="20"/>
                <w:color w:val="auto"/>
              </w:rPr>
            </w:pPr>
          </w:p>
        </w:tc>
        <w:tc>
          <w:tcPr>
            <w:tcW w:w="8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9.2</w:t>
            </w:r>
          </w:p>
        </w:tc>
        <w:tc>
          <w:tcPr>
            <w:tcW w:w="160" w:type="dxa"/>
            <w:vAlign w:val="bottom"/>
            <w:tcBorders>
              <w:top w:val="single" w:sz="8" w:color="D6F3E8"/>
            </w:tcBorders>
            <w:shd w:val="clear" w:color="auto" w:fill="D6F3E8"/>
          </w:tcPr>
          <w:p>
            <w:pPr>
              <w:spacing w:after="0"/>
              <w:rPr>
                <w:sz w:val="20"/>
                <w:szCs w:val="20"/>
                <w:color w:val="auto"/>
              </w:rPr>
            </w:pPr>
          </w:p>
        </w:tc>
      </w:tr>
      <w:tr>
        <w:trPr>
          <w:trHeight w:val="243"/>
        </w:trPr>
        <w:tc>
          <w:tcPr>
            <w:tcW w:w="5280" w:type="dxa"/>
            <w:vAlign w:val="bottom"/>
            <w:tcBorders>
              <w:bottom w:val="single" w:sz="8" w:color="D6F3E8"/>
            </w:tcBorders>
          </w:tcPr>
          <w:p>
            <w:pPr>
              <w:spacing w:after="0"/>
              <w:rPr>
                <w:sz w:val="20"/>
                <w:szCs w:val="20"/>
                <w:color w:val="auto"/>
              </w:rPr>
            </w:pPr>
            <w:r>
              <w:rPr>
                <w:rFonts w:ascii="Arial" w:cs="Arial" w:eastAsia="Arial" w:hAnsi="Arial"/>
                <w:sz w:val="18"/>
                <w:szCs w:val="18"/>
                <w:color w:val="auto"/>
              </w:rPr>
              <w:t>Income from discontinued operations, net of tax</w:t>
            </w:r>
          </w:p>
        </w:tc>
        <w:tc>
          <w:tcPr>
            <w:tcW w:w="7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D6F3E8"/>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D6F3E8"/>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D6F3E8"/>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60" w:type="dxa"/>
            <w:vAlign w:val="bottom"/>
            <w:tcBorders>
              <w:bottom w:val="single" w:sz="8" w:color="D6F3E8"/>
            </w:tcBorders>
          </w:tcPr>
          <w:p>
            <w:pPr>
              <w:spacing w:after="0"/>
              <w:rPr>
                <w:sz w:val="21"/>
                <w:szCs w:val="21"/>
                <w:color w:val="auto"/>
              </w:rPr>
            </w:pPr>
          </w:p>
        </w:tc>
      </w:tr>
      <w:tr>
        <w:trPr>
          <w:trHeight w:val="237"/>
        </w:trPr>
        <w:tc>
          <w:tcPr>
            <w:tcW w:w="5280" w:type="dxa"/>
            <w:vAlign w:val="bottom"/>
            <w:shd w:val="clear" w:color="auto" w:fill="D6F3E8"/>
          </w:tcPr>
          <w:p>
            <w:pPr>
              <w:spacing w:after="0"/>
              <w:rPr>
                <w:sz w:val="20"/>
                <w:szCs w:val="20"/>
                <w:color w:val="auto"/>
              </w:rPr>
            </w:pPr>
            <w:r>
              <w:rPr>
                <w:rFonts w:ascii="Arial" w:cs="Arial" w:eastAsia="Arial" w:hAnsi="Arial"/>
                <w:sz w:val="18"/>
                <w:szCs w:val="18"/>
                <w:color w:val="auto"/>
              </w:rPr>
              <w:t>Net income</w:t>
            </w:r>
          </w:p>
        </w:tc>
        <w:tc>
          <w:tcPr>
            <w:tcW w:w="760" w:type="dxa"/>
            <w:vAlign w:val="bottom"/>
            <w:shd w:val="clear" w:color="auto" w:fill="D6F3E8"/>
          </w:tcPr>
          <w:p>
            <w:pPr>
              <w:spacing w:after="0"/>
              <w:rPr>
                <w:sz w:val="20"/>
                <w:szCs w:val="20"/>
                <w:color w:val="auto"/>
              </w:rPr>
            </w:pPr>
          </w:p>
        </w:tc>
        <w:tc>
          <w:tcPr>
            <w:tcW w:w="82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9.6%</w:t>
            </w:r>
          </w:p>
        </w:tc>
        <w:tc>
          <w:tcPr>
            <w:tcW w:w="800" w:type="dxa"/>
            <w:vAlign w:val="bottom"/>
            <w:shd w:val="clear" w:color="auto" w:fill="D6F3E8"/>
          </w:tcPr>
          <w:p>
            <w:pPr>
              <w:spacing w:after="0"/>
              <w:rPr>
                <w:sz w:val="20"/>
                <w:szCs w:val="20"/>
                <w:color w:val="auto"/>
              </w:rPr>
            </w:pPr>
          </w:p>
        </w:tc>
        <w:tc>
          <w:tcPr>
            <w:tcW w:w="7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10.2%</w:t>
            </w:r>
          </w:p>
        </w:tc>
        <w:tc>
          <w:tcPr>
            <w:tcW w:w="800" w:type="dxa"/>
            <w:vAlign w:val="bottom"/>
            <w:shd w:val="clear" w:color="auto" w:fill="D6F3E8"/>
          </w:tcPr>
          <w:p>
            <w:pPr>
              <w:spacing w:after="0"/>
              <w:rPr>
                <w:sz w:val="20"/>
                <w:szCs w:val="20"/>
                <w:color w:val="auto"/>
              </w:rPr>
            </w:pPr>
          </w:p>
        </w:tc>
        <w:tc>
          <w:tcPr>
            <w:tcW w:w="7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9.7%</w:t>
            </w:r>
          </w:p>
        </w:tc>
        <w:tc>
          <w:tcPr>
            <w:tcW w:w="420" w:type="dxa"/>
            <w:vAlign w:val="bottom"/>
            <w:shd w:val="clear" w:color="auto" w:fill="D6F3E8"/>
          </w:tcPr>
          <w:p>
            <w:pPr>
              <w:spacing w:after="0"/>
              <w:rPr>
                <w:sz w:val="20"/>
                <w:szCs w:val="20"/>
                <w:color w:val="auto"/>
              </w:rPr>
            </w:pPr>
          </w:p>
        </w:tc>
        <w:tc>
          <w:tcPr>
            <w:tcW w:w="98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9.3%</w:t>
            </w:r>
          </w:p>
        </w:tc>
      </w:tr>
      <w:tr>
        <w:trPr>
          <w:trHeight w:val="27"/>
        </w:trPr>
        <w:tc>
          <w:tcPr>
            <w:tcW w:w="5280" w:type="dxa"/>
            <w:vAlign w:val="bottom"/>
            <w:shd w:val="clear" w:color="auto" w:fill="D6F3E8"/>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shd w:val="clear" w:color="auto" w:fill="D6F3E8"/>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shd w:val="clear" w:color="auto" w:fill="D6F3E8"/>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shd w:val="clear" w:color="auto" w:fill="D6F3E8"/>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D6F3E8"/>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0E00"/>
        </w:rPr>
        <w:t>Three Months Ended September 30, 2010 Compared to the Three Months Ended September 30,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0D0E00"/>
        </w:rPr>
        <w:t>Sales</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0D0E00"/>
        </w:rPr>
        <w:t>Sales increased $5.4 million, or 8.3%, to $70.4 million in the three months ended September 30, 2010 as compared to $65.0 million in the same period a year ago. Sales of bulk chemicals, including caustic soda, were approximately 21.0% of sales during the three months ended September 30, 2010 and 18.8% during the three months ended September 30, 2009. We experienced increased sales across many of our product lines in the second quarter of fiscal 2011 as compared to the same period in fiscal 2010.</w:t>
      </w:r>
    </w:p>
    <w:p>
      <w:pPr>
        <w:spacing w:after="0" w:line="21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0D0E00"/>
        </w:rPr>
        <w:t xml:space="preserve">Industrial Segment. </w:t>
      </w:r>
      <w:r>
        <w:rPr>
          <w:rFonts w:ascii="Arial" w:cs="Arial" w:eastAsia="Arial" w:hAnsi="Arial"/>
          <w:sz w:val="18"/>
          <w:szCs w:val="18"/>
          <w:color w:val="0D0E00"/>
        </w:rPr>
        <w:t>Industrial segment sales increased $3.5 million, or 8.5%, to $44.9 million for the three months ended September 30, 2010 as compared to</w:t>
      </w:r>
      <w:r>
        <w:rPr>
          <w:rFonts w:ascii="Arial" w:cs="Arial" w:eastAsia="Arial" w:hAnsi="Arial"/>
          <w:sz w:val="18"/>
          <w:szCs w:val="18"/>
          <w:i w:val="1"/>
          <w:iCs w:val="1"/>
          <w:color w:val="0D0E00"/>
        </w:rPr>
        <w:t xml:space="preserve"> </w:t>
      </w:r>
      <w:r>
        <w:rPr>
          <w:rFonts w:ascii="Arial" w:cs="Arial" w:eastAsia="Arial" w:hAnsi="Arial"/>
          <w:sz w:val="18"/>
          <w:szCs w:val="18"/>
          <w:color w:val="0D0E00"/>
        </w:rPr>
        <w:t>the same period of the prior year, with the increase primarily driven by increased sales of bulk chemicals.</w:t>
      </w:r>
    </w:p>
    <w:p>
      <w:pPr>
        <w:spacing w:after="0" w:line="19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i w:val="1"/>
          <w:iCs w:val="1"/>
          <w:color w:val="0D0E00"/>
        </w:rPr>
        <w:t xml:space="preserve">Water Treatment Segment. </w:t>
      </w:r>
      <w:r>
        <w:rPr>
          <w:rFonts w:ascii="Arial" w:cs="Arial" w:eastAsia="Arial" w:hAnsi="Arial"/>
          <w:sz w:val="16"/>
          <w:szCs w:val="16"/>
          <w:color w:val="0D0E00"/>
        </w:rPr>
        <w:t>Water Treatment segment sales increased $1.9 million, or 8.1%, to $25.5 million for the three months ended September 30, 2010</w:t>
      </w:r>
      <w:r>
        <w:rPr>
          <w:rFonts w:ascii="Arial" w:cs="Arial" w:eastAsia="Arial" w:hAnsi="Arial"/>
          <w:sz w:val="16"/>
          <w:szCs w:val="16"/>
          <w:i w:val="1"/>
          <w:iCs w:val="1"/>
          <w:color w:val="0D0E00"/>
        </w:rPr>
        <w:t xml:space="preserve"> </w:t>
      </w:r>
      <w:r>
        <w:rPr>
          <w:rFonts w:ascii="Arial" w:cs="Arial" w:eastAsia="Arial" w:hAnsi="Arial"/>
          <w:sz w:val="16"/>
          <w:szCs w:val="16"/>
          <w:color w:val="0D0E00"/>
        </w:rPr>
        <w:t>as compared to the same period of the prior year. The sales increase was primarily due to increased sales of manufactured and specialty chemical products.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0D0E00"/>
        </w:rPr>
        <w:t>Gross Profit</w:t>
      </w:r>
    </w:p>
    <w:p>
      <w:pPr>
        <w:spacing w:after="0" w:line="25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0D0E00"/>
        </w:rPr>
        <w:t>Gross profit was $17.7 million, or 25.2% of sales, for the three months ended September 30, 2010, as compared to $17.4 million, or 26.8% of sales, for the three months ended September 30, 2009. The LIFO method of valuing inventory positively impacted gross profit by $0.1 million for the three months ended September 30, 2010 and $4.2 million for the three months ended September 30, 2009. The impact of LIFO in the prior year was primarily due to significant decreases in raw material costs experienced in the first two quarters of fiscal 2010, whereas we have seen raw material costs stabilize through the first half of fiscal 2011 and are expected to increase slightly by the end of the fiscal year.</w:t>
      </w:r>
    </w:p>
    <w:p>
      <w:pPr>
        <w:spacing w:after="0" w:line="215"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0D0E00"/>
        </w:rPr>
        <w:t xml:space="preserve">Industrial Segment. </w:t>
      </w:r>
      <w:r>
        <w:rPr>
          <w:rFonts w:ascii="Arial" w:cs="Arial" w:eastAsia="Arial" w:hAnsi="Arial"/>
          <w:sz w:val="18"/>
          <w:szCs w:val="18"/>
          <w:color w:val="0D0E00"/>
        </w:rPr>
        <w:t>Gross profit for the Industrial segment was $9.6 million, or 21.3% of sales, for the three months ended September 30, 2010, as compared</w:t>
      </w:r>
      <w:r>
        <w:rPr>
          <w:rFonts w:ascii="Arial" w:cs="Arial" w:eastAsia="Arial" w:hAnsi="Arial"/>
          <w:sz w:val="18"/>
          <w:szCs w:val="18"/>
          <w:i w:val="1"/>
          <w:iCs w:val="1"/>
          <w:color w:val="0D0E00"/>
        </w:rPr>
        <w:t xml:space="preserve"> </w:t>
      </w:r>
      <w:r>
        <w:rPr>
          <w:rFonts w:ascii="Arial" w:cs="Arial" w:eastAsia="Arial" w:hAnsi="Arial"/>
          <w:sz w:val="18"/>
          <w:szCs w:val="18"/>
          <w:color w:val="0D0E00"/>
        </w:rPr>
        <w:t>to $8.8 million, or 21.3% of sales, for the three months ended September 30, 2009. The increase in gross profit dollars was attributable to increased sales, primarily of bulk chemicals, which was partially offset by decreases in profits due to competitive pricing pressures. Declining raw material costs in the second quarter of the prior year negatively impacted the per-unit profits realized in that period. The LIFO method of valuing inventory did not have a material impact on gross profit in this segment for the three months ended September 30, 2010 while it positively impacted gross profit by $3.3 million for the three mont hs ended September 30, 2009.</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0D0E00"/>
        </w:rPr>
        <w:t xml:space="preserve">Water Treatment Segment. </w:t>
      </w:r>
      <w:r>
        <w:rPr>
          <w:rFonts w:ascii="Arial" w:cs="Arial" w:eastAsia="Arial" w:hAnsi="Arial"/>
          <w:sz w:val="17"/>
          <w:szCs w:val="17"/>
          <w:color w:val="0D0E00"/>
        </w:rPr>
        <w:t>Gross profit for the Water Treatment segment was $8.2 million, or 32.0% of sales, for the three months ended September 30, 2010,</w:t>
      </w:r>
      <w:r>
        <w:rPr>
          <w:rFonts w:ascii="Arial" w:cs="Arial" w:eastAsia="Arial" w:hAnsi="Arial"/>
          <w:sz w:val="17"/>
          <w:szCs w:val="17"/>
          <w:i w:val="1"/>
          <w:iCs w:val="1"/>
          <w:color w:val="0D0E00"/>
        </w:rPr>
        <w:t xml:space="preserve"> </w:t>
      </w:r>
      <w:r>
        <w:rPr>
          <w:rFonts w:ascii="Arial" w:cs="Arial" w:eastAsia="Arial" w:hAnsi="Arial"/>
          <w:sz w:val="17"/>
          <w:szCs w:val="17"/>
          <w:color w:val="0D0E00"/>
        </w:rPr>
        <w:t>as compared to $8.6 million, or 36.5% of sales, for the three months ended September 30, 2009. The decrease in gross profit dollars was primarily due to increased overhead costs from investments in new facilities and personnel within existing and new markets to support growth in this segment, partially offset by increased sales. The LIFO method of valuing inventory positively impacted gross profit in this segment by $0.1 million for the three months ended September 30, 2010 as compared to $0.9 million for the three months ended September 30, 2009.</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0D0E00"/>
        </w:rPr>
        <w:t>Selling, General and Administrative Expenses</w:t>
      </w:r>
    </w:p>
    <w:p>
      <w:pPr>
        <w:spacing w:after="0" w:line="25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0D0E00"/>
        </w:rPr>
        <w:t>Selling, general and administrative expenses were $6.8 million, or 9.7% of sales, for the three months ended September 30, 2010 as compared to $6.6 million, or 10.1% of sales, for the three months ended September 30, 2009. The increase was primarily a result of higher equity incentive plan costs.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0D0E00"/>
        </w:rPr>
        <w:t>Operating Income</w:t>
      </w:r>
    </w:p>
    <w:p>
      <w:pPr>
        <w:spacing w:after="0" w:line="252"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0D0E00"/>
        </w:rPr>
        <w:t>Operating income was $10.9 million for the three months ended September 30, 2010, an increase of $0.1 million from the same period in the prior year. The Industrial segment increased $0.7 million while the Water Treatment segment decreased $0.6 million. The increase in operating income was driven by increased sales partially offset by decreases in profits due to competitive pricing pressures, and higher overhead costs in the Water Treatment segment.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0D0E00"/>
        </w:rPr>
        <w:t>Investment Income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0D0E00"/>
        </w:rPr>
        <w:t>Investment income was $0.1 million for the three months ended September 30, 2010 and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0D0E00"/>
        </w:rPr>
        <w:t>Provision for Income Taxes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0D0E00"/>
        </w:rPr>
        <w:t>Our effective income tax rate was 38.0% for the three months ended September 30, 2010, compared to 39.0% for the three months ended September 30, 2009.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0D0E00"/>
        </w:rPr>
        <w:t>The effective tax rate is impacted by projected taxable income, permanent items, and effective state tax rate projections.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0E00"/>
        </w:rPr>
        <w:t>Six Months Ended September 30, 2010 Compared to the Six Months Ended September 30,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0D0E00"/>
        </w:rPr>
        <w:t>Sales</w:t>
      </w:r>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0D0E00"/>
        </w:rPr>
        <w:t>Sales increased $6.5 million, or 5.0%, to $145.1 million in the six months ended September 30, 2010 as compared to $138.6 million in the same period a year ago. Sales of bulk chemicals, including caustic soda, were approximately 20.2% of sales during the six months ended September 30, 2010 and 19.1% during the six months ended September 30, 2009. We experienced increased sales across many of our product lines in the six months ended September 30 of fiscal 2011 as compared to the same period in fiscal 2010, which was partially offset by lower selling prices due to lower raw material costs in the first quarter of fiscal 2011 compared to the same period of fiscal 2010.</w:t>
      </w:r>
    </w:p>
    <w:p>
      <w:pPr>
        <w:spacing w:after="0" w:line="215"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0D0E00"/>
        </w:rPr>
        <w:t xml:space="preserve">Industrial Segment. </w:t>
      </w:r>
      <w:r>
        <w:rPr>
          <w:rFonts w:ascii="Arial" w:cs="Arial" w:eastAsia="Arial" w:hAnsi="Arial"/>
          <w:sz w:val="18"/>
          <w:szCs w:val="18"/>
          <w:color w:val="0D0E00"/>
        </w:rPr>
        <w:t>Industrial segment sales increased $3.6 million, or 4.0%, to $94.7 million for the six months ended September 30, 2010 as compared to</w:t>
      </w:r>
      <w:r>
        <w:rPr>
          <w:rFonts w:ascii="Arial" w:cs="Arial" w:eastAsia="Arial" w:hAnsi="Arial"/>
          <w:sz w:val="18"/>
          <w:szCs w:val="18"/>
          <w:i w:val="1"/>
          <w:iCs w:val="1"/>
          <w:color w:val="0D0E00"/>
        </w:rPr>
        <w:t xml:space="preserve"> </w:t>
      </w:r>
      <w:r>
        <w:rPr>
          <w:rFonts w:ascii="Arial" w:cs="Arial" w:eastAsia="Arial" w:hAnsi="Arial"/>
          <w:sz w:val="18"/>
          <w:szCs w:val="18"/>
          <w:color w:val="0D0E00"/>
        </w:rPr>
        <w:t>the same period of the prior year. Increased sales of bulk chemicals and many other product lines were partially offset by reduced selling prices in response to lower raw material costs in the first quarter of fiscal 2011.</w:t>
      </w:r>
    </w:p>
    <w:p>
      <w:pPr>
        <w:spacing w:after="0" w:line="20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i w:val="1"/>
          <w:iCs w:val="1"/>
          <w:color w:val="0D0E00"/>
        </w:rPr>
        <w:t xml:space="preserve">Water Treatment Segment. </w:t>
      </w:r>
      <w:r>
        <w:rPr>
          <w:rFonts w:ascii="Arial" w:cs="Arial" w:eastAsia="Arial" w:hAnsi="Arial"/>
          <w:sz w:val="17"/>
          <w:szCs w:val="17"/>
          <w:color w:val="0D0E00"/>
        </w:rPr>
        <w:t>Water Treatment segment sales increased $2.9 million, or 6.1%, to $50.3 million for the six months ended September 30, 2010 as</w:t>
      </w:r>
      <w:r>
        <w:rPr>
          <w:rFonts w:ascii="Arial" w:cs="Arial" w:eastAsia="Arial" w:hAnsi="Arial"/>
          <w:sz w:val="17"/>
          <w:szCs w:val="17"/>
          <w:i w:val="1"/>
          <w:iCs w:val="1"/>
          <w:color w:val="0D0E00"/>
        </w:rPr>
        <w:t xml:space="preserve"> </w:t>
      </w:r>
      <w:r>
        <w:rPr>
          <w:rFonts w:ascii="Arial" w:cs="Arial" w:eastAsia="Arial" w:hAnsi="Arial"/>
          <w:sz w:val="17"/>
          <w:szCs w:val="17"/>
          <w:color w:val="0D0E00"/>
        </w:rPr>
        <w:t>compared to the same period of the prior year. The sales increase was primarily due to increased sales of manufactured and specialty chemical products, partially offset by lower selling prices due to lower raw material costs in the first quarter of fiscal 2011.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0D0E00"/>
        </w:rPr>
        <w:t>Gross Profit</w:t>
      </w: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0D0E00"/>
        </w:rPr>
        <w:t>Gross profit was $36.2 million, or 24.9% of sales, for the six months ended September 30, 2010, as compared to $33.3 million, or 24.0% of sales, for the six months ended September 30, 2009. Due to projected increases in certain raw material costs at the end of fiscal 2011, the LIFO method of valuing inventory negatively impacted gross profit by $0.7 million for the six months ended September 30, 2010, whereas LIFO positively impacted gross profit by $7.0 million for the six months ended September 30, 2009 due to significant decreases in raw material costs experienced in the first six months of fiscal 2010 and projected to be in place at the end of fiscal 2010.</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0D0E00"/>
        </w:rPr>
        <w:t xml:space="preserve">Industrial Segment. </w:t>
      </w:r>
      <w:r>
        <w:rPr>
          <w:rFonts w:ascii="Arial" w:cs="Arial" w:eastAsia="Arial" w:hAnsi="Arial"/>
          <w:sz w:val="18"/>
          <w:szCs w:val="18"/>
          <w:color w:val="0D0E00"/>
        </w:rPr>
        <w:t>Gross profit for the Industrial segment was $19.9 million, or 21.0% of sales, for the six months ended September 30, 2010, as compared</w:t>
      </w:r>
      <w:r>
        <w:rPr>
          <w:rFonts w:ascii="Arial" w:cs="Arial" w:eastAsia="Arial" w:hAnsi="Arial"/>
          <w:sz w:val="18"/>
          <w:szCs w:val="18"/>
          <w:i w:val="1"/>
          <w:iCs w:val="1"/>
          <w:color w:val="0D0E00"/>
        </w:rPr>
        <w:t xml:space="preserve"> </w:t>
      </w:r>
      <w:r>
        <w:rPr>
          <w:rFonts w:ascii="Arial" w:cs="Arial" w:eastAsia="Arial" w:hAnsi="Arial"/>
          <w:sz w:val="18"/>
          <w:szCs w:val="18"/>
          <w:color w:val="0D0E00"/>
        </w:rPr>
        <w:t>to $17.3 million, or 19.0% of sales, for the six months ended September 30, 2009. The increase in gross profit dollars for this segment in the first six months of fiscal 2011 was attributable to increased sales of bulk chemicals, partially offset by decreases in profits due to competitive pricing pressures. Declining raw material costs in the first two quarters of the prior year negatively impacted the per-unit profits realized in that period. The LIFO method of valuing inventory negatively impacted gross profit by $0.6 million in this segment for the six months ended September 30, 2010 while it positively impacted gross prof it by $5.5 million for the six months ended September 30, 2009.</w:t>
      </w:r>
    </w:p>
    <w:p>
      <w:pPr>
        <w:spacing w:after="0" w:line="22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0D0E00"/>
        </w:rPr>
        <w:t xml:space="preserve">Water Treatment Segment. </w:t>
      </w:r>
      <w:r>
        <w:rPr>
          <w:rFonts w:ascii="Arial" w:cs="Arial" w:eastAsia="Arial" w:hAnsi="Arial"/>
          <w:sz w:val="18"/>
          <w:szCs w:val="18"/>
          <w:color w:val="0D0E00"/>
        </w:rPr>
        <w:t>Gross profit for the Water Treatment segment was $16.3 million, or 32.3% of sales, for the six months ended September 30, 2010,</w:t>
      </w:r>
      <w:r>
        <w:rPr>
          <w:rFonts w:ascii="Arial" w:cs="Arial" w:eastAsia="Arial" w:hAnsi="Arial"/>
          <w:sz w:val="18"/>
          <w:szCs w:val="18"/>
          <w:i w:val="1"/>
          <w:iCs w:val="1"/>
          <w:color w:val="0D0E00"/>
        </w:rPr>
        <w:t xml:space="preserve"> </w:t>
      </w:r>
      <w:r>
        <w:rPr>
          <w:rFonts w:ascii="Arial" w:cs="Arial" w:eastAsia="Arial" w:hAnsi="Arial"/>
          <w:sz w:val="18"/>
          <w:szCs w:val="18"/>
          <w:color w:val="0D0E00"/>
        </w:rPr>
        <w:t>as compared to $16.0 million, or 33.8% of sales, for the six months ended September 30, 2009. The increase in gross profit dollars was primarily due to increased sales of manufactured and specialty chemical products, which was largely offset by increased overhead costs from investments in new facilities and personnel within existing and new markets to support growth in this segment. The LIFO method of valuing inventory negatively impacted gross profit in this segment by $0.1 million for the six months ended September 30, 2010 while it positively impacted gross profit by $1.5 million for the six months ended September 30, 2009.</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0D0E00"/>
        </w:rPr>
        <w:t>Selling, General and Administrative Expenses</w:t>
      </w:r>
    </w:p>
    <w:p>
      <w:pPr>
        <w:spacing w:after="0" w:line="252"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0D0E00"/>
        </w:rPr>
        <w:t>Selling, general and administrative expenses were $13.5 million, or 9.3% of sales, for the six months ended September 30, 2010 as compared to $12.9 million, or 9.3% of sales, for the three months ended September 30, 2009. The increase was primarily a result of higher equity incentive plan costs.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0D0E00"/>
        </w:rPr>
        <w:t>Operating Income</w:t>
      </w:r>
    </w:p>
    <w:p>
      <w:pPr>
        <w:spacing w:after="0" w:line="252"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0D0E00"/>
        </w:rPr>
        <w:t>Operating income was $22.7 million for the six months ended September 30, 2010, an increase of $2.4 million from the same period in the prior year. The Industrial segment increased $2.6 million while the Water Treatment segment decreased $0.2 million. The increase in operating income was driven by increased sales partially offset by decreases in profits due to competitive pricing pressures, and higher overhead costs in the Water Treatment segment.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0D0E00"/>
        </w:rPr>
        <w:t>Investment Income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0D0E00"/>
        </w:rPr>
        <w:t>Investment income was $0.2 million for the six months ended September 30, 2010 compared to $0.1 million for the six months ended September 30, 2009.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0D0E00"/>
        </w:rPr>
        <w:t>Provision for Income Taxes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0D0E00"/>
        </w:rPr>
        <w:t>Our effective income tax rate was 38.2% for the six months ended September 30, 2010, compared to 38.3% for the six months ended September 30, 2009.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0D0E00"/>
        </w:rPr>
        <w:t>The effective tax rate is impacted by projected taxable income, permanent items, and effective state tax rate projections.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0E00"/>
        </w:rPr>
        <w:t>Liquidity and Capital Resources</w:t>
      </w:r>
    </w:p>
    <w:p>
      <w:pPr>
        <w:spacing w:after="0" w:line="25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0D0E00"/>
        </w:rPr>
        <w:t>Cash provided by operations for the six months ended September 30, 2010 was $17.3 million compared to $27.4 million for the six months ended September 30, 2009. The decrease in cash provided by operating activities was due primarily to an increase in working capital balances, including the timing of inventory purchases and the related vendor payments and an increase in trade receivables associated with the timing of customer payments, offset by the increase in net income. The higher levels of cash generated from working capital in the six months ended September 30, 2009 was driven by the rapidly declining material costs and selling prices experienced in that period. Due to the nature of our operations, which includes purchases of large quantities of bulk chemicals, timing of purchases can result in significant changes in working capital investment and the resulting operating cash flow . Historically, our cash requirements increase during the period from April through September as caustic soda inventory levels increase as the majority of barges are received during this period. Additionally, due to the seasonality of the water treatment business, our accounts receivable balance generally increases during the same period.</w:t>
      </w:r>
    </w:p>
    <w:p>
      <w:pPr>
        <w:spacing w:after="0" w:line="22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0D0E00"/>
        </w:rPr>
        <w:t>Cash and investments available-for-sale of $63.0 million at September 30, 2010 increased by $9.3 million as compared with the $53.7 million available as of March 28, 2010, primarily due to cash flows generated from operations, offset by capital expenditures and dividends paid.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0E00"/>
        </w:rPr>
        <w:t>Capital Expenditures</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0D0E00"/>
        </w:rPr>
        <w:t>Capital expenditures were $5.1 million for the six months ended September 30, 2010 compared to $4.5 million in the same period in the prior fiscal year. Capital expenditures related to new facilities projects were approximately $0.4 million for the six months ended September 30, 2010 compared to $2.5 million for the six months ended September 30, 2009. Additional significant capital expenditures during the six months ended September 30, 2010 consisted of approximately $2.1 million for business expansion and process improvement projects, $1.8 million for other facility, regulatory and safety improvements and $0.7 million for new and replacement route sales trucks for the Water Treatment segment. We expect our cash flows from operations will be sufficient to fund our planned capital expenditures for the remainder of fiscal 2011.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0E00"/>
        </w:rPr>
        <w:t>Critical Accounting Policies</w:t>
      </w:r>
    </w:p>
    <w:p>
      <w:pPr>
        <w:spacing w:after="0" w:line="252"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0D0E00"/>
        </w:rPr>
        <w:t>Our significant accounting policies are set forth in Note 1 to our financial statements in our Annual Report on Form 10-K for the fiscal year ended March 28, 2010. The accounting policies used in preparing our interim fiscal 2011 financial statements are the same as those described in our Annual Report.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0E00"/>
        </w:rPr>
        <w:t>Forward-Looking Statements</w:t>
      </w:r>
    </w:p>
    <w:p>
      <w:pPr>
        <w:spacing w:after="0" w:line="25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information presented in this Quarterly Report on Form 10-Q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We intend words such as “anticipate,” “expect,” “intend,” “plan,” “believe,” “seek,” “estimate,” “will” and similar expressions to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Additional information concerning potential factors that could affect future financial results is included in our Annual Report on Form 10-K for the fiscal year ended March 28, 2010. We caution you not to place undue reliance on these forward-looking statements, which reflect our management’s view only as of the date of this Quarterly Report on Form 10-Q. We are not obligated to update these statements or publicly release the result of any revisions to them to reflect events or circumstances after the date of this Quarterly Report on Form 10-Q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88" w:lineRule="exact"/>
        <w:rPr>
          <w:sz w:val="20"/>
          <w:szCs w:val="20"/>
          <w:color w:val="auto"/>
        </w:rPr>
      </w:pPr>
    </w:p>
    <w:p>
      <w:pPr>
        <w:spacing w:after="0"/>
        <w:tabs>
          <w:tab w:leader="none" w:pos="940" w:val="left"/>
        </w:tabs>
        <w:rPr>
          <w:sz w:val="20"/>
          <w:szCs w:val="20"/>
          <w:color w:val="auto"/>
        </w:rPr>
      </w:pPr>
      <w:r>
        <w:rPr>
          <w:rFonts w:ascii="Arial" w:cs="Arial" w:eastAsia="Arial" w:hAnsi="Arial"/>
          <w:sz w:val="22"/>
          <w:szCs w:val="22"/>
          <w:color w:val="0D0E00"/>
        </w:rPr>
        <w:t>ITEM 3.</w:t>
      </w:r>
      <w:r>
        <w:rPr>
          <w:sz w:val="20"/>
          <w:szCs w:val="20"/>
          <w:color w:val="auto"/>
        </w:rPr>
        <w:tab/>
      </w:r>
      <w:r>
        <w:rPr>
          <w:rFonts w:ascii="Arial" w:cs="Arial" w:eastAsia="Arial" w:hAnsi="Arial"/>
          <w:sz w:val="21"/>
          <w:szCs w:val="21"/>
          <w:color w:val="0D0E00"/>
        </w:rPr>
        <w:t>QUANTITATIVE AND QUALITATIVE DISCLOSURES ABOUT MARKET RISK</w:t>
      </w:r>
    </w:p>
    <w:p>
      <w:pPr>
        <w:spacing w:after="0" w:line="240" w:lineRule="exact"/>
        <w:rPr>
          <w:sz w:val="20"/>
          <w:szCs w:val="20"/>
          <w:color w:val="auto"/>
        </w:rPr>
      </w:pPr>
    </w:p>
    <w:p>
      <w:pPr>
        <w:spacing w:after="0" w:line="257" w:lineRule="auto"/>
        <w:rPr>
          <w:sz w:val="20"/>
          <w:szCs w:val="20"/>
          <w:color w:val="auto"/>
        </w:rPr>
      </w:pPr>
      <w:r>
        <w:rPr>
          <w:rFonts w:ascii="Arial" w:cs="Arial" w:eastAsia="Arial" w:hAnsi="Arial"/>
          <w:sz w:val="18"/>
          <w:szCs w:val="18"/>
          <w:color w:val="0D0E00"/>
        </w:rPr>
        <w:t>At September 30, 2010, our investment portfolio included $27.9 million of certificates of deposit classified as fixed income securities and cash and cash equivalents of $35.1 million. The fixed income securities, like all fixed income instruments, are subject to interest rate risks and will decline in value if market interest rates increase. However, while the value of the investment may fluctuate in any given period, we intend to hold our fixed income investments until recovery. Consequently, we would not expect to recognize an adverse impact on net income or cash flows during the holding period. We adjust the carrying value of our investments if impairment occurs that is other than temporary.</w:t>
      </w:r>
    </w:p>
    <w:p>
      <w:pPr>
        <w:spacing w:after="0" w:line="215" w:lineRule="exact"/>
        <w:rPr>
          <w:sz w:val="20"/>
          <w:szCs w:val="20"/>
          <w:color w:val="auto"/>
        </w:rPr>
      </w:pPr>
    </w:p>
    <w:p>
      <w:pPr>
        <w:spacing w:after="0" w:line="264" w:lineRule="auto"/>
        <w:rPr>
          <w:sz w:val="20"/>
          <w:szCs w:val="20"/>
          <w:color w:val="auto"/>
        </w:rPr>
      </w:pPr>
      <w:r>
        <w:rPr>
          <w:rFonts w:ascii="Arial" w:cs="Arial" w:eastAsia="Arial" w:hAnsi="Arial"/>
          <w:sz w:val="18"/>
          <w:szCs w:val="18"/>
          <w:color w:val="0D0E00"/>
        </w:rPr>
        <w:t>We are subject to the risk inherent in the cyclical nature of commodity chemical prices. However, we do not currently purchase forward contracts or otherwise engage in hedging activities with respect to the purchase of commodity chemicals. We attempt to pass changes in material prices on to our customers, however, there are no assurances that we will be able to pass on cost increases in the future.</w:t>
      </w:r>
    </w:p>
    <w:p>
      <w:pPr>
        <w:spacing w:after="0" w:line="201" w:lineRule="exact"/>
        <w:rPr>
          <w:sz w:val="20"/>
          <w:szCs w:val="20"/>
          <w:color w:val="auto"/>
        </w:rPr>
      </w:pPr>
    </w:p>
    <w:p>
      <w:pPr>
        <w:spacing w:after="0"/>
        <w:tabs>
          <w:tab w:leader="none" w:pos="940" w:val="left"/>
        </w:tabs>
        <w:rPr>
          <w:sz w:val="20"/>
          <w:szCs w:val="20"/>
          <w:color w:val="auto"/>
        </w:rPr>
      </w:pPr>
      <w:r>
        <w:rPr>
          <w:rFonts w:ascii="Arial" w:cs="Arial" w:eastAsia="Arial" w:hAnsi="Arial"/>
          <w:sz w:val="22"/>
          <w:szCs w:val="22"/>
          <w:color w:val="0D0E00"/>
        </w:rPr>
        <w:t>ITEM 4.</w:t>
      </w:r>
      <w:r>
        <w:rPr>
          <w:sz w:val="20"/>
          <w:szCs w:val="20"/>
          <w:color w:val="auto"/>
        </w:rPr>
        <w:tab/>
      </w:r>
      <w:r>
        <w:rPr>
          <w:rFonts w:ascii="Arial" w:cs="Arial" w:eastAsia="Arial" w:hAnsi="Arial"/>
          <w:sz w:val="19"/>
          <w:szCs w:val="19"/>
          <w:color w:val="0D0E00"/>
        </w:rPr>
        <w:t>CONTROLS AND PROCEDURES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0D0E00"/>
        </w:rPr>
        <w:t>As of the end of the period covered by this Quarterly Report on Form 10-Q, we conducted an evaluation, under supervision and with the participation of management, including the chief executive officer and chief financial officer, of the effectiveness of the design and operation of our disclosure controls and procedures pursuant to Rules 13a-15 and 15d-15 of the Exchange Act. Based upon that evaluation, our chief executive officer and chief financial officer concluded that our disclosure controls and procedures are effective.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25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second quarter of fiscal 2011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9"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0D0E00"/>
        </w:rPr>
        <w:t>PART II.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0D0E00"/>
        </w:rPr>
        <w:t>ITEM 1A. RISK FACTORS</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0D0E00"/>
        </w:rPr>
        <w:t>There have been no material changes to our risk factors from those disclosed in our Annual Report on Form 10-K for the fiscal year ended March 28, 2010.</w:t>
      </w:r>
    </w:p>
    <w:p>
      <w:pPr>
        <w:spacing w:after="0" w:line="268" w:lineRule="exact"/>
        <w:rPr>
          <w:sz w:val="20"/>
          <w:szCs w:val="20"/>
          <w:color w:val="auto"/>
        </w:rPr>
      </w:pPr>
    </w:p>
    <w:p>
      <w:pPr>
        <w:spacing w:after="0"/>
        <w:tabs>
          <w:tab w:leader="none" w:pos="940" w:val="left"/>
        </w:tabs>
        <w:rPr>
          <w:sz w:val="20"/>
          <w:szCs w:val="20"/>
          <w:color w:val="auto"/>
        </w:rPr>
      </w:pPr>
      <w:r>
        <w:rPr>
          <w:rFonts w:ascii="Arial" w:cs="Arial" w:eastAsia="Arial" w:hAnsi="Arial"/>
          <w:sz w:val="22"/>
          <w:szCs w:val="22"/>
          <w:color w:val="0D0E00"/>
        </w:rPr>
        <w:t>ITEM 6.</w:t>
      </w:r>
      <w:r>
        <w:rPr>
          <w:sz w:val="20"/>
          <w:szCs w:val="20"/>
          <w:color w:val="auto"/>
        </w:rPr>
        <w:tab/>
      </w:r>
      <w:r>
        <w:rPr>
          <w:rFonts w:ascii="Arial" w:cs="Arial" w:eastAsia="Arial" w:hAnsi="Arial"/>
          <w:sz w:val="21"/>
          <w:szCs w:val="21"/>
          <w:color w:val="0D0E00"/>
        </w:rPr>
        <w:t>EXHIBITS</w:t>
      </w:r>
    </w:p>
    <w:p>
      <w:pPr>
        <w:spacing w:after="0" w:line="240"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40" w:type="dxa"/>
            <w:vAlign w:val="bottom"/>
            <w:gridSpan w:val="3"/>
          </w:tcPr>
          <w:p>
            <w:pPr>
              <w:ind w:left="2800"/>
              <w:spacing w:after="0"/>
              <w:rPr>
                <w:sz w:val="20"/>
                <w:szCs w:val="20"/>
                <w:color w:val="auto"/>
              </w:rPr>
            </w:pPr>
            <w:r>
              <w:rPr>
                <w:rFonts w:ascii="Arial" w:cs="Arial" w:eastAsia="Arial" w:hAnsi="Arial"/>
                <w:sz w:val="18"/>
                <w:szCs w:val="18"/>
                <w:color w:val="0D0E00"/>
              </w:rPr>
              <w:t>Exhibit Index</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40" w:type="dxa"/>
            <w:vAlign w:val="bottom"/>
          </w:tcPr>
          <w:p>
            <w:pPr>
              <w:spacing w:after="0"/>
              <w:rPr>
                <w:sz w:val="20"/>
                <w:szCs w:val="20"/>
                <w:color w:val="auto"/>
              </w:rPr>
            </w:pPr>
            <w:r>
              <w:rPr>
                <w:rFonts w:ascii="Arial" w:cs="Arial" w:eastAsia="Arial" w:hAnsi="Arial"/>
                <w:sz w:val="18"/>
                <w:szCs w:val="18"/>
                <w:color w:val="0D0E00"/>
                <w:w w:val="96"/>
              </w:rPr>
              <w:t>Exhibit</w:t>
            </w:r>
          </w:p>
        </w:tc>
        <w:tc>
          <w:tcPr>
            <w:tcW w:w="100" w:type="dxa"/>
            <w:vAlign w:val="bottom"/>
          </w:tcPr>
          <w:p>
            <w:pPr>
              <w:spacing w:after="0"/>
              <w:rPr>
                <w:sz w:val="24"/>
                <w:szCs w:val="24"/>
                <w:color w:val="auto"/>
              </w:rPr>
            </w:pPr>
          </w:p>
        </w:tc>
        <w:tc>
          <w:tcPr>
            <w:tcW w:w="6640" w:type="dxa"/>
            <w:vAlign w:val="bottom"/>
            <w:gridSpan w:val="3"/>
          </w:tcPr>
          <w:p>
            <w:pPr>
              <w:ind w:left="2880"/>
              <w:spacing w:after="0"/>
              <w:rPr>
                <w:sz w:val="20"/>
                <w:szCs w:val="20"/>
                <w:color w:val="auto"/>
              </w:rPr>
            </w:pPr>
            <w:r>
              <w:rPr>
                <w:rFonts w:ascii="Arial" w:cs="Arial" w:eastAsia="Arial" w:hAnsi="Arial"/>
                <w:sz w:val="18"/>
                <w:szCs w:val="18"/>
                <w:color w:val="0D0E00"/>
              </w:rPr>
              <w:t>Description</w:t>
            </w:r>
          </w:p>
        </w:tc>
        <w:tc>
          <w:tcPr>
            <w:tcW w:w="240" w:type="dxa"/>
            <w:vAlign w:val="bottom"/>
          </w:tcPr>
          <w:p>
            <w:pPr>
              <w:spacing w:after="0"/>
              <w:rPr>
                <w:sz w:val="24"/>
                <w:szCs w:val="2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0D0E00"/>
                <w:w w:val="96"/>
              </w:rPr>
              <w:t>Method of Filing</w:t>
            </w:r>
          </w:p>
        </w:tc>
        <w:tc>
          <w:tcPr>
            <w:tcW w:w="0" w:type="dxa"/>
            <w:vAlign w:val="bottom"/>
          </w:tcPr>
          <w:p>
            <w:pPr>
              <w:spacing w:after="0"/>
              <w:rPr>
                <w:sz w:val="1"/>
                <w:szCs w:val="1"/>
                <w:color w:val="auto"/>
              </w:rPr>
            </w:pPr>
          </w:p>
        </w:tc>
      </w:tr>
      <w:tr>
        <w:trPr>
          <w:trHeight w:val="20"/>
        </w:trPr>
        <w:tc>
          <w:tcPr>
            <w:tcW w:w="540" w:type="dxa"/>
            <w:vAlign w:val="bottom"/>
            <w:shd w:val="clear" w:color="auto" w:fill="0D0E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40" w:type="dxa"/>
            <w:vAlign w:val="bottom"/>
            <w:shd w:val="clear" w:color="auto" w:fill="0D0E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D0E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0D0E00"/>
              </w:rPr>
              <w:t>3.1</w:t>
            </w:r>
          </w:p>
        </w:tc>
        <w:tc>
          <w:tcPr>
            <w:tcW w:w="6640" w:type="dxa"/>
            <w:vAlign w:val="bottom"/>
            <w:gridSpan w:val="3"/>
          </w:tcPr>
          <w:p>
            <w:pPr>
              <w:ind w:left="100"/>
              <w:spacing w:after="0"/>
              <w:rPr>
                <w:sz w:val="20"/>
                <w:szCs w:val="20"/>
                <w:color w:val="auto"/>
              </w:rPr>
            </w:pPr>
            <w:r>
              <w:rPr>
                <w:rFonts w:ascii="Arial" w:cs="Arial" w:eastAsia="Arial" w:hAnsi="Arial"/>
                <w:sz w:val="18"/>
                <w:szCs w:val="18"/>
                <w:color w:val="0D0E00"/>
              </w:rPr>
              <w:t>Amended and Restated Articles of Incorporation. (1)</w:t>
            </w:r>
          </w:p>
        </w:tc>
        <w:tc>
          <w:tcPr>
            <w:tcW w:w="240" w:type="dxa"/>
            <w:vAlign w:val="bottom"/>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Incorporated by</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Reference</w:t>
            </w:r>
          </w:p>
        </w:tc>
        <w:tc>
          <w:tcPr>
            <w:tcW w:w="0" w:type="dxa"/>
            <w:vAlign w:val="bottom"/>
          </w:tcPr>
          <w:p>
            <w:pPr>
              <w:spacing w:after="0"/>
              <w:rPr>
                <w:sz w:val="1"/>
                <w:szCs w:val="1"/>
                <w:color w:val="auto"/>
              </w:rPr>
            </w:pPr>
          </w:p>
        </w:tc>
      </w:tr>
      <w:tr>
        <w:trPr>
          <w:trHeight w:val="216"/>
        </w:trPr>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0D0E00"/>
              </w:rPr>
              <w:t>3.2</w:t>
            </w:r>
          </w:p>
        </w:tc>
        <w:tc>
          <w:tcPr>
            <w:tcW w:w="6640" w:type="dxa"/>
            <w:vAlign w:val="bottom"/>
            <w:gridSpan w:val="3"/>
          </w:tcPr>
          <w:p>
            <w:pPr>
              <w:ind w:left="100"/>
              <w:spacing w:after="0"/>
              <w:rPr>
                <w:sz w:val="20"/>
                <w:szCs w:val="20"/>
                <w:color w:val="auto"/>
              </w:rPr>
            </w:pPr>
            <w:r>
              <w:rPr>
                <w:rFonts w:ascii="Arial" w:cs="Arial" w:eastAsia="Arial" w:hAnsi="Arial"/>
                <w:sz w:val="18"/>
                <w:szCs w:val="18"/>
                <w:color w:val="0D0E00"/>
              </w:rPr>
              <w:t>Amended and Restated By-Laws. (2)</w:t>
            </w:r>
          </w:p>
        </w:tc>
        <w:tc>
          <w:tcPr>
            <w:tcW w:w="24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Incorporated by</w:t>
            </w:r>
          </w:p>
        </w:tc>
        <w:tc>
          <w:tcPr>
            <w:tcW w:w="0" w:type="dxa"/>
            <w:vAlign w:val="bottom"/>
          </w:tcPr>
          <w:p>
            <w:pPr>
              <w:spacing w:after="0"/>
              <w:rPr>
                <w:sz w:val="1"/>
                <w:szCs w:val="1"/>
                <w:color w:val="auto"/>
              </w:rPr>
            </w:pPr>
          </w:p>
        </w:tc>
      </w:tr>
      <w:tr>
        <w:trPr>
          <w:trHeight w:val="230"/>
        </w:trPr>
        <w:tc>
          <w:tcPr>
            <w:tcW w:w="6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0D0E00"/>
              </w:rPr>
              <w:t>31.1</w:t>
            </w:r>
          </w:p>
        </w:tc>
        <w:tc>
          <w:tcPr>
            <w:tcW w:w="6640" w:type="dxa"/>
            <w:vAlign w:val="bottom"/>
            <w:gridSpan w:val="3"/>
            <w:vMerge w:val="restart"/>
          </w:tcPr>
          <w:p>
            <w:pPr>
              <w:ind w:left="100"/>
              <w:spacing w:after="0"/>
              <w:rPr>
                <w:sz w:val="20"/>
                <w:szCs w:val="20"/>
                <w:color w:val="auto"/>
              </w:rPr>
            </w:pPr>
            <w:r>
              <w:rPr>
                <w:rFonts w:ascii="Arial" w:cs="Arial" w:eastAsia="Arial" w:hAnsi="Arial"/>
                <w:sz w:val="18"/>
                <w:szCs w:val="18"/>
                <w:color w:val="auto"/>
                <w:w w:val="98"/>
              </w:rPr>
              <w:t>Certification by Chief Executive Officer pursuant to Rule 13a-14(a) of the Exchange</w:t>
            </w:r>
          </w:p>
        </w:tc>
        <w:tc>
          <w:tcPr>
            <w:tcW w:w="24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Reference</w:t>
            </w:r>
          </w:p>
        </w:tc>
        <w:tc>
          <w:tcPr>
            <w:tcW w:w="0" w:type="dxa"/>
            <w:vAlign w:val="bottom"/>
          </w:tcPr>
          <w:p>
            <w:pPr>
              <w:spacing w:after="0"/>
              <w:rPr>
                <w:sz w:val="1"/>
                <w:szCs w:val="1"/>
                <w:color w:val="auto"/>
              </w:rPr>
            </w:pPr>
          </w:p>
        </w:tc>
      </w:tr>
      <w:tr>
        <w:trPr>
          <w:trHeight w:val="202"/>
        </w:trPr>
        <w:tc>
          <w:tcPr>
            <w:tcW w:w="640" w:type="dxa"/>
            <w:vAlign w:val="bottom"/>
            <w:gridSpan w:val="2"/>
            <w:vMerge w:val="continue"/>
          </w:tcPr>
          <w:p>
            <w:pPr>
              <w:spacing w:after="0"/>
              <w:rPr>
                <w:sz w:val="17"/>
                <w:szCs w:val="17"/>
                <w:color w:val="auto"/>
              </w:rPr>
            </w:pPr>
          </w:p>
        </w:tc>
        <w:tc>
          <w:tcPr>
            <w:tcW w:w="664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40" w:type="dxa"/>
            <w:vAlign w:val="bottom"/>
            <w:gridSpan w:val="3"/>
          </w:tcPr>
          <w:p>
            <w:pPr>
              <w:ind w:left="100"/>
              <w:spacing w:after="0"/>
              <w:rPr>
                <w:sz w:val="20"/>
                <w:szCs w:val="20"/>
                <w:color w:val="auto"/>
              </w:rPr>
            </w:pPr>
            <w:r>
              <w:rPr>
                <w:rFonts w:ascii="Arial" w:cs="Arial" w:eastAsia="Arial" w:hAnsi="Arial"/>
                <w:sz w:val="18"/>
                <w:szCs w:val="18"/>
                <w:color w:val="auto"/>
              </w:rPr>
              <w:t>Act.</w:t>
            </w:r>
          </w:p>
        </w:tc>
        <w:tc>
          <w:tcPr>
            <w:tcW w:w="1580" w:type="dxa"/>
            <w:vAlign w:val="bottom"/>
            <w:gridSpan w:val="3"/>
          </w:tcPr>
          <w:p>
            <w:pPr>
              <w:jc w:val="center"/>
              <w:ind w:left="50"/>
              <w:spacing w:after="0"/>
              <w:rPr>
                <w:sz w:val="20"/>
                <w:szCs w:val="20"/>
                <w:color w:val="auto"/>
              </w:rPr>
            </w:pPr>
            <w:r>
              <w:rPr>
                <w:rFonts w:ascii="Arial" w:cs="Arial" w:eastAsia="Arial" w:hAnsi="Arial"/>
                <w:sz w:val="18"/>
                <w:szCs w:val="18"/>
                <w:color w:val="auto"/>
                <w:w w:val="95"/>
              </w:rPr>
              <w:t>Filed Electronically</w:t>
            </w:r>
          </w:p>
        </w:tc>
        <w:tc>
          <w:tcPr>
            <w:tcW w:w="0" w:type="dxa"/>
            <w:vAlign w:val="bottom"/>
          </w:tcPr>
          <w:p>
            <w:pPr>
              <w:spacing w:after="0"/>
              <w:rPr>
                <w:sz w:val="1"/>
                <w:szCs w:val="1"/>
                <w:color w:val="auto"/>
              </w:rPr>
            </w:pPr>
          </w:p>
        </w:tc>
      </w:tr>
      <w:tr>
        <w:trPr>
          <w:trHeight w:val="216"/>
        </w:trPr>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0D0E00"/>
              </w:rPr>
              <w:t>31.2</w:t>
            </w:r>
          </w:p>
        </w:tc>
        <w:tc>
          <w:tcPr>
            <w:tcW w:w="6640" w:type="dxa"/>
            <w:vAlign w:val="bottom"/>
            <w:gridSpan w:val="3"/>
          </w:tcPr>
          <w:p>
            <w:pPr>
              <w:ind w:left="100"/>
              <w:spacing w:after="0"/>
              <w:rPr>
                <w:sz w:val="20"/>
                <w:szCs w:val="20"/>
                <w:color w:val="auto"/>
              </w:rPr>
            </w:pPr>
            <w:r>
              <w:rPr>
                <w:rFonts w:ascii="Arial" w:cs="Arial" w:eastAsia="Arial" w:hAnsi="Arial"/>
                <w:sz w:val="18"/>
                <w:szCs w:val="18"/>
                <w:color w:val="auto"/>
                <w:w w:val="94"/>
              </w:rPr>
              <w:t>Certification by Chief Financial Officer pursuant to Rule 13a-14(a) of the Exchange Act.</w:t>
            </w:r>
          </w:p>
        </w:tc>
        <w:tc>
          <w:tcPr>
            <w:tcW w:w="1580" w:type="dxa"/>
            <w:vAlign w:val="bottom"/>
            <w:gridSpan w:val="3"/>
          </w:tcPr>
          <w:p>
            <w:pPr>
              <w:jc w:val="center"/>
              <w:ind w:left="50"/>
              <w:spacing w:after="0"/>
              <w:rPr>
                <w:sz w:val="20"/>
                <w:szCs w:val="20"/>
                <w:color w:val="auto"/>
              </w:rPr>
            </w:pPr>
            <w:r>
              <w:rPr>
                <w:rFonts w:ascii="Arial" w:cs="Arial" w:eastAsia="Arial" w:hAnsi="Arial"/>
                <w:sz w:val="18"/>
                <w:szCs w:val="18"/>
                <w:color w:val="auto"/>
                <w:w w:val="95"/>
              </w:rPr>
              <w:t>Filed Electronically</w:t>
            </w:r>
          </w:p>
        </w:tc>
        <w:tc>
          <w:tcPr>
            <w:tcW w:w="0" w:type="dxa"/>
            <w:vAlign w:val="bottom"/>
          </w:tcPr>
          <w:p>
            <w:pPr>
              <w:spacing w:after="0"/>
              <w:rPr>
                <w:sz w:val="1"/>
                <w:szCs w:val="1"/>
                <w:color w:val="auto"/>
              </w:rPr>
            </w:pPr>
          </w:p>
        </w:tc>
      </w:tr>
      <w:tr>
        <w:trPr>
          <w:trHeight w:val="216"/>
        </w:trPr>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0D0E00"/>
              </w:rPr>
              <w:t>32.1</w:t>
            </w:r>
          </w:p>
        </w:tc>
        <w:tc>
          <w:tcPr>
            <w:tcW w:w="6640" w:type="dxa"/>
            <w:vAlign w:val="bottom"/>
            <w:gridSpan w:val="3"/>
          </w:tcPr>
          <w:p>
            <w:pPr>
              <w:ind w:left="100"/>
              <w:spacing w:after="0"/>
              <w:rPr>
                <w:sz w:val="20"/>
                <w:szCs w:val="20"/>
                <w:color w:val="auto"/>
              </w:rPr>
            </w:pPr>
            <w:r>
              <w:rPr>
                <w:rFonts w:ascii="Arial" w:cs="Arial" w:eastAsia="Arial" w:hAnsi="Arial"/>
                <w:sz w:val="18"/>
                <w:szCs w:val="18"/>
                <w:color w:val="auto"/>
              </w:rPr>
              <w:t>Section 1350 Certification by Chief Executive Officer.</w:t>
            </w:r>
          </w:p>
        </w:tc>
        <w:tc>
          <w:tcPr>
            <w:tcW w:w="1580" w:type="dxa"/>
            <w:vAlign w:val="bottom"/>
            <w:gridSpan w:val="3"/>
          </w:tcPr>
          <w:p>
            <w:pPr>
              <w:jc w:val="center"/>
              <w:ind w:left="50"/>
              <w:spacing w:after="0"/>
              <w:rPr>
                <w:sz w:val="20"/>
                <w:szCs w:val="20"/>
                <w:color w:val="auto"/>
              </w:rPr>
            </w:pPr>
            <w:r>
              <w:rPr>
                <w:rFonts w:ascii="Arial" w:cs="Arial" w:eastAsia="Arial" w:hAnsi="Arial"/>
                <w:sz w:val="18"/>
                <w:szCs w:val="18"/>
                <w:color w:val="auto"/>
                <w:w w:val="95"/>
              </w:rPr>
              <w:t>Filed Electronically</w:t>
            </w:r>
          </w:p>
        </w:tc>
        <w:tc>
          <w:tcPr>
            <w:tcW w:w="0" w:type="dxa"/>
            <w:vAlign w:val="bottom"/>
          </w:tcPr>
          <w:p>
            <w:pPr>
              <w:spacing w:after="0"/>
              <w:rPr>
                <w:sz w:val="1"/>
                <w:szCs w:val="1"/>
                <w:color w:val="auto"/>
              </w:rPr>
            </w:pPr>
          </w:p>
        </w:tc>
      </w:tr>
      <w:tr>
        <w:trPr>
          <w:trHeight w:val="230"/>
        </w:trPr>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0D0E00"/>
              </w:rPr>
              <w:t>32.2</w:t>
            </w:r>
          </w:p>
        </w:tc>
        <w:tc>
          <w:tcPr>
            <w:tcW w:w="6640" w:type="dxa"/>
            <w:vAlign w:val="bottom"/>
            <w:gridSpan w:val="3"/>
          </w:tcPr>
          <w:p>
            <w:pPr>
              <w:ind w:left="100"/>
              <w:spacing w:after="0"/>
              <w:rPr>
                <w:sz w:val="20"/>
                <w:szCs w:val="20"/>
                <w:color w:val="auto"/>
              </w:rPr>
            </w:pPr>
            <w:r>
              <w:rPr>
                <w:rFonts w:ascii="Arial" w:cs="Arial" w:eastAsia="Arial" w:hAnsi="Arial"/>
                <w:sz w:val="18"/>
                <w:szCs w:val="18"/>
                <w:color w:val="auto"/>
              </w:rPr>
              <w:t>Section 1350 Certification by Chief Financial Officer.</w:t>
            </w:r>
          </w:p>
        </w:tc>
        <w:tc>
          <w:tcPr>
            <w:tcW w:w="1580" w:type="dxa"/>
            <w:vAlign w:val="bottom"/>
            <w:gridSpan w:val="3"/>
          </w:tcPr>
          <w:p>
            <w:pPr>
              <w:jc w:val="center"/>
              <w:ind w:left="50"/>
              <w:spacing w:after="0"/>
              <w:rPr>
                <w:sz w:val="20"/>
                <w:szCs w:val="20"/>
                <w:color w:val="auto"/>
              </w:rPr>
            </w:pPr>
            <w:r>
              <w:rPr>
                <w:rFonts w:ascii="Arial" w:cs="Arial" w:eastAsia="Arial" w:hAnsi="Arial"/>
                <w:sz w:val="18"/>
                <w:szCs w:val="18"/>
                <w:color w:val="auto"/>
                <w:w w:val="95"/>
              </w:rPr>
              <w:t>Filed Electronically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880" w:hanging="332"/>
        <w:spacing w:after="0" w:line="277" w:lineRule="auto"/>
        <w:tabs>
          <w:tab w:leader="none" w:pos="923" w:val="left"/>
        </w:tabs>
        <w:numPr>
          <w:ilvl w:val="0"/>
          <w:numId w:val="1"/>
        </w:numPr>
        <w:rPr>
          <w:rFonts w:ascii="Arial" w:cs="Arial" w:eastAsia="Arial" w:hAnsi="Arial"/>
          <w:sz w:val="18"/>
          <w:szCs w:val="18"/>
          <w:color w:val="0D0E00"/>
        </w:rPr>
      </w:pPr>
      <w:r>
        <w:rPr>
          <w:rFonts w:ascii="Arial" w:cs="Arial" w:eastAsia="Arial" w:hAnsi="Arial"/>
          <w:sz w:val="18"/>
          <w:szCs w:val="18"/>
          <w:color w:val="0D0E00"/>
        </w:rPr>
        <w:t>Incorporated by reference to Exhibit 3.1 to the Company’s Quarterly Report in Form 10-Q for the period ended June 30, 2010 and filed July 29, 2010.</w:t>
      </w:r>
    </w:p>
    <w:p>
      <w:pPr>
        <w:spacing w:after="0" w:line="197" w:lineRule="exact"/>
        <w:rPr>
          <w:rFonts w:ascii="Arial" w:cs="Arial" w:eastAsia="Arial" w:hAnsi="Arial"/>
          <w:sz w:val="18"/>
          <w:szCs w:val="18"/>
          <w:color w:val="0D0E00"/>
        </w:rPr>
      </w:pPr>
    </w:p>
    <w:p>
      <w:pPr>
        <w:ind w:left="920" w:hanging="372"/>
        <w:spacing w:after="0"/>
        <w:tabs>
          <w:tab w:leader="none" w:pos="920" w:val="left"/>
        </w:tabs>
        <w:numPr>
          <w:ilvl w:val="0"/>
          <w:numId w:val="1"/>
        </w:numPr>
        <w:rPr>
          <w:rFonts w:ascii="Arial" w:cs="Arial" w:eastAsia="Arial" w:hAnsi="Arial"/>
          <w:sz w:val="16"/>
          <w:szCs w:val="16"/>
          <w:color w:val="0D0E00"/>
        </w:rPr>
      </w:pPr>
      <w:r>
        <w:rPr>
          <w:rFonts w:ascii="Arial" w:cs="Arial" w:eastAsia="Arial" w:hAnsi="Arial"/>
          <w:sz w:val="16"/>
          <w:szCs w:val="16"/>
          <w:color w:val="0D0E00"/>
        </w:rPr>
        <w:t>Incorporated by reference to Exhibit 3.1 to the Company’s Current Report on Form 8-K dated October 28, 2009 and filed November 3,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60"/>
          </w:cols>
          <w:pgMar w:left="240" w:top="368" w:right="39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0D0E00"/>
        </w:rPr>
        <w:t>SIGNATURES</w:t>
      </w:r>
    </w:p>
    <w:p>
      <w:pPr>
        <w:spacing w:after="0" w:line="222" w:lineRule="exact"/>
        <w:rPr>
          <w:sz w:val="20"/>
          <w:szCs w:val="20"/>
          <w:color w:val="auto"/>
        </w:rPr>
      </w:pPr>
    </w:p>
    <w:p>
      <w:pPr>
        <w:spacing w:after="0" w:line="277" w:lineRule="auto"/>
        <w:rPr>
          <w:sz w:val="20"/>
          <w:szCs w:val="20"/>
          <w:color w:val="auto"/>
        </w:rPr>
      </w:pPr>
      <w:r>
        <w:rPr>
          <w:rFonts w:ascii="Arial" w:cs="Arial" w:eastAsia="Arial" w:hAnsi="Arial"/>
          <w:sz w:val="18"/>
          <w:szCs w:val="18"/>
          <w:color w:val="0D0E00"/>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100"/>
        <w:spacing w:after="0"/>
        <w:rPr>
          <w:sz w:val="20"/>
          <w:szCs w:val="20"/>
          <w:color w:val="auto"/>
        </w:rPr>
      </w:pPr>
      <w:r>
        <w:rPr>
          <w:rFonts w:ascii="Arial" w:cs="Arial" w:eastAsia="Arial" w:hAnsi="Arial"/>
          <w:sz w:val="18"/>
          <w:szCs w:val="18"/>
          <w:color w:val="0D0E00"/>
        </w:rPr>
        <w:t>HAWKINS, INC.</w:t>
      </w:r>
    </w:p>
    <w:p>
      <w:pPr>
        <w:spacing w:after="0" w:line="306" w:lineRule="exact"/>
        <w:rPr>
          <w:sz w:val="20"/>
          <w:szCs w:val="20"/>
          <w:color w:val="auto"/>
        </w:rPr>
      </w:pPr>
    </w:p>
    <w:p>
      <w:pPr>
        <w:ind w:left="6100"/>
        <w:spacing w:after="0"/>
        <w:tabs>
          <w:tab w:leader="none" w:pos="7780" w:val="left"/>
        </w:tabs>
        <w:rPr>
          <w:sz w:val="20"/>
          <w:szCs w:val="20"/>
          <w:color w:val="auto"/>
        </w:rPr>
      </w:pPr>
      <w:r>
        <w:rPr>
          <w:rFonts w:ascii="Arial" w:cs="Arial" w:eastAsia="Arial" w:hAnsi="Arial"/>
          <w:sz w:val="18"/>
          <w:szCs w:val="18"/>
          <w:color w:val="0D0E00"/>
        </w:rPr>
        <w:t>By:</w:t>
      </w:r>
      <w:r>
        <w:rPr>
          <w:sz w:val="20"/>
          <w:szCs w:val="20"/>
          <w:color w:val="auto"/>
        </w:rPr>
        <w:tab/>
      </w:r>
      <w:r>
        <w:rPr>
          <w:rFonts w:ascii="Arial" w:cs="Arial" w:eastAsia="Arial" w:hAnsi="Arial"/>
          <w:sz w:val="18"/>
          <w:szCs w:val="18"/>
          <w:color w:val="0D0E00"/>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14605</wp:posOffset>
            </wp:positionV>
            <wp:extent cx="28384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46" w:lineRule="exact"/>
        <w:rPr>
          <w:sz w:val="20"/>
          <w:szCs w:val="20"/>
          <w:color w:val="auto"/>
        </w:rPr>
      </w:pPr>
    </w:p>
    <w:p>
      <w:pPr>
        <w:jc w:val="center"/>
        <w:ind w:left="5800"/>
        <w:spacing w:after="0"/>
        <w:rPr>
          <w:sz w:val="20"/>
          <w:szCs w:val="20"/>
          <w:color w:val="auto"/>
        </w:rPr>
      </w:pPr>
      <w:r>
        <w:rPr>
          <w:rFonts w:ascii="Arial" w:cs="Arial" w:eastAsia="Arial" w:hAnsi="Arial"/>
          <w:sz w:val="18"/>
          <w:szCs w:val="18"/>
          <w:color w:val="0D0E00"/>
        </w:rPr>
        <w:t>Kathleen P. Pepski</w:t>
      </w:r>
    </w:p>
    <w:p>
      <w:pPr>
        <w:spacing w:after="0" w:line="225" w:lineRule="exact"/>
        <w:rPr>
          <w:sz w:val="20"/>
          <w:szCs w:val="20"/>
          <w:color w:val="auto"/>
        </w:rPr>
      </w:pPr>
    </w:p>
    <w:p>
      <w:pPr>
        <w:jc w:val="center"/>
        <w:ind w:left="5800"/>
        <w:spacing w:after="0"/>
        <w:rPr>
          <w:sz w:val="20"/>
          <w:szCs w:val="20"/>
          <w:color w:val="auto"/>
        </w:rPr>
      </w:pPr>
      <w:r>
        <w:rPr>
          <w:rFonts w:ascii="Arial" w:cs="Arial" w:eastAsia="Arial" w:hAnsi="Arial"/>
          <w:sz w:val="18"/>
          <w:szCs w:val="18"/>
          <w:color w:val="0D0E00"/>
        </w:rPr>
        <w:t>Vice President, Chief Financial Officer, and Treasurer</w:t>
      </w:r>
    </w:p>
    <w:p>
      <w:pPr>
        <w:spacing w:after="0" w:line="23" w:lineRule="exact"/>
        <w:rPr>
          <w:sz w:val="20"/>
          <w:szCs w:val="20"/>
          <w:color w:val="auto"/>
        </w:rPr>
      </w:pPr>
    </w:p>
    <w:p>
      <w:pPr>
        <w:jc w:val="center"/>
        <w:ind w:left="5800"/>
        <w:spacing w:after="0"/>
        <w:rPr>
          <w:sz w:val="20"/>
          <w:szCs w:val="20"/>
          <w:color w:val="auto"/>
        </w:rPr>
      </w:pPr>
      <w:r>
        <w:rPr>
          <w:rFonts w:ascii="Arial" w:cs="Arial" w:eastAsia="Arial" w:hAnsi="Arial"/>
          <w:sz w:val="18"/>
          <w:szCs w:val="18"/>
          <w:color w:val="0D0E00"/>
        </w:rPr>
        <w:t>(On behalf of the Registrant and as principal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D0E00"/>
        </w:rPr>
        <w:t>Dated: October 28,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368" w:right="37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82" w:lineRule="exact"/>
        <w:rPr>
          <w:sz w:val="20"/>
          <w:szCs w:val="20"/>
          <w:color w:val="auto"/>
        </w:rPr>
      </w:pPr>
    </w:p>
    <w:p>
      <w:pPr>
        <w:ind w:left="3940"/>
        <w:spacing w:after="0"/>
        <w:rPr>
          <w:sz w:val="20"/>
          <w:szCs w:val="20"/>
          <w:color w:val="auto"/>
        </w:rPr>
      </w:pPr>
      <w:r>
        <w:rPr>
          <w:rFonts w:ascii="Arial" w:cs="Arial" w:eastAsia="Arial" w:hAnsi="Arial"/>
          <w:sz w:val="22"/>
          <w:szCs w:val="22"/>
          <w:b w:val="1"/>
          <w:bCs w:val="1"/>
          <w:color w:val="0D0E00"/>
        </w:rPr>
        <w:t>Exhibit Index</w:t>
      </w:r>
    </w:p>
    <w:p>
      <w:pPr>
        <w:spacing w:after="0" w:line="229"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Arial" w:cs="Arial" w:eastAsia="Arial" w:hAnsi="Arial"/>
                <w:sz w:val="18"/>
                <w:szCs w:val="18"/>
                <w:color w:val="0D0E00"/>
                <w:w w:val="96"/>
              </w:rPr>
              <w:t>Exhibit</w:t>
            </w:r>
          </w:p>
        </w:tc>
        <w:tc>
          <w:tcPr>
            <w:tcW w:w="100" w:type="dxa"/>
            <w:vAlign w:val="bottom"/>
          </w:tcPr>
          <w:p>
            <w:pPr>
              <w:spacing w:after="0"/>
              <w:rPr>
                <w:sz w:val="17"/>
                <w:szCs w:val="17"/>
                <w:color w:val="auto"/>
              </w:rPr>
            </w:pPr>
          </w:p>
        </w:tc>
        <w:tc>
          <w:tcPr>
            <w:tcW w:w="6640" w:type="dxa"/>
            <w:vAlign w:val="bottom"/>
            <w:gridSpan w:val="3"/>
          </w:tcPr>
          <w:p>
            <w:pPr>
              <w:ind w:left="2880"/>
              <w:spacing w:after="0"/>
              <w:rPr>
                <w:sz w:val="20"/>
                <w:szCs w:val="20"/>
                <w:color w:val="auto"/>
              </w:rPr>
            </w:pPr>
            <w:r>
              <w:rPr>
                <w:rFonts w:ascii="Arial" w:cs="Arial" w:eastAsia="Arial" w:hAnsi="Arial"/>
                <w:sz w:val="18"/>
                <w:szCs w:val="18"/>
                <w:color w:val="0D0E00"/>
              </w:rPr>
              <w:t>Description</w:t>
            </w:r>
          </w:p>
        </w:tc>
        <w:tc>
          <w:tcPr>
            <w:tcW w:w="24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0D0E00"/>
                <w:w w:val="96"/>
              </w:rPr>
              <w:t>Method of Filing</w:t>
            </w:r>
          </w:p>
        </w:tc>
        <w:tc>
          <w:tcPr>
            <w:tcW w:w="0" w:type="dxa"/>
            <w:vAlign w:val="bottom"/>
          </w:tcPr>
          <w:p>
            <w:pPr>
              <w:spacing w:after="0"/>
              <w:rPr>
                <w:sz w:val="1"/>
                <w:szCs w:val="1"/>
                <w:color w:val="auto"/>
              </w:rPr>
            </w:pPr>
          </w:p>
        </w:tc>
      </w:tr>
      <w:tr>
        <w:trPr>
          <w:trHeight w:val="20"/>
        </w:trPr>
        <w:tc>
          <w:tcPr>
            <w:tcW w:w="540" w:type="dxa"/>
            <w:vAlign w:val="bottom"/>
            <w:shd w:val="clear" w:color="auto" w:fill="0D0E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40" w:type="dxa"/>
            <w:vAlign w:val="bottom"/>
            <w:shd w:val="clear" w:color="auto" w:fill="0D0E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D0E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0D0E00"/>
              </w:rPr>
              <w:t>3.1</w:t>
            </w:r>
          </w:p>
        </w:tc>
        <w:tc>
          <w:tcPr>
            <w:tcW w:w="6640" w:type="dxa"/>
            <w:vAlign w:val="bottom"/>
            <w:gridSpan w:val="3"/>
          </w:tcPr>
          <w:p>
            <w:pPr>
              <w:ind w:left="100"/>
              <w:spacing w:after="0"/>
              <w:rPr>
                <w:sz w:val="20"/>
                <w:szCs w:val="20"/>
                <w:color w:val="auto"/>
              </w:rPr>
            </w:pPr>
            <w:r>
              <w:rPr>
                <w:rFonts w:ascii="Arial" w:cs="Arial" w:eastAsia="Arial" w:hAnsi="Arial"/>
                <w:sz w:val="18"/>
                <w:szCs w:val="18"/>
                <w:color w:val="0D0E00"/>
              </w:rPr>
              <w:t>Amended and Restated Articles of Incorporation.</w:t>
            </w:r>
          </w:p>
        </w:tc>
        <w:tc>
          <w:tcPr>
            <w:tcW w:w="240" w:type="dxa"/>
            <w:vAlign w:val="bottom"/>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Incorporated by</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Reference</w:t>
            </w:r>
          </w:p>
        </w:tc>
        <w:tc>
          <w:tcPr>
            <w:tcW w:w="0" w:type="dxa"/>
            <w:vAlign w:val="bottom"/>
          </w:tcPr>
          <w:p>
            <w:pPr>
              <w:spacing w:after="0"/>
              <w:rPr>
                <w:sz w:val="1"/>
                <w:szCs w:val="1"/>
                <w:color w:val="auto"/>
              </w:rPr>
            </w:pPr>
          </w:p>
        </w:tc>
      </w:tr>
      <w:tr>
        <w:trPr>
          <w:trHeight w:val="216"/>
        </w:trPr>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0D0E00"/>
              </w:rPr>
              <w:t>3.2</w:t>
            </w:r>
          </w:p>
        </w:tc>
        <w:tc>
          <w:tcPr>
            <w:tcW w:w="6640" w:type="dxa"/>
            <w:vAlign w:val="bottom"/>
            <w:gridSpan w:val="3"/>
          </w:tcPr>
          <w:p>
            <w:pPr>
              <w:ind w:left="100"/>
              <w:spacing w:after="0"/>
              <w:rPr>
                <w:sz w:val="20"/>
                <w:szCs w:val="20"/>
                <w:color w:val="auto"/>
              </w:rPr>
            </w:pPr>
            <w:r>
              <w:rPr>
                <w:rFonts w:ascii="Arial" w:cs="Arial" w:eastAsia="Arial" w:hAnsi="Arial"/>
                <w:sz w:val="18"/>
                <w:szCs w:val="18"/>
                <w:color w:val="0D0E00"/>
              </w:rPr>
              <w:t>Amended and Restated By-Laws. (1)</w:t>
            </w:r>
          </w:p>
        </w:tc>
        <w:tc>
          <w:tcPr>
            <w:tcW w:w="24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Incorporated by</w:t>
            </w:r>
          </w:p>
        </w:tc>
        <w:tc>
          <w:tcPr>
            <w:tcW w:w="0" w:type="dxa"/>
            <w:vAlign w:val="bottom"/>
          </w:tcPr>
          <w:p>
            <w:pPr>
              <w:spacing w:after="0"/>
              <w:rPr>
                <w:sz w:val="1"/>
                <w:szCs w:val="1"/>
                <w:color w:val="auto"/>
              </w:rPr>
            </w:pPr>
          </w:p>
        </w:tc>
      </w:tr>
      <w:tr>
        <w:trPr>
          <w:trHeight w:val="230"/>
        </w:trPr>
        <w:tc>
          <w:tcPr>
            <w:tcW w:w="6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0D0E00"/>
              </w:rPr>
              <w:t>31.1</w:t>
            </w:r>
          </w:p>
        </w:tc>
        <w:tc>
          <w:tcPr>
            <w:tcW w:w="6640" w:type="dxa"/>
            <w:vAlign w:val="bottom"/>
            <w:gridSpan w:val="3"/>
            <w:vMerge w:val="restart"/>
          </w:tcPr>
          <w:p>
            <w:pPr>
              <w:ind w:left="100"/>
              <w:spacing w:after="0"/>
              <w:rPr>
                <w:sz w:val="20"/>
                <w:szCs w:val="20"/>
                <w:color w:val="auto"/>
              </w:rPr>
            </w:pPr>
            <w:r>
              <w:rPr>
                <w:rFonts w:ascii="Arial" w:cs="Arial" w:eastAsia="Arial" w:hAnsi="Arial"/>
                <w:sz w:val="18"/>
                <w:szCs w:val="18"/>
                <w:color w:val="auto"/>
                <w:w w:val="98"/>
              </w:rPr>
              <w:t>Certification by Chief Executive Officer pursuant to Rule 13a-14(a) of the Exchange</w:t>
            </w:r>
          </w:p>
        </w:tc>
        <w:tc>
          <w:tcPr>
            <w:tcW w:w="24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Reference</w:t>
            </w:r>
          </w:p>
        </w:tc>
        <w:tc>
          <w:tcPr>
            <w:tcW w:w="0" w:type="dxa"/>
            <w:vAlign w:val="bottom"/>
          </w:tcPr>
          <w:p>
            <w:pPr>
              <w:spacing w:after="0"/>
              <w:rPr>
                <w:sz w:val="1"/>
                <w:szCs w:val="1"/>
                <w:color w:val="auto"/>
              </w:rPr>
            </w:pPr>
          </w:p>
        </w:tc>
      </w:tr>
      <w:tr>
        <w:trPr>
          <w:trHeight w:val="202"/>
        </w:trPr>
        <w:tc>
          <w:tcPr>
            <w:tcW w:w="640" w:type="dxa"/>
            <w:vAlign w:val="bottom"/>
            <w:gridSpan w:val="2"/>
            <w:vMerge w:val="continue"/>
          </w:tcPr>
          <w:p>
            <w:pPr>
              <w:spacing w:after="0"/>
              <w:rPr>
                <w:sz w:val="17"/>
                <w:szCs w:val="17"/>
                <w:color w:val="auto"/>
              </w:rPr>
            </w:pPr>
          </w:p>
        </w:tc>
        <w:tc>
          <w:tcPr>
            <w:tcW w:w="664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40" w:type="dxa"/>
            <w:vAlign w:val="bottom"/>
            <w:gridSpan w:val="3"/>
          </w:tcPr>
          <w:p>
            <w:pPr>
              <w:ind w:left="100"/>
              <w:spacing w:after="0"/>
              <w:rPr>
                <w:sz w:val="20"/>
                <w:szCs w:val="20"/>
                <w:color w:val="auto"/>
              </w:rPr>
            </w:pPr>
            <w:r>
              <w:rPr>
                <w:rFonts w:ascii="Arial" w:cs="Arial" w:eastAsia="Arial" w:hAnsi="Arial"/>
                <w:sz w:val="18"/>
                <w:szCs w:val="18"/>
                <w:color w:val="auto"/>
              </w:rPr>
              <w:t>Act.</w:t>
            </w:r>
          </w:p>
        </w:tc>
        <w:tc>
          <w:tcPr>
            <w:tcW w:w="1580" w:type="dxa"/>
            <w:vAlign w:val="bottom"/>
            <w:gridSpan w:val="3"/>
          </w:tcPr>
          <w:p>
            <w:pPr>
              <w:jc w:val="center"/>
              <w:ind w:left="50"/>
              <w:spacing w:after="0"/>
              <w:rPr>
                <w:sz w:val="20"/>
                <w:szCs w:val="20"/>
                <w:color w:val="auto"/>
              </w:rPr>
            </w:pPr>
            <w:r>
              <w:rPr>
                <w:rFonts w:ascii="Arial" w:cs="Arial" w:eastAsia="Arial" w:hAnsi="Arial"/>
                <w:sz w:val="18"/>
                <w:szCs w:val="18"/>
                <w:color w:val="auto"/>
                <w:w w:val="95"/>
              </w:rPr>
              <w:t>Filed Electronically</w:t>
            </w:r>
          </w:p>
        </w:tc>
        <w:tc>
          <w:tcPr>
            <w:tcW w:w="0" w:type="dxa"/>
            <w:vAlign w:val="bottom"/>
          </w:tcPr>
          <w:p>
            <w:pPr>
              <w:spacing w:after="0"/>
              <w:rPr>
                <w:sz w:val="1"/>
                <w:szCs w:val="1"/>
                <w:color w:val="auto"/>
              </w:rPr>
            </w:pPr>
          </w:p>
        </w:tc>
      </w:tr>
      <w:tr>
        <w:trPr>
          <w:trHeight w:val="216"/>
        </w:trPr>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0D0E00"/>
              </w:rPr>
              <w:t>31.2</w:t>
            </w:r>
          </w:p>
        </w:tc>
        <w:tc>
          <w:tcPr>
            <w:tcW w:w="6640" w:type="dxa"/>
            <w:vAlign w:val="bottom"/>
            <w:gridSpan w:val="3"/>
          </w:tcPr>
          <w:p>
            <w:pPr>
              <w:ind w:left="100"/>
              <w:spacing w:after="0"/>
              <w:rPr>
                <w:sz w:val="20"/>
                <w:szCs w:val="20"/>
                <w:color w:val="auto"/>
              </w:rPr>
            </w:pPr>
            <w:r>
              <w:rPr>
                <w:rFonts w:ascii="Arial" w:cs="Arial" w:eastAsia="Arial" w:hAnsi="Arial"/>
                <w:sz w:val="18"/>
                <w:szCs w:val="18"/>
                <w:color w:val="auto"/>
                <w:w w:val="94"/>
              </w:rPr>
              <w:t>Certification by Chief Financial Officer pursuant to Rule 13a-14(a) of the Exchange Act.</w:t>
            </w:r>
          </w:p>
        </w:tc>
        <w:tc>
          <w:tcPr>
            <w:tcW w:w="1580" w:type="dxa"/>
            <w:vAlign w:val="bottom"/>
            <w:gridSpan w:val="3"/>
          </w:tcPr>
          <w:p>
            <w:pPr>
              <w:jc w:val="center"/>
              <w:ind w:left="50"/>
              <w:spacing w:after="0"/>
              <w:rPr>
                <w:sz w:val="20"/>
                <w:szCs w:val="20"/>
                <w:color w:val="auto"/>
              </w:rPr>
            </w:pPr>
            <w:r>
              <w:rPr>
                <w:rFonts w:ascii="Arial" w:cs="Arial" w:eastAsia="Arial" w:hAnsi="Arial"/>
                <w:sz w:val="18"/>
                <w:szCs w:val="18"/>
                <w:color w:val="auto"/>
                <w:w w:val="95"/>
              </w:rPr>
              <w:t>Filed Electronically</w:t>
            </w:r>
          </w:p>
        </w:tc>
        <w:tc>
          <w:tcPr>
            <w:tcW w:w="0" w:type="dxa"/>
            <w:vAlign w:val="bottom"/>
          </w:tcPr>
          <w:p>
            <w:pPr>
              <w:spacing w:after="0"/>
              <w:rPr>
                <w:sz w:val="1"/>
                <w:szCs w:val="1"/>
                <w:color w:val="auto"/>
              </w:rPr>
            </w:pPr>
          </w:p>
        </w:tc>
      </w:tr>
      <w:tr>
        <w:trPr>
          <w:trHeight w:val="216"/>
        </w:trPr>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0D0E00"/>
              </w:rPr>
              <w:t>32.1</w:t>
            </w:r>
          </w:p>
        </w:tc>
        <w:tc>
          <w:tcPr>
            <w:tcW w:w="6640" w:type="dxa"/>
            <w:vAlign w:val="bottom"/>
            <w:gridSpan w:val="3"/>
          </w:tcPr>
          <w:p>
            <w:pPr>
              <w:ind w:left="100"/>
              <w:spacing w:after="0"/>
              <w:rPr>
                <w:sz w:val="20"/>
                <w:szCs w:val="20"/>
                <w:color w:val="auto"/>
              </w:rPr>
            </w:pPr>
            <w:r>
              <w:rPr>
                <w:rFonts w:ascii="Arial" w:cs="Arial" w:eastAsia="Arial" w:hAnsi="Arial"/>
                <w:sz w:val="18"/>
                <w:szCs w:val="18"/>
                <w:color w:val="auto"/>
              </w:rPr>
              <w:t>Section 1350 Certification by Chief Executive Officer.</w:t>
            </w:r>
          </w:p>
        </w:tc>
        <w:tc>
          <w:tcPr>
            <w:tcW w:w="1580" w:type="dxa"/>
            <w:vAlign w:val="bottom"/>
            <w:gridSpan w:val="3"/>
          </w:tcPr>
          <w:p>
            <w:pPr>
              <w:jc w:val="center"/>
              <w:ind w:left="50"/>
              <w:spacing w:after="0"/>
              <w:rPr>
                <w:sz w:val="20"/>
                <w:szCs w:val="20"/>
                <w:color w:val="auto"/>
              </w:rPr>
            </w:pPr>
            <w:r>
              <w:rPr>
                <w:rFonts w:ascii="Arial" w:cs="Arial" w:eastAsia="Arial" w:hAnsi="Arial"/>
                <w:sz w:val="18"/>
                <w:szCs w:val="18"/>
                <w:color w:val="auto"/>
                <w:w w:val="95"/>
              </w:rPr>
              <w:t>Filed Electronically</w:t>
            </w:r>
          </w:p>
        </w:tc>
        <w:tc>
          <w:tcPr>
            <w:tcW w:w="0" w:type="dxa"/>
            <w:vAlign w:val="bottom"/>
          </w:tcPr>
          <w:p>
            <w:pPr>
              <w:spacing w:after="0"/>
              <w:rPr>
                <w:sz w:val="1"/>
                <w:szCs w:val="1"/>
                <w:color w:val="auto"/>
              </w:rPr>
            </w:pPr>
          </w:p>
        </w:tc>
      </w:tr>
      <w:tr>
        <w:trPr>
          <w:trHeight w:val="230"/>
        </w:trPr>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0D0E00"/>
              </w:rPr>
              <w:t>32.2</w:t>
            </w:r>
          </w:p>
        </w:tc>
        <w:tc>
          <w:tcPr>
            <w:tcW w:w="6640" w:type="dxa"/>
            <w:vAlign w:val="bottom"/>
            <w:gridSpan w:val="3"/>
          </w:tcPr>
          <w:p>
            <w:pPr>
              <w:ind w:left="100"/>
              <w:spacing w:after="0"/>
              <w:rPr>
                <w:sz w:val="20"/>
                <w:szCs w:val="20"/>
                <w:color w:val="auto"/>
              </w:rPr>
            </w:pPr>
            <w:r>
              <w:rPr>
                <w:rFonts w:ascii="Arial" w:cs="Arial" w:eastAsia="Arial" w:hAnsi="Arial"/>
                <w:sz w:val="18"/>
                <w:szCs w:val="18"/>
                <w:color w:val="auto"/>
              </w:rPr>
              <w:t>Section 1350 Certification by Chief Financial Officer.</w:t>
            </w:r>
          </w:p>
        </w:tc>
        <w:tc>
          <w:tcPr>
            <w:tcW w:w="1580" w:type="dxa"/>
            <w:vAlign w:val="bottom"/>
            <w:gridSpan w:val="3"/>
          </w:tcPr>
          <w:p>
            <w:pPr>
              <w:jc w:val="center"/>
              <w:ind w:left="50"/>
              <w:spacing w:after="0"/>
              <w:rPr>
                <w:sz w:val="20"/>
                <w:szCs w:val="20"/>
                <w:color w:val="auto"/>
              </w:rPr>
            </w:pPr>
            <w:r>
              <w:rPr>
                <w:rFonts w:ascii="Arial" w:cs="Arial" w:eastAsia="Arial" w:hAnsi="Arial"/>
                <w:sz w:val="18"/>
                <w:szCs w:val="18"/>
                <w:color w:val="auto"/>
                <w:w w:val="95"/>
              </w:rPr>
              <w:t>Filed Electronically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880" w:hanging="332"/>
        <w:spacing w:after="0" w:line="277" w:lineRule="auto"/>
        <w:tabs>
          <w:tab w:leader="none" w:pos="923" w:val="left"/>
        </w:tabs>
        <w:numPr>
          <w:ilvl w:val="0"/>
          <w:numId w:val="2"/>
        </w:numPr>
        <w:rPr>
          <w:rFonts w:ascii="Arial" w:cs="Arial" w:eastAsia="Arial" w:hAnsi="Arial"/>
          <w:sz w:val="18"/>
          <w:szCs w:val="18"/>
          <w:color w:val="0D0E00"/>
        </w:rPr>
      </w:pPr>
      <w:r>
        <w:rPr>
          <w:rFonts w:ascii="Arial" w:cs="Arial" w:eastAsia="Arial" w:hAnsi="Arial"/>
          <w:sz w:val="18"/>
          <w:szCs w:val="18"/>
          <w:color w:val="0D0E00"/>
        </w:rPr>
        <w:t>Incorporated by reference to Exhibit 3.1 to the Company’s Quarterly Report in Form 10-Q for the period ended June 30, 2010 and filed July 29, 2010.</w:t>
      </w:r>
    </w:p>
    <w:p>
      <w:pPr>
        <w:spacing w:after="0" w:line="197" w:lineRule="exact"/>
        <w:rPr>
          <w:rFonts w:ascii="Arial" w:cs="Arial" w:eastAsia="Arial" w:hAnsi="Arial"/>
          <w:sz w:val="18"/>
          <w:szCs w:val="18"/>
          <w:color w:val="0D0E00"/>
        </w:rPr>
      </w:pPr>
    </w:p>
    <w:p>
      <w:pPr>
        <w:ind w:left="920" w:hanging="372"/>
        <w:spacing w:after="0"/>
        <w:tabs>
          <w:tab w:leader="none" w:pos="920" w:val="left"/>
        </w:tabs>
        <w:numPr>
          <w:ilvl w:val="0"/>
          <w:numId w:val="2"/>
        </w:numPr>
        <w:rPr>
          <w:rFonts w:ascii="Arial" w:cs="Arial" w:eastAsia="Arial" w:hAnsi="Arial"/>
          <w:sz w:val="16"/>
          <w:szCs w:val="16"/>
          <w:color w:val="0D0E00"/>
        </w:rPr>
      </w:pPr>
      <w:r>
        <w:rPr>
          <w:rFonts w:ascii="Arial" w:cs="Arial" w:eastAsia="Arial" w:hAnsi="Arial"/>
          <w:sz w:val="16"/>
          <w:szCs w:val="16"/>
          <w:color w:val="0D0E00"/>
        </w:rPr>
        <w:t>Incorporated by reference to Exhibit 3.1 to the Company’s Current Report on Form 8-K dated October 28, 2009 and filed November 3,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60"/>
          </w:cols>
          <w:pgMar w:left="240" w:top="368" w:right="399" w:bottom="1440" w:gutter="0" w:footer="0" w:header="0"/>
        </w:sectPr>
      </w:pPr>
    </w:p>
    <w:bookmarkStart w:id="19" w:name="page20"/>
    <w:bookmarkEnd w:id="19"/>
    <w:p>
      <w:pPr>
        <w:jc w:val="right"/>
        <w:spacing w:after="0"/>
        <w:rPr>
          <w:sz w:val="20"/>
          <w:szCs w:val="20"/>
          <w:color w:val="auto"/>
        </w:rPr>
      </w:pPr>
      <w:r>
        <w:rPr>
          <w:rFonts w:ascii="Arial" w:cs="Arial" w:eastAsia="Arial" w:hAnsi="Arial"/>
          <w:sz w:val="22"/>
          <w:szCs w:val="22"/>
          <w:b w:val="1"/>
          <w:bCs w:val="1"/>
          <w:color w:val="0D0E00"/>
        </w:rPr>
        <w:t>Exhibit 31.1</w:t>
      </w:r>
    </w:p>
    <w:p>
      <w:pPr>
        <w:spacing w:after="0" w:line="23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SECTION 302 OF</w:t>
      </w:r>
    </w:p>
    <w:p>
      <w:pPr>
        <w:jc w:val="center"/>
        <w:spacing w:after="0"/>
        <w:rPr>
          <w:sz w:val="20"/>
          <w:szCs w:val="20"/>
          <w:color w:val="auto"/>
        </w:rPr>
      </w:pPr>
      <w:r>
        <w:rPr>
          <w:rFonts w:ascii="Arial" w:cs="Arial" w:eastAsia="Arial" w:hAnsi="Arial"/>
          <w:sz w:val="22"/>
          <w:szCs w:val="22"/>
          <w:b w:val="1"/>
          <w:bCs w:val="1"/>
          <w:color w:val="auto"/>
        </w:rPr>
        <w:t>THE SARBANES-OXLEY ACT OF 2002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0D0E00"/>
        </w:rPr>
        <w:t>CERTIFICATIONS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0D0E00"/>
        </w:rPr>
        <w:t>I, John R. Hawkins, certify that:</w:t>
      </w:r>
    </w:p>
    <w:p>
      <w:pPr>
        <w:spacing w:after="0" w:line="252" w:lineRule="exact"/>
        <w:rPr>
          <w:sz w:val="20"/>
          <w:szCs w:val="20"/>
          <w:color w:val="auto"/>
        </w:rPr>
      </w:pPr>
    </w:p>
    <w:p>
      <w:pPr>
        <w:ind w:left="720" w:hanging="361"/>
        <w:spacing w:after="0"/>
        <w:tabs>
          <w:tab w:leader="none" w:pos="720" w:val="left"/>
        </w:tabs>
        <w:numPr>
          <w:ilvl w:val="0"/>
          <w:numId w:val="3"/>
        </w:numPr>
        <w:rPr>
          <w:rFonts w:ascii="Arial" w:cs="Arial" w:eastAsia="Arial" w:hAnsi="Arial"/>
          <w:sz w:val="18"/>
          <w:szCs w:val="18"/>
          <w:color w:val="0D0E00"/>
        </w:rPr>
      </w:pPr>
      <w:r>
        <w:rPr>
          <w:rFonts w:ascii="Arial" w:cs="Arial" w:eastAsia="Arial" w:hAnsi="Arial"/>
          <w:sz w:val="18"/>
          <w:szCs w:val="18"/>
          <w:color w:val="0D0E00"/>
        </w:rPr>
        <w:t>I have reviewed this quarterly report on Form 10-Q of Hawkins, Inc.;</w:t>
      </w:r>
    </w:p>
    <w:p>
      <w:pPr>
        <w:spacing w:after="0" w:line="279" w:lineRule="exact"/>
        <w:rPr>
          <w:rFonts w:ascii="Arial" w:cs="Arial" w:eastAsia="Arial" w:hAnsi="Arial"/>
          <w:sz w:val="18"/>
          <w:szCs w:val="18"/>
          <w:color w:val="0D0E00"/>
        </w:rPr>
      </w:pPr>
    </w:p>
    <w:p>
      <w:pPr>
        <w:jc w:val="both"/>
        <w:ind w:left="720" w:hanging="361"/>
        <w:spacing w:after="0" w:line="264"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720" w:hanging="361"/>
        <w:spacing w:after="0" w:line="308" w:lineRule="auto"/>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720" w:right="20" w:hanging="361"/>
        <w:spacing w:after="0" w:line="264"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we have:</w:t>
      </w:r>
    </w:p>
    <w:p>
      <w:pPr>
        <w:spacing w:after="0" w:line="208" w:lineRule="exact"/>
        <w:rPr>
          <w:rFonts w:ascii="Arial" w:cs="Arial" w:eastAsia="Arial" w:hAnsi="Arial"/>
          <w:sz w:val="18"/>
          <w:szCs w:val="18"/>
          <w:color w:val="auto"/>
        </w:rPr>
      </w:pPr>
    </w:p>
    <w:p>
      <w:pPr>
        <w:jc w:val="both"/>
        <w:ind w:left="1040" w:hanging="330"/>
        <w:spacing w:after="0" w:line="264" w:lineRule="auto"/>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040" w:hanging="330"/>
        <w:spacing w:after="0" w:line="264" w:lineRule="auto"/>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040" w:hanging="330"/>
        <w:spacing w:after="0" w:line="308" w:lineRule="auto"/>
        <w:tabs>
          <w:tab w:leader="none" w:pos="1040" w:val="left"/>
        </w:tabs>
        <w:numPr>
          <w:ilvl w:val="1"/>
          <w:numId w:val="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1040" w:hanging="330"/>
        <w:spacing w:after="0" w:line="264" w:lineRule="auto"/>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8" w:lineRule="exact"/>
        <w:rPr>
          <w:rFonts w:ascii="Arial" w:cs="Arial" w:eastAsia="Arial" w:hAnsi="Arial"/>
          <w:sz w:val="18"/>
          <w:szCs w:val="18"/>
          <w:color w:val="auto"/>
        </w:rPr>
      </w:pPr>
    </w:p>
    <w:p>
      <w:pPr>
        <w:ind w:left="720" w:hanging="361"/>
        <w:spacing w:after="0" w:line="308" w:lineRule="auto"/>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040" w:hanging="330"/>
        <w:spacing w:after="0" w:line="277" w:lineRule="auto"/>
        <w:tabs>
          <w:tab w:leader="none" w:pos="1040" w:val="left"/>
        </w:tabs>
        <w:numPr>
          <w:ilvl w:val="1"/>
          <w:numId w:val="3"/>
        </w:numPr>
        <w:rPr>
          <w:rFonts w:ascii="Arial" w:cs="Arial" w:eastAsia="Arial" w:hAnsi="Arial"/>
          <w:sz w:val="18"/>
          <w:szCs w:val="18"/>
          <w:color w:val="0D0E00"/>
        </w:rPr>
      </w:pPr>
      <w:r>
        <w:rPr>
          <w:rFonts w:ascii="Arial" w:cs="Arial" w:eastAsia="Arial" w:hAnsi="Arial"/>
          <w:sz w:val="18"/>
          <w:szCs w:val="18"/>
          <w:color w:val="0D0E0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0D0E00"/>
        </w:rPr>
      </w:pPr>
    </w:p>
    <w:p>
      <w:pPr>
        <w:ind w:left="1040" w:hanging="330"/>
        <w:spacing w:after="0" w:line="277" w:lineRule="auto"/>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0D0E00"/>
        </w:rPr>
        <w:t>Date: October 28, 2010</w:t>
      </w:r>
    </w:p>
    <w:p>
      <w:pPr>
        <w:spacing w:after="0" w:line="252" w:lineRule="exact"/>
        <w:rPr>
          <w:sz w:val="20"/>
          <w:szCs w:val="20"/>
          <w:color w:val="auto"/>
        </w:rPr>
      </w:pPr>
    </w:p>
    <w:p>
      <w:pPr>
        <w:ind w:left="8680"/>
        <w:spacing w:after="0"/>
        <w:rPr>
          <w:sz w:val="20"/>
          <w:szCs w:val="20"/>
          <w:color w:val="auto"/>
        </w:rPr>
      </w:pPr>
      <w:r>
        <w:rPr>
          <w:rFonts w:ascii="Arial" w:cs="Arial" w:eastAsia="Arial" w:hAnsi="Arial"/>
          <w:sz w:val="18"/>
          <w:szCs w:val="18"/>
          <w:color w:val="auto"/>
        </w:rPr>
        <w:t>/s/ John R. Hawkins</w:t>
      </w:r>
    </w:p>
    <w:p>
      <w:pPr>
        <w:spacing w:after="0" w:line="36" w:lineRule="exact"/>
        <w:rPr>
          <w:sz w:val="20"/>
          <w:szCs w:val="20"/>
          <w:color w:val="auto"/>
        </w:rPr>
      </w:pPr>
    </w:p>
    <w:p>
      <w:pPr>
        <w:ind w:left="8680"/>
        <w:spacing w:after="0"/>
        <w:rPr>
          <w:sz w:val="20"/>
          <w:szCs w:val="20"/>
          <w:color w:val="auto"/>
        </w:rPr>
      </w:pPr>
      <w:r>
        <w:rPr>
          <w:rFonts w:ascii="Arial" w:cs="Arial" w:eastAsia="Arial" w:hAnsi="Arial"/>
          <w:sz w:val="18"/>
          <w:szCs w:val="18"/>
          <w:color w:val="auto"/>
        </w:rPr>
        <w:t>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5510530</wp:posOffset>
            </wp:positionH>
            <wp:positionV relativeFrom="paragraph">
              <wp:posOffset>-130175</wp:posOffset>
            </wp:positionV>
            <wp:extent cx="13722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3" w:lineRule="exact"/>
        <w:rPr>
          <w:sz w:val="20"/>
          <w:szCs w:val="20"/>
          <w:color w:val="auto"/>
        </w:rPr>
      </w:pPr>
    </w:p>
    <w:p>
      <w:pPr>
        <w:ind w:left="86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544195</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93"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22"/>
          <w:szCs w:val="22"/>
          <w:b w:val="1"/>
          <w:bCs w:val="1"/>
          <w:color w:val="0D0E00"/>
        </w:rPr>
        <w:t>Exhibit 31.2</w:t>
      </w:r>
    </w:p>
    <w:p>
      <w:pPr>
        <w:spacing w:after="0" w:line="23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SECTION 302 OF</w:t>
      </w:r>
    </w:p>
    <w:p>
      <w:pPr>
        <w:jc w:val="center"/>
        <w:spacing w:after="0"/>
        <w:rPr>
          <w:sz w:val="20"/>
          <w:szCs w:val="20"/>
          <w:color w:val="auto"/>
        </w:rPr>
      </w:pPr>
      <w:r>
        <w:rPr>
          <w:rFonts w:ascii="Arial" w:cs="Arial" w:eastAsia="Arial" w:hAnsi="Arial"/>
          <w:sz w:val="22"/>
          <w:szCs w:val="22"/>
          <w:b w:val="1"/>
          <w:bCs w:val="1"/>
          <w:color w:val="auto"/>
        </w:rPr>
        <w:t>THE SARBANES-OXLEY ACT OF 2002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0D0E00"/>
        </w:rPr>
        <w:t>CERTIFICATIONS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0D0E00"/>
        </w:rPr>
        <w:t>I, Kathleen P. Pepski, certify that:</w:t>
      </w:r>
    </w:p>
    <w:p>
      <w:pPr>
        <w:spacing w:after="0" w:line="252" w:lineRule="exact"/>
        <w:rPr>
          <w:sz w:val="20"/>
          <w:szCs w:val="20"/>
          <w:color w:val="auto"/>
        </w:rPr>
      </w:pPr>
    </w:p>
    <w:p>
      <w:pPr>
        <w:ind w:left="720" w:hanging="361"/>
        <w:spacing w:after="0"/>
        <w:tabs>
          <w:tab w:leader="none" w:pos="720" w:val="left"/>
        </w:tabs>
        <w:numPr>
          <w:ilvl w:val="0"/>
          <w:numId w:val="4"/>
        </w:numPr>
        <w:rPr>
          <w:rFonts w:ascii="Arial" w:cs="Arial" w:eastAsia="Arial" w:hAnsi="Arial"/>
          <w:sz w:val="18"/>
          <w:szCs w:val="18"/>
          <w:color w:val="0D0E00"/>
        </w:rPr>
      </w:pPr>
      <w:r>
        <w:rPr>
          <w:rFonts w:ascii="Arial" w:cs="Arial" w:eastAsia="Arial" w:hAnsi="Arial"/>
          <w:sz w:val="18"/>
          <w:szCs w:val="18"/>
          <w:color w:val="0D0E00"/>
        </w:rPr>
        <w:t>I have reviewed this quarterly report on Form 10-Q of Hawkins, Inc.;</w:t>
      </w:r>
    </w:p>
    <w:p>
      <w:pPr>
        <w:spacing w:after="0" w:line="279" w:lineRule="exact"/>
        <w:rPr>
          <w:rFonts w:ascii="Arial" w:cs="Arial" w:eastAsia="Arial" w:hAnsi="Arial"/>
          <w:sz w:val="18"/>
          <w:szCs w:val="18"/>
          <w:color w:val="0D0E00"/>
        </w:rPr>
      </w:pPr>
    </w:p>
    <w:p>
      <w:pPr>
        <w:jc w:val="both"/>
        <w:ind w:left="720" w:hanging="361"/>
        <w:spacing w:after="0" w:line="264"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720" w:hanging="361"/>
        <w:spacing w:after="0" w:line="308" w:lineRule="auto"/>
        <w:tabs>
          <w:tab w:leader="none" w:pos="72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720" w:right="20" w:hanging="361"/>
        <w:spacing w:after="0" w:line="264"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we have:</w:t>
      </w:r>
    </w:p>
    <w:p>
      <w:pPr>
        <w:spacing w:after="0" w:line="208" w:lineRule="exact"/>
        <w:rPr>
          <w:rFonts w:ascii="Arial" w:cs="Arial" w:eastAsia="Arial" w:hAnsi="Arial"/>
          <w:sz w:val="18"/>
          <w:szCs w:val="18"/>
          <w:color w:val="auto"/>
        </w:rPr>
      </w:pPr>
    </w:p>
    <w:p>
      <w:pPr>
        <w:jc w:val="both"/>
        <w:ind w:left="1040" w:hanging="330"/>
        <w:spacing w:after="0" w:line="264" w:lineRule="auto"/>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040" w:hanging="330"/>
        <w:spacing w:after="0" w:line="264" w:lineRule="auto"/>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040" w:hanging="330"/>
        <w:spacing w:after="0" w:line="308" w:lineRule="auto"/>
        <w:tabs>
          <w:tab w:leader="none" w:pos="1040" w:val="left"/>
        </w:tabs>
        <w:numPr>
          <w:ilvl w:val="1"/>
          <w:numId w:val="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1040" w:hanging="330"/>
        <w:spacing w:after="0" w:line="264" w:lineRule="auto"/>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8" w:lineRule="exact"/>
        <w:rPr>
          <w:rFonts w:ascii="Arial" w:cs="Arial" w:eastAsia="Arial" w:hAnsi="Arial"/>
          <w:sz w:val="18"/>
          <w:szCs w:val="18"/>
          <w:color w:val="auto"/>
        </w:rPr>
      </w:pPr>
    </w:p>
    <w:p>
      <w:pPr>
        <w:ind w:left="720" w:hanging="361"/>
        <w:spacing w:after="0" w:line="308" w:lineRule="auto"/>
        <w:tabs>
          <w:tab w:leader="none" w:pos="7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040" w:hanging="330"/>
        <w:spacing w:after="0" w:line="277" w:lineRule="auto"/>
        <w:tabs>
          <w:tab w:leader="none" w:pos="1040" w:val="left"/>
        </w:tabs>
        <w:numPr>
          <w:ilvl w:val="1"/>
          <w:numId w:val="4"/>
        </w:numPr>
        <w:rPr>
          <w:rFonts w:ascii="Arial" w:cs="Arial" w:eastAsia="Arial" w:hAnsi="Arial"/>
          <w:sz w:val="18"/>
          <w:szCs w:val="18"/>
          <w:color w:val="0D0E00"/>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0D0E00"/>
        </w:rPr>
      </w:pPr>
    </w:p>
    <w:p>
      <w:pPr>
        <w:ind w:left="1040" w:hanging="330"/>
        <w:spacing w:after="0" w:line="277" w:lineRule="auto"/>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0D0E00"/>
        </w:rPr>
        <w:t>Date: October 28, 2010</w:t>
      </w:r>
    </w:p>
    <w:p>
      <w:pPr>
        <w:spacing w:after="0" w:line="252" w:lineRule="exact"/>
        <w:rPr>
          <w:sz w:val="20"/>
          <w:szCs w:val="20"/>
          <w:color w:val="auto"/>
        </w:rPr>
      </w:pPr>
    </w:p>
    <w:p>
      <w:pPr>
        <w:ind w:left="8680"/>
        <w:spacing w:after="0"/>
        <w:rPr>
          <w:sz w:val="20"/>
          <w:szCs w:val="20"/>
          <w:color w:val="auto"/>
        </w:rPr>
      </w:pPr>
      <w:r>
        <w:rPr>
          <w:rFonts w:ascii="Arial" w:cs="Arial" w:eastAsia="Arial" w:hAnsi="Arial"/>
          <w:sz w:val="18"/>
          <w:szCs w:val="18"/>
          <w:color w:val="auto"/>
        </w:rPr>
        <w:t>/s/ Kathleen P. Pepski</w:t>
      </w:r>
    </w:p>
    <w:p>
      <w:pPr>
        <w:spacing w:after="0" w:line="36" w:lineRule="exact"/>
        <w:rPr>
          <w:sz w:val="20"/>
          <w:szCs w:val="20"/>
          <w:color w:val="auto"/>
        </w:rPr>
      </w:pPr>
    </w:p>
    <w:p>
      <w:pPr>
        <w:ind w:left="8680"/>
        <w:spacing w:after="0"/>
        <w:rPr>
          <w:sz w:val="20"/>
          <w:szCs w:val="20"/>
          <w:color w:val="auto"/>
        </w:rPr>
      </w:pPr>
      <w:r>
        <w:rPr>
          <w:rFonts w:ascii="Arial" w:cs="Arial" w:eastAsia="Arial" w:hAnsi="Arial"/>
          <w:sz w:val="18"/>
          <w:szCs w:val="18"/>
          <w:color w:val="auto"/>
        </w:rPr>
        <w:t>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5510530</wp:posOffset>
            </wp:positionH>
            <wp:positionV relativeFrom="paragraph">
              <wp:posOffset>-130175</wp:posOffset>
            </wp:positionV>
            <wp:extent cx="13722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3" w:lineRule="exact"/>
        <w:rPr>
          <w:sz w:val="20"/>
          <w:szCs w:val="20"/>
          <w:color w:val="auto"/>
        </w:rPr>
      </w:pPr>
    </w:p>
    <w:p>
      <w:pPr>
        <w:ind w:left="86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544195</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774"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22"/>
          <w:szCs w:val="22"/>
          <w:b w:val="1"/>
          <w:bCs w:val="1"/>
          <w:color w:val="auto"/>
        </w:rPr>
        <w:t>Exhibit 32.1</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CERTIFICATION PURSUANT TO</w:t>
      </w:r>
    </w:p>
    <w:p>
      <w:pPr>
        <w:jc w:val="center"/>
        <w:ind w:right="60"/>
        <w:spacing w:after="0" w:line="230" w:lineRule="auto"/>
        <w:rPr>
          <w:sz w:val="20"/>
          <w:szCs w:val="20"/>
          <w:color w:val="auto"/>
        </w:rPr>
      </w:pPr>
      <w:r>
        <w:rPr>
          <w:rFonts w:ascii="Arial" w:cs="Arial" w:eastAsia="Arial" w:hAnsi="Arial"/>
          <w:sz w:val="22"/>
          <w:szCs w:val="22"/>
          <w:b w:val="1"/>
          <w:bCs w:val="1"/>
          <w:color w:val="auto"/>
        </w:rPr>
        <w:t>18 U.S.C. SECTION 1350,</w:t>
      </w:r>
    </w:p>
    <w:p>
      <w:pPr>
        <w:jc w:val="center"/>
        <w:ind w:right="60"/>
        <w:spacing w:after="0" w:line="231" w:lineRule="auto"/>
        <w:rPr>
          <w:sz w:val="20"/>
          <w:szCs w:val="20"/>
          <w:color w:val="auto"/>
        </w:rPr>
      </w:pPr>
      <w:r>
        <w:rPr>
          <w:rFonts w:ascii="Arial" w:cs="Arial" w:eastAsia="Arial" w:hAnsi="Arial"/>
          <w:sz w:val="22"/>
          <w:szCs w:val="22"/>
          <w:b w:val="1"/>
          <w:bCs w:val="1"/>
          <w:color w:val="auto"/>
        </w:rPr>
        <w:t>AS ADOPTED PURSUANT TO</w:t>
      </w: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2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September 30, 2010, as filed with the Securities and Exchange Commission on the date hereof (the Report), I, John R. Hawkins, Chief Executive Officer of the Company, certify, pursuant to 18 U.S.C. § 1350, as adopted pursuant to § 906 of the Sarbanes-Oxley Act of 2002, that:</w:t>
      </w:r>
    </w:p>
    <w:p>
      <w:pPr>
        <w:spacing w:after="0" w:line="208" w:lineRule="exact"/>
        <w:rPr>
          <w:sz w:val="20"/>
          <w:szCs w:val="20"/>
          <w:color w:val="auto"/>
        </w:rPr>
      </w:pPr>
    </w:p>
    <w:p>
      <w:pPr>
        <w:ind w:left="920" w:hanging="264"/>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920" w:hanging="264"/>
        <w:spacing w:after="0"/>
        <w:tabs>
          <w:tab w:leader="none" w:pos="9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1918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John R. Hawkins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28,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852805</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774"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22"/>
          <w:szCs w:val="22"/>
          <w:b w:val="1"/>
          <w:bCs w:val="1"/>
          <w:color w:val="auto"/>
        </w:rPr>
        <w:t>Exhibit 32.2</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CERTIFICATION PURSUANT TO</w:t>
      </w:r>
    </w:p>
    <w:p>
      <w:pPr>
        <w:jc w:val="center"/>
        <w:ind w:right="60"/>
        <w:spacing w:after="0" w:line="230" w:lineRule="auto"/>
        <w:rPr>
          <w:sz w:val="20"/>
          <w:szCs w:val="20"/>
          <w:color w:val="auto"/>
        </w:rPr>
      </w:pPr>
      <w:r>
        <w:rPr>
          <w:rFonts w:ascii="Arial" w:cs="Arial" w:eastAsia="Arial" w:hAnsi="Arial"/>
          <w:sz w:val="22"/>
          <w:szCs w:val="22"/>
          <w:b w:val="1"/>
          <w:bCs w:val="1"/>
          <w:color w:val="auto"/>
        </w:rPr>
        <w:t>18 U.S.C. SECTION 1350,</w:t>
      </w:r>
    </w:p>
    <w:p>
      <w:pPr>
        <w:jc w:val="center"/>
        <w:ind w:right="60"/>
        <w:spacing w:after="0" w:line="231" w:lineRule="auto"/>
        <w:rPr>
          <w:sz w:val="20"/>
          <w:szCs w:val="20"/>
          <w:color w:val="auto"/>
        </w:rPr>
      </w:pPr>
      <w:r>
        <w:rPr>
          <w:rFonts w:ascii="Arial" w:cs="Arial" w:eastAsia="Arial" w:hAnsi="Arial"/>
          <w:sz w:val="22"/>
          <w:szCs w:val="22"/>
          <w:b w:val="1"/>
          <w:bCs w:val="1"/>
          <w:color w:val="auto"/>
        </w:rPr>
        <w:t>AS ADOPTED PURSUANT TO</w:t>
      </w: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2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September 30, 2010 as filed with the Securities and Exchange Commission on the date hereof (the Report), I, Kathleen P. Pepski, Chief Financial Officer of the Company, certify, pursuant to 18 U.S.C. § 1350, as adopted pursuant to § 906 of the Sarbanes-Oxley Act of 2002, that:</w:t>
      </w:r>
    </w:p>
    <w:p>
      <w:pPr>
        <w:spacing w:after="0" w:line="208" w:lineRule="exact"/>
        <w:rPr>
          <w:sz w:val="20"/>
          <w:szCs w:val="20"/>
          <w:color w:val="auto"/>
        </w:rPr>
      </w:pPr>
    </w:p>
    <w:p>
      <w:pPr>
        <w:ind w:left="920" w:hanging="264"/>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920" w:hanging="264"/>
        <w:spacing w:after="0"/>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1836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Kathleen P. Pepski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28,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852805</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7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lvl w:ilvl="1">
      <w:lvlJc w:val="left"/>
      <w:lvlText w:val="%2)"/>
      <w:numFmt w:val="lowerLetter"/>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2019-12-10T00:26:10Z</dcterms:created>
  <dcterms:modified xsi:type="dcterms:W3CDTF">2019-12-10T00:26:10Z</dcterms:modified>
</cp:coreProperties>
</file>