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208915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236855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March 28, 2010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173990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3" w:lineRule="exact"/>
        <w:rPr>
          <w:sz w:val="24"/>
          <w:szCs w:val="24"/>
          <w:color w:val="auto"/>
        </w:rPr>
      </w:pPr>
    </w:p>
    <w:tbl>
      <w:tblPr>
        <w:tblLayout w:type="fixed"/>
        <w:tblInd w:w="780" w:type="dxa"/>
        <w:tblCellMar>
          <w:top w:w="0" w:type="dxa"/>
          <w:left w:w="0" w:type="dxa"/>
          <w:bottom w:w="0" w:type="dxa"/>
          <w:right w:w="0" w:type="dxa"/>
        </w:tblCellMar>
      </w:tblPr>
      <w:tr>
        <w:trPr>
          <w:trHeight w:val="262"/>
        </w:trPr>
        <w:tc>
          <w:tcPr>
            <w:tcW w:w="6880" w:type="dxa"/>
            <w:vAlign w:val="bottom"/>
            <w:gridSpan w:val="3"/>
          </w:tcPr>
          <w:p>
            <w:pPr>
              <w:jc w:val="center"/>
              <w:ind w:right="1960"/>
              <w:spacing w:after="0"/>
              <w:rPr>
                <w:sz w:val="20"/>
                <w:szCs w:val="20"/>
                <w:color w:val="auto"/>
              </w:rPr>
            </w:pPr>
            <w:r>
              <w:rPr>
                <w:rFonts w:ascii="Arial" w:cs="Arial" w:eastAsia="Arial" w:hAnsi="Arial"/>
                <w:sz w:val="22"/>
                <w:szCs w:val="22"/>
                <w:b w:val="1"/>
                <w:bCs w:val="1"/>
                <w:color w:val="auto"/>
                <w:w w:val="99"/>
              </w:rPr>
              <w:t>MINNESOTA</w:t>
            </w:r>
          </w:p>
        </w:tc>
        <w:tc>
          <w:tcPr>
            <w:tcW w:w="2560" w:type="dxa"/>
            <w:vAlign w:val="bottom"/>
          </w:tcPr>
          <w:p>
            <w:pPr>
              <w:jc w:val="right"/>
              <w:ind w:right="662"/>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6880" w:type="dxa"/>
            <w:vAlign w:val="bottom"/>
            <w:gridSpan w:val="3"/>
          </w:tcPr>
          <w:p>
            <w:pPr>
              <w:jc w:val="center"/>
              <w:ind w:right="1980"/>
              <w:spacing w:after="0"/>
              <w:rPr>
                <w:sz w:val="20"/>
                <w:szCs w:val="20"/>
                <w:color w:val="auto"/>
              </w:rPr>
            </w:pPr>
            <w:r>
              <w:rPr>
                <w:rFonts w:ascii="Arial" w:cs="Arial" w:eastAsia="Arial" w:hAnsi="Arial"/>
                <w:sz w:val="18"/>
                <w:szCs w:val="18"/>
                <w:color w:val="auto"/>
                <w:w w:val="90"/>
              </w:rPr>
              <w:t>(State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385"/>
        </w:trPr>
        <w:tc>
          <w:tcPr>
            <w:tcW w:w="6880" w:type="dxa"/>
            <w:vAlign w:val="bottom"/>
            <w:gridSpan w:val="3"/>
          </w:tcPr>
          <w:p>
            <w:pPr>
              <w:jc w:val="center"/>
              <w:ind w:right="1960"/>
              <w:spacing w:after="0"/>
              <w:rPr>
                <w:sz w:val="20"/>
                <w:szCs w:val="20"/>
                <w:color w:val="auto"/>
              </w:rPr>
            </w:pPr>
            <w:r>
              <w:rPr>
                <w:rFonts w:ascii="Arial" w:cs="Arial" w:eastAsia="Arial" w:hAnsi="Arial"/>
                <w:sz w:val="22"/>
                <w:szCs w:val="22"/>
                <w:b w:val="1"/>
                <w:bCs w:val="1"/>
                <w:color w:val="auto"/>
                <w:w w:val="88"/>
              </w:rPr>
              <w:t>3100 East Hennepin Avenue, Minneapolis, Minnesota</w:t>
            </w:r>
          </w:p>
        </w:tc>
        <w:tc>
          <w:tcPr>
            <w:tcW w:w="2560" w:type="dxa"/>
            <w:vAlign w:val="bottom"/>
          </w:tcPr>
          <w:p>
            <w:pPr>
              <w:jc w:val="right"/>
              <w:ind w:right="902"/>
              <w:spacing w:after="0"/>
              <w:rPr>
                <w:sz w:val="20"/>
                <w:szCs w:val="20"/>
                <w:color w:val="auto"/>
              </w:rPr>
            </w:pPr>
            <w:r>
              <w:rPr>
                <w:rFonts w:ascii="Arial" w:cs="Arial" w:eastAsia="Arial" w:hAnsi="Arial"/>
                <w:sz w:val="22"/>
                <w:szCs w:val="22"/>
                <w:b w:val="1"/>
                <w:bCs w:val="1"/>
                <w:color w:val="auto"/>
              </w:rPr>
              <w:t>55413</w:t>
            </w:r>
          </w:p>
        </w:tc>
      </w:tr>
      <w:tr>
        <w:trPr>
          <w:trHeight w:val="222"/>
        </w:trPr>
        <w:tc>
          <w:tcPr>
            <w:tcW w:w="6880" w:type="dxa"/>
            <w:vAlign w:val="bottom"/>
            <w:gridSpan w:val="3"/>
          </w:tcPr>
          <w:p>
            <w:pPr>
              <w:jc w:val="center"/>
              <w:ind w:right="1980"/>
              <w:spacing w:after="0"/>
              <w:rPr>
                <w:sz w:val="20"/>
                <w:szCs w:val="20"/>
                <w:color w:val="auto"/>
              </w:rPr>
            </w:pPr>
            <w:r>
              <w:rPr>
                <w:rFonts w:ascii="Arial" w:cs="Arial" w:eastAsia="Arial" w:hAnsi="Arial"/>
                <w:sz w:val="18"/>
                <w:szCs w:val="18"/>
                <w:color w:val="auto"/>
                <w:w w:val="90"/>
              </w:rPr>
              <w:t>(Address of Principal Executive Offices)</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(Zip Code)</w:t>
            </w:r>
          </w:p>
        </w:tc>
      </w:tr>
      <w:tr>
        <w:trPr>
          <w:trHeight w:val="461"/>
        </w:trPr>
        <w:tc>
          <w:tcPr>
            <w:tcW w:w="5600" w:type="dxa"/>
            <w:vAlign w:val="bottom"/>
            <w:gridSpan w:val="2"/>
          </w:tcPr>
          <w:p>
            <w:pPr>
              <w:jc w:val="right"/>
              <w:spacing w:after="0"/>
              <w:rPr>
                <w:sz w:val="20"/>
                <w:szCs w:val="20"/>
                <w:color w:val="auto"/>
              </w:rPr>
            </w:pPr>
            <w:r>
              <w:rPr>
                <w:rFonts w:ascii="Arial" w:cs="Arial" w:eastAsia="Arial" w:hAnsi="Arial"/>
                <w:sz w:val="22"/>
                <w:szCs w:val="22"/>
                <w:b w:val="1"/>
                <w:bCs w:val="1"/>
                <w:color w:val="auto"/>
              </w:rPr>
              <w:t>(612) 331-6910</w:t>
            </w:r>
          </w:p>
        </w:tc>
        <w:tc>
          <w:tcPr>
            <w:tcW w:w="1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
        </w:trPr>
        <w:tc>
          <w:tcPr>
            <w:tcW w:w="4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5"/>
        </w:trPr>
        <w:tc>
          <w:tcPr>
            <w:tcW w:w="6880" w:type="dxa"/>
            <w:vAlign w:val="bottom"/>
            <w:gridSpan w:val="3"/>
          </w:tcPr>
          <w:p>
            <w:pPr>
              <w:jc w:val="center"/>
              <w:ind w:left="2882"/>
              <w:spacing w:after="0"/>
              <w:rPr>
                <w:sz w:val="20"/>
                <w:szCs w:val="20"/>
                <w:color w:val="auto"/>
              </w:rPr>
            </w:pPr>
            <w:r>
              <w:rPr>
                <w:rFonts w:ascii="Arial" w:cs="Arial" w:eastAsia="Arial" w:hAnsi="Arial"/>
                <w:sz w:val="18"/>
                <w:szCs w:val="18"/>
                <w:color w:val="auto"/>
                <w:w w:val="88"/>
              </w:rPr>
              <w:t>(Registrant’s Telephone Number, Including Area Code)</w:t>
            </w:r>
          </w:p>
        </w:tc>
        <w:tc>
          <w:tcPr>
            <w:tcW w:w="25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207010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233" w:right="239" w:bottom="10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5"/>
          <w:szCs w:val="15"/>
          <w:color w:val="auto"/>
        </w:rPr>
        <w:t>Securities registered pursuant to Section 12(b) of the Act:</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Name of exchange on which registered:</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COMMON STOCK, PAR VALUE $.05 PER SHARE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ectPr>
          <w:pgSz w:w="11900" w:h="16838" w:orient="portrait"/>
          <w:cols w:equalWidth="0" w:num="2">
            <w:col w:w="5260" w:space="240"/>
            <w:col w:w="5920"/>
          </w:cols>
          <w:pgMar w:left="240" w:top="233" w:right="239" w:bottom="107" w:gutter="0" w:footer="0" w:header="0"/>
          <w:type w:val="continuous"/>
        </w:sect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9980"/>
        <w:spacing w:after="0"/>
        <w:rPr>
          <w:sz w:val="20"/>
          <w:szCs w:val="20"/>
          <w:color w:val="auto"/>
        </w:rPr>
      </w:pPr>
      <w:r>
        <w:rPr>
          <w:rFonts w:ascii="Arial" w:cs="Arial" w:eastAsia="Arial" w:hAnsi="Arial"/>
          <w:sz w:val="18"/>
          <w:szCs w:val="18"/>
          <w:color w:val="auto"/>
        </w:rPr>
        <w:t>Yes o No o</w:t>
      </w:r>
    </w:p>
    <w:p>
      <w:pPr>
        <w:spacing w:after="0" w:line="219"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132" w:lineRule="exact"/>
        <w:rPr>
          <w:sz w:val="24"/>
          <w:szCs w:val="24"/>
          <w:color w:val="auto"/>
        </w:rPr>
      </w:pPr>
    </w:p>
    <w:p>
      <w:pPr>
        <w:ind w:left="460"/>
        <w:spacing w:after="0"/>
        <w:tabs>
          <w:tab w:leader="none" w:pos="3180" w:val="left"/>
          <w:tab w:leader="none" w:pos="5360" w:val="left"/>
          <w:tab w:leader="none" w:pos="8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2009 (the last business day of the Registrant’s most recently completed second fiscal quarter) was approximately $198.7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As of May 31, 2010, the Registrant had 10,282,458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3" w:right="239" w:bottom="107"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Portions of our Proxy Statement for the annual meeting of shareholders to be held July 28, 2010, are incorporated by reference in Part III.</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used in this Annual Report on Form 10-K, except where otherwise stated or indicated by the context, “Hawkins,” “we,” “us,” “the Company,” “our,” or “the Registrant” means Hawkins, Inc. References to “fiscal 2011” means our fiscal year ending April 3, 2011, “fiscal 2010” means our fiscal year ended March 28, 2010, “fiscal 2009” means our fiscal year ended March 29, 2009, and “fiscal 2008” means our fiscal year ended March 30, 2008.</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gridSpan w:val="8"/>
          </w:tcPr>
          <w:p>
            <w:pPr>
              <w:jc w:val="center"/>
              <w:ind w:right="4400"/>
              <w:spacing w:after="0"/>
              <w:rPr>
                <w:sz w:val="20"/>
                <w:szCs w:val="20"/>
                <w:color w:val="auto"/>
              </w:rPr>
            </w:pPr>
            <w:r>
              <w:rPr>
                <w:rFonts w:ascii="Arial" w:cs="Arial" w:eastAsia="Arial" w:hAnsi="Arial"/>
                <w:sz w:val="18"/>
                <w:szCs w:val="18"/>
                <w:b w:val="1"/>
                <w:bCs w:val="1"/>
                <w:color w:val="auto"/>
                <w:w w:val="91"/>
              </w:rPr>
              <w:t>Hawkins, Inc.</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580" w:type="dxa"/>
            <w:vAlign w:val="bottom"/>
            <w:gridSpan w:val="10"/>
          </w:tcPr>
          <w:p>
            <w:pPr>
              <w:jc w:val="center"/>
              <w:ind w:right="3940"/>
              <w:spacing w:after="0"/>
              <w:rPr>
                <w:sz w:val="20"/>
                <w:szCs w:val="20"/>
                <w:color w:val="auto"/>
              </w:rPr>
            </w:pPr>
            <w:r>
              <w:rPr>
                <w:rFonts w:ascii="Arial" w:cs="Arial" w:eastAsia="Arial" w:hAnsi="Arial"/>
                <w:sz w:val="18"/>
                <w:szCs w:val="18"/>
                <w:b w:val="1"/>
                <w:bCs w:val="1"/>
                <w:color w:val="auto"/>
                <w:w w:val="91"/>
              </w:rPr>
              <w:t>Annual Report on Form 10-K</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36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w w:val="89"/>
              </w:rPr>
              <w:t>For the Fiscal Year Ended March 28, 2010</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80"/>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318"/>
        </w:trPr>
        <w:tc>
          <w:tcPr>
            <w:tcW w:w="5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104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ITEM 1.</w:t>
              </w:r>
            </w:hyperlink>
          </w:p>
        </w:tc>
        <w:tc>
          <w:tcPr>
            <w:tcW w:w="860" w:type="dxa"/>
            <w:vAlign w:val="bottom"/>
            <w:gridSpan w:val="6"/>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8740" w:type="dxa"/>
            <w:vAlign w:val="bottom"/>
            <w:gridSpan w:val="19"/>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196"/>
        </w:trPr>
        <w:tc>
          <w:tcPr>
            <w:tcW w:w="1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ITEM 1A.</w:t>
              </w:r>
            </w:hyperlink>
          </w:p>
        </w:tc>
        <w:tc>
          <w:tcPr>
            <w:tcW w:w="70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Risk Factors</w:t>
              </w:r>
            </w:hyperlink>
          </w:p>
        </w:tc>
        <w:tc>
          <w:tcPr>
            <w:tcW w:w="8480" w:type="dxa"/>
            <w:vAlign w:val="bottom"/>
            <w:gridSpan w:val="17"/>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1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ITEM 1B.</w:t>
              </w:r>
            </w:hyperlink>
          </w:p>
        </w:tc>
        <w:tc>
          <w:tcPr>
            <w:tcW w:w="720" w:type="dxa"/>
            <w:vAlign w:val="bottom"/>
            <w:gridSpan w:val="2"/>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Unresolved Staff Comments</w:t>
              </w:r>
            </w:hyperlink>
          </w:p>
        </w:tc>
        <w:tc>
          <w:tcPr>
            <w:tcW w:w="7360" w:type="dxa"/>
            <w:vAlign w:val="bottom"/>
            <w:gridSpan w:val="11"/>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r>
      <w:tr>
        <w:trPr>
          <w:trHeight w:val="196"/>
        </w:trPr>
        <w:tc>
          <w:tcPr>
            <w:tcW w:w="16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ITEM 2.</w:t>
              </w:r>
            </w:hyperlink>
          </w:p>
        </w:tc>
        <w:tc>
          <w:tcPr>
            <w:tcW w:w="860" w:type="dxa"/>
            <w:vAlign w:val="bottom"/>
            <w:gridSpan w:val="6"/>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ITEM 3.</w:t>
              </w:r>
            </w:hyperlink>
          </w:p>
        </w:tc>
        <w:tc>
          <w:tcPr>
            <w:tcW w:w="860" w:type="dxa"/>
            <w:vAlign w:val="bottom"/>
            <w:gridSpan w:val="6"/>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Legal Proceedings</w:t>
              </w:r>
            </w:hyperlink>
          </w:p>
        </w:tc>
        <w:tc>
          <w:tcPr>
            <w:tcW w:w="8060" w:type="dxa"/>
            <w:vAlign w:val="bottom"/>
            <w:gridSpan w:val="15"/>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w:t>
            </w:r>
          </w:p>
        </w:tc>
      </w:tr>
      <w:tr>
        <w:trPr>
          <w:trHeight w:val="196"/>
        </w:trPr>
        <w:tc>
          <w:tcPr>
            <w:tcW w:w="160" w:type="dxa"/>
            <w:vAlign w:val="bottom"/>
          </w:tcPr>
          <w:p>
            <w:pPr>
              <w:spacing w:after="0"/>
              <w:rPr>
                <w:sz w:val="17"/>
                <w:szCs w:val="17"/>
                <w:color w:val="auto"/>
              </w:rPr>
            </w:pPr>
          </w:p>
        </w:tc>
        <w:tc>
          <w:tcPr>
            <w:tcW w:w="1460" w:type="dxa"/>
            <w:vAlign w:val="bottom"/>
            <w:gridSpan w:val="1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936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[Removed and Reserved]</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w:t>
            </w: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620" w:type="dxa"/>
            <w:vAlign w:val="bottom"/>
            <w:gridSpan w:val="11"/>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5.</w:t>
              </w:r>
            </w:hyperlink>
          </w:p>
        </w:tc>
        <w:tc>
          <w:tcPr>
            <w:tcW w:w="780" w:type="dxa"/>
            <w:vAlign w:val="bottom"/>
            <w:gridSpan w:val="5"/>
          </w:tcPr>
          <w:p>
            <w:pPr>
              <w:spacing w:after="0"/>
              <w:rPr>
                <w:sz w:val="17"/>
                <w:szCs w:val="17"/>
                <w:color w:val="auto"/>
              </w:rPr>
            </w:pPr>
          </w:p>
        </w:tc>
        <w:tc>
          <w:tcPr>
            <w:tcW w:w="81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Market for the Company’s Common Equity, Related Shareholder Matters, and Issuer Purchases of Equity Securities</w:t>
              </w:r>
            </w:hyperlink>
          </w:p>
        </w:tc>
        <w:tc>
          <w:tcPr>
            <w:tcW w:w="1220" w:type="dxa"/>
            <w:vAlign w:val="bottom"/>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w:t>
            </w:r>
          </w:p>
        </w:tc>
      </w:tr>
      <w:tr>
        <w:trPr>
          <w:trHeight w:val="196"/>
        </w:trPr>
        <w:tc>
          <w:tcPr>
            <w:tcW w:w="16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ITEM 6.</w:t>
              </w:r>
            </w:hyperlink>
          </w:p>
        </w:tc>
        <w:tc>
          <w:tcPr>
            <w:tcW w:w="860" w:type="dxa"/>
            <w:vAlign w:val="bottom"/>
            <w:gridSpan w:val="6"/>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ITEM 7.</w:t>
              </w:r>
            </w:hyperlink>
          </w:p>
        </w:tc>
        <w:tc>
          <w:tcPr>
            <w:tcW w:w="860" w:type="dxa"/>
            <w:vAlign w:val="bottom"/>
            <w:gridSpan w:val="6"/>
          </w:tcPr>
          <w:p>
            <w:pPr>
              <w:spacing w:after="0"/>
              <w:rPr>
                <w:sz w:val="17"/>
                <w:szCs w:val="17"/>
                <w:color w:val="auto"/>
              </w:rPr>
            </w:pP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060" w:type="dxa"/>
            <w:vAlign w:val="bottom"/>
            <w:gridSpan w:val="4"/>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r>
      <w:tr>
        <w:trPr>
          <w:trHeight w:val="196"/>
        </w:trPr>
        <w:tc>
          <w:tcPr>
            <w:tcW w:w="1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ITEM 7A.</w:t>
              </w:r>
            </w:hyperlink>
          </w:p>
        </w:tc>
        <w:tc>
          <w:tcPr>
            <w:tcW w:w="700" w:type="dxa"/>
            <w:vAlign w:val="bottom"/>
          </w:tcPr>
          <w:p>
            <w:pPr>
              <w:spacing w:after="0"/>
              <w:rPr>
                <w:sz w:val="17"/>
                <w:szCs w:val="17"/>
                <w:color w:val="auto"/>
              </w:rPr>
            </w:pPr>
          </w:p>
        </w:tc>
        <w:tc>
          <w:tcPr>
            <w:tcW w:w="4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Quantitative and Qualitative Disclosures about Market Risk</w:t>
              </w:r>
            </w:hyperlink>
          </w:p>
        </w:tc>
        <w:tc>
          <w:tcPr>
            <w:tcW w:w="5160" w:type="dxa"/>
            <w:vAlign w:val="bottom"/>
            <w:gridSpan w:val="6"/>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ITEM 8.</w:t>
              </w:r>
            </w:hyperlink>
          </w:p>
        </w:tc>
        <w:tc>
          <w:tcPr>
            <w:tcW w:w="860" w:type="dxa"/>
            <w:vAlign w:val="bottom"/>
            <w:gridSpan w:val="6"/>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Financial Statements and Supplementary Data</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ITEM 9.</w:t>
              </w:r>
            </w:hyperlink>
          </w:p>
        </w:tc>
        <w:tc>
          <w:tcPr>
            <w:tcW w:w="860" w:type="dxa"/>
            <w:vAlign w:val="bottom"/>
            <w:gridSpan w:val="6"/>
          </w:tcPr>
          <w:p>
            <w:pPr>
              <w:spacing w:after="0"/>
              <w:rPr>
                <w:sz w:val="17"/>
                <w:szCs w:val="17"/>
                <w:color w:val="auto"/>
              </w:rPr>
            </w:pP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Changes in and Disagreements with Accountants on Accounting and Financial Disclosure</w:t>
              </w:r>
            </w:hyperlink>
          </w:p>
        </w:tc>
        <w:tc>
          <w:tcPr>
            <w:tcW w:w="3040" w:type="dxa"/>
            <w:vAlign w:val="bottom"/>
            <w:gridSpan w:val="3"/>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60" w:type="dxa"/>
            <w:vAlign w:val="bottom"/>
          </w:tcPr>
          <w:p>
            <w:pPr>
              <w:spacing w:after="0"/>
              <w:rPr>
                <w:sz w:val="17"/>
                <w:szCs w:val="17"/>
                <w:color w:val="auto"/>
              </w:rPr>
            </w:pPr>
          </w:p>
        </w:tc>
        <w:tc>
          <w:tcPr>
            <w:tcW w:w="760" w:type="dxa"/>
            <w:vAlign w:val="bottom"/>
            <w:gridSpan w:val="9"/>
          </w:tcPr>
          <w:p>
            <w:pPr>
              <w:spacing w:after="0" w:line="196"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ITEM 9A.</w:t>
              </w:r>
            </w:hyperlink>
          </w:p>
        </w:tc>
        <w:tc>
          <w:tcPr>
            <w:tcW w:w="70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ITEM 9B.</w:t>
              </w:r>
            </w:hyperlink>
          </w:p>
        </w:tc>
        <w:tc>
          <w:tcPr>
            <w:tcW w:w="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640" w:type="dxa"/>
            <w:vAlign w:val="bottom"/>
            <w:gridSpan w:val="13"/>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345"/>
        </w:trPr>
        <w:tc>
          <w:tcPr>
            <w:tcW w:w="7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III</w:t>
              </w:r>
            </w:hyperlink>
          </w:p>
        </w:tc>
        <w:tc>
          <w:tcPr>
            <w:tcW w:w="86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ITEM 10.</w:t>
              </w:r>
            </w:hyperlink>
          </w:p>
        </w:tc>
        <w:tc>
          <w:tcPr>
            <w:tcW w:w="760" w:type="dxa"/>
            <w:vAlign w:val="bottom"/>
            <w:gridSpan w:val="4"/>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Directors, Executive Officers, and Corporate Governance</w:t>
              </w:r>
            </w:hyperlink>
          </w:p>
        </w:tc>
        <w:tc>
          <w:tcPr>
            <w:tcW w:w="5320" w:type="dxa"/>
            <w:vAlign w:val="bottom"/>
            <w:gridSpan w:val="7"/>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60" w:type="dxa"/>
            <w:vAlign w:val="bottom"/>
          </w:tcPr>
          <w:p>
            <w:pPr>
              <w:spacing w:after="0"/>
              <w:rPr>
                <w:sz w:val="17"/>
                <w:szCs w:val="17"/>
                <w:color w:val="auto"/>
              </w:rPr>
            </w:pPr>
          </w:p>
        </w:tc>
        <w:tc>
          <w:tcPr>
            <w:tcW w:w="1460" w:type="dxa"/>
            <w:vAlign w:val="bottom"/>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11.</w:t>
              </w:r>
            </w:hyperlink>
          </w:p>
        </w:tc>
        <w:tc>
          <w:tcPr>
            <w:tcW w:w="936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12.</w:t>
              </w:r>
            </w:hyperlink>
          </w:p>
        </w:tc>
        <w:tc>
          <w:tcPr>
            <w:tcW w:w="740" w:type="dxa"/>
            <w:vAlign w:val="bottom"/>
            <w:gridSpan w:val="3"/>
          </w:tcPr>
          <w:p>
            <w:pPr>
              <w:spacing w:after="0"/>
              <w:rPr>
                <w:sz w:val="17"/>
                <w:szCs w:val="17"/>
                <w:color w:val="auto"/>
              </w:rPr>
            </w:pPr>
          </w:p>
        </w:tc>
        <w:tc>
          <w:tcPr>
            <w:tcW w:w="71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Security Ownership of Certain Beneficial Owners and Management And Related Stockholder Matters</w:t>
              </w:r>
            </w:hyperlink>
          </w:p>
        </w:tc>
        <w:tc>
          <w:tcPr>
            <w:tcW w:w="2200" w:type="dxa"/>
            <w:vAlign w:val="bottom"/>
            <w:gridSpan w:val="2"/>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13.</w:t>
              </w:r>
            </w:hyperlink>
          </w:p>
        </w:tc>
        <w:tc>
          <w:tcPr>
            <w:tcW w:w="740" w:type="dxa"/>
            <w:vAlign w:val="bottom"/>
            <w:gridSpan w:val="3"/>
          </w:tcPr>
          <w:p>
            <w:pPr>
              <w:spacing w:after="0"/>
              <w:rPr>
                <w:sz w:val="17"/>
                <w:szCs w:val="17"/>
                <w:color w:val="auto"/>
              </w:rPr>
            </w:pP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Certain Relationships and Related Transactions, and Director Independence</w:t>
              </w:r>
            </w:hyperlink>
          </w:p>
        </w:tc>
        <w:tc>
          <w:tcPr>
            <w:tcW w:w="4040" w:type="dxa"/>
            <w:vAlign w:val="bottom"/>
            <w:gridSpan w:val="5"/>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0" w:type="dxa"/>
            <w:vAlign w:val="bottom"/>
          </w:tcPr>
          <w:p>
            <w:pPr>
              <w:spacing w:after="0"/>
              <w:rPr>
                <w:sz w:val="17"/>
                <w:szCs w:val="17"/>
                <w:color w:val="auto"/>
              </w:rPr>
            </w:pPr>
          </w:p>
        </w:tc>
        <w:tc>
          <w:tcPr>
            <w:tcW w:w="700" w:type="dxa"/>
            <w:vAlign w:val="bottom"/>
            <w:gridSpan w:val="6"/>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ITEM 14.</w:t>
              </w:r>
            </w:hyperlink>
          </w:p>
        </w:tc>
        <w:tc>
          <w:tcPr>
            <w:tcW w:w="760" w:type="dxa"/>
            <w:vAlign w:val="bottom"/>
            <w:gridSpan w:val="4"/>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Principal Accountant Fees and Services</w:t>
              </w:r>
            </w:hyperlink>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r>
      <w:tr>
        <w:trPr>
          <w:trHeight w:val="20"/>
        </w:trPr>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78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5"/>
        </w:trPr>
        <w:tc>
          <w:tcPr>
            <w:tcW w:w="1620" w:type="dxa"/>
            <w:vAlign w:val="bottom"/>
            <w:gridSpan w:val="11"/>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IV</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ITEM 15.</w:t>
              </w:r>
            </w:hyperlink>
          </w:p>
        </w:tc>
        <w:tc>
          <w:tcPr>
            <w:tcW w:w="760" w:type="dxa"/>
            <w:vAlign w:val="bottom"/>
            <w:gridSpan w:val="4"/>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Exhibits and Financial Statement Schedules</w:t>
              </w:r>
            </w:hyperlink>
          </w:p>
        </w:tc>
        <w:tc>
          <w:tcPr>
            <w:tcW w:w="6280" w:type="dxa"/>
            <w:vAlign w:val="bottom"/>
            <w:gridSpan w:val="9"/>
          </w:tcPr>
          <w:p>
            <w:pPr>
              <w:spacing w:after="0"/>
              <w:rPr>
                <w:sz w:val="17"/>
                <w:szCs w:val="17"/>
                <w:color w:val="auto"/>
              </w:rPr>
            </w:pPr>
          </w:p>
        </w:tc>
        <w:tc>
          <w:tcPr>
            <w:tcW w:w="4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451"/>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0" w:type="dxa"/>
            <w:vAlign w:val="bottom"/>
            <w:gridSpan w:val="14"/>
          </w:tcPr>
          <w:p>
            <w:pPr>
              <w:jc w:val="center"/>
              <w:ind w:left="3912"/>
              <w:spacing w:after="0"/>
              <w:rPr>
                <w:sz w:val="20"/>
                <w:szCs w:val="20"/>
                <w:color w:val="auto"/>
              </w:rPr>
            </w:pPr>
            <w:r>
              <w:rPr>
                <w:rFonts w:ascii="Arial" w:cs="Arial" w:eastAsia="Arial" w:hAnsi="Arial"/>
                <w:sz w:val="18"/>
                <w:szCs w:val="18"/>
                <w:color w:val="auto"/>
                <w:w w:val="79"/>
              </w:rPr>
              <w:t>3</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16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PART I</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BUSINESS</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Hawkins, Inc. distributes bulk chemicals and blends, manufactures and distributes specialty chemicals for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recent years, we significantly expanded the sales of our higher-margin blended and manufactured products. We expect the specialty chemical portion of our business to continue to grow. We believe that we create value for our customers through superb service and support, quality products, personalized applications and our trustworthy, creative employees.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currently conduct our business in two segments: Industrial and Water Treatment. Financial information regarding these segments is reported in our Financial Statements and Notes to Financial Statements. See Items 7 and 8 of this Annual Report on Form 10-K.</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Industrial Segment</w:t>
      </w:r>
      <w:r>
        <w:rPr>
          <w:rFonts w:ascii="Arial" w:cs="Arial" w:eastAsia="Arial" w:hAnsi="Arial"/>
          <w:sz w:val="18"/>
          <w:szCs w:val="18"/>
          <w:color w:val="auto"/>
        </w:rPr>
        <w:t>. Our Industrial Group operates this segment of our business, which specializes in providing industrial chemicals,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agriculture, energy, electronics, food, chemical processing, pulp and paper, pharmaceutical, medical device and plating industries. The group’s principal products are acids, alkalis and industrial and food-grade salts.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39" w:lineRule="exact"/>
        <w:rPr>
          <w:sz w:val="20"/>
          <w:szCs w:val="20"/>
          <w:color w:val="auto"/>
        </w:rPr>
      </w:pPr>
    </w:p>
    <w:p>
      <w:pPr>
        <w:ind w:left="1160" w:right="540" w:hanging="571"/>
        <w:spacing w:after="0" w:line="254"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including liquid caustic soda, sulfuric acid, hydrochloric acid, phosphoric acid, potassium hydroxide and aqua ammonia;</w:t>
      </w:r>
    </w:p>
    <w:p>
      <w:pPr>
        <w:ind w:left="1160" w:right="12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our patented Cheese-Phos® liquid phosphate, lactates and other blended products;</w:t>
      </w:r>
    </w:p>
    <w:p>
      <w:pPr>
        <w:ind w:left="1160" w:right="76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Repackages water treatment chemicals for our Water Treatment Group and bulk industrial chemicals to sell in smaller quantities to our customers; and</w:t>
      </w: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certain chemicals for customers according to customer formulas.</w:t>
      </w:r>
    </w:p>
    <w:p>
      <w:pPr>
        <w:spacing w:after="0" w:line="21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group’s sales are concentrated primarily in Wisconsin, Minnesota, Iowa, and North and South Dakota, while the group’s food-grade products are sold nationally. The Industrial Group relies on a specially trained sales staff that works directly with customers on their specific needs.</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group conducts its business primarily through distribution centers and terminal operations. In fiscal 2009, we invested in two new facilities, which has expanded the group’s ability to service its customers. Our facility in Centralia, Illinois, which primarily serves our food-grade products business, became operational in July 2009. We also opened a facility in Minneapolis, Minnesota, to handle bulk chemicals sold to pharmaceutical manufacturers. The total capital expenditures on these two facilities were approximately $10.0 million, with approximately $2.5 million occurring in fiscal 2010. In May 2007, we purchased the assets of Trumark, Inc., a producer of antimicrobial products for the food industry. Trumark’s business is part of our Industrial Group and its operations were integrated with our operations at the Centralia facility during fiscal 2010.</w:t>
      </w:r>
    </w:p>
    <w:p>
      <w:pPr>
        <w:spacing w:after="0" w:line="17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Water Treatment Segment</w:t>
      </w:r>
      <w:r>
        <w:rPr>
          <w:rFonts w:ascii="Arial" w:cs="Arial" w:eastAsia="Arial" w:hAnsi="Arial"/>
          <w:sz w:val="16"/>
          <w:szCs w:val="16"/>
          <w:color w:val="auto"/>
        </w:rPr>
        <w:t>. Our Water Treatment Group operates this segment of our business, which specializes in providing chemicals, equipment and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potable water, municipal and industrial wastewater, industrial process water and non-residential swimming pool water. The group has the resources and flexibility to treat systems ranging in size from a small single well to a multi-million-gallon-per-day treatment facility.</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group utilizes delivery routes operated by our employees who serve as route driver, salesperson and highly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group operates out of warehouses in 15 cities supplying products and services to customers in Minnesota, Wisconsin, Iowa, North Dakota, South Dakota, Nebraska, Illinois, Indiana, Michigan, Montana, Missouri, Kansas, and Wyoming. We opened two of these warehouses in fiscal 2008, one in fiscal 2010 and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67" w:lineRule="exact"/>
        <w:rPr>
          <w:sz w:val="20"/>
          <w:szCs w:val="20"/>
          <w:color w:val="auto"/>
        </w:rPr>
      </w:pPr>
    </w:p>
    <w:p>
      <w:pPr>
        <w:ind w:right="360"/>
        <w:spacing w:after="0" w:line="323" w:lineRule="auto"/>
        <w:rPr>
          <w:sz w:val="20"/>
          <w:szCs w:val="20"/>
          <w:color w:val="auto"/>
        </w:rPr>
      </w:pPr>
      <w:r>
        <w:rPr>
          <w:rFonts w:ascii="Arial" w:cs="Arial" w:eastAsia="Arial" w:hAnsi="Arial"/>
          <w:sz w:val="15"/>
          <w:szCs w:val="15"/>
          <w:i w:val="1"/>
          <w:iCs w:val="1"/>
          <w:color w:val="auto"/>
        </w:rPr>
        <w:t>Discontinued Operations</w:t>
      </w:r>
      <w:r>
        <w:rPr>
          <w:rFonts w:ascii="Arial" w:cs="Arial" w:eastAsia="Arial" w:hAnsi="Arial"/>
          <w:sz w:val="15"/>
          <w:szCs w:val="15"/>
          <w:color w:val="auto"/>
        </w:rPr>
        <w:t>. In February 2009, we entered into two agreements whereby we agreed to sell our inventory and enter into a marketing relationship</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financial statements for all periods presented in this Annual Report on Form 10-K.</w:t>
      </w:r>
    </w:p>
    <w:p>
      <w:pPr>
        <w:spacing w:after="0" w:line="15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Raw Materials</w:t>
      </w:r>
      <w:r>
        <w:rPr>
          <w:rFonts w:ascii="Arial" w:cs="Arial" w:eastAsia="Arial" w:hAnsi="Arial"/>
          <w:sz w:val="16"/>
          <w:szCs w:val="16"/>
          <w:color w:val="auto"/>
        </w:rPr>
        <w:t>. We have numerous suppliers, including many of the major chemical producers in the United States. We typically have written distributorship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supply contracts with our suppliers that are periodically renewed. We believe that most of the products we purchase can be obtained from alternative sources should existing relationships be terminated. We are dependent upon the availability of our raw materials. In the event that certain raw materials become generally unavailable, suppliers may extend lead times or limit or cut off the supply of materials to us. As a result, we may not be able to supply or manufacture products for our customers. While we believe we have adequate sources of supply for our raw material and product requirements, we cannot be sure that supplies will be consistently available in the future should shortages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We hold no patents, licenses or trademarks that we consider material to our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Customer Concentration</w:t>
      </w:r>
      <w:r>
        <w:rPr>
          <w:rFonts w:ascii="Arial" w:cs="Arial" w:eastAsia="Arial" w:hAnsi="Arial"/>
          <w:sz w:val="18"/>
          <w:szCs w:val="18"/>
          <w:color w:val="auto"/>
        </w:rPr>
        <w:t>. No single customer represents more than 10% of our total sales, but the loss of our five largest customers could have a material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results of operations. Total aggregate sales to our five largest customers were $22.4 million in fiscal 2008, $46.0 million in fiscal 2009 and $47.1 million in fiscal 2010. No single customer represents 10% or more of any of our segments’ sales.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We operate in a competitive industry and compete with many producers, distributors and sales agents offering chemicals equivalent to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products we handle.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r>
        <w:rPr>
          <w:rFonts w:ascii="Arial" w:cs="Arial" w:eastAsia="Arial" w:hAnsi="Arial"/>
          <w:sz w:val="18"/>
          <w:szCs w:val="18"/>
          <w:color w:val="auto"/>
        </w:rPr>
        <w:t>. Substantially all of our revenues are generated in, and long-lived assets are located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had 268 employees as of March 28, 2010, including 47 covered by a collective bargaining agreement.</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About Us</w:t>
      </w:r>
      <w:r>
        <w:rPr>
          <w:rFonts w:ascii="Arial" w:cs="Arial" w:eastAsia="Arial" w:hAnsi="Arial"/>
          <w:sz w:val="18"/>
          <w:szCs w:val="18"/>
          <w:color w:val="auto"/>
        </w:rPr>
        <w:t>. Hawkins, Inc. was founded in 1938 and incorporated in Minnesota in 1955. We became a publicly-traded company in 1972.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are located at 3100 East Hennepin Avenue, Minneapolis, Minnesota.</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Available Information</w:t>
      </w:r>
      <w:r>
        <w:rPr>
          <w:rFonts w:ascii="Arial" w:cs="Arial" w:eastAsia="Arial" w:hAnsi="Arial"/>
          <w:sz w:val="16"/>
          <w:szCs w:val="16"/>
          <w:color w:val="auto"/>
        </w:rPr>
        <w:t>. We have made available, free of charge, through our Internet website (http://www.hawkinsinc.com) our Annual Reports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Fluctuations in the prices and availability of commodity chemicals, which are cyclical in nature, could have a material adverse effect on our operations and the margins of our products.</w:t>
      </w:r>
    </w:p>
    <w:p>
      <w:pPr>
        <w:spacing w:after="0" w:line="186"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Periodically, we experience significant and rapid fluctuations in the commodity pricing of raw materials. The cyclicality of commodity chemical markets, such as caustic soda, primarily results from changes in the balance between supply and demand and the level of general economic activity. We cannot predict whether the markets for our commodity chemicals will favorably impact our operations or whether we will experience a negative impact due to oversupply and lower prices.</w:t>
      </w:r>
    </w:p>
    <w:p>
      <w:pPr>
        <w:spacing w:after="0" w:line="14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principal raw materials are generally purchased under supply contracts. The prices we pay under these contracts generally lag the market prices of the underlying raw material. The pricing within our supply contracts generally adjusts quarterly or monthly. In addition, the cost of inventory we have on hand generally will lag the current market pricing of such inventory. While we attempt to maintain competitive pricing and stable margin dollars, the variability in our cost of inventory from the current market pricing can cause significant volatility in our margins realized. In periods of rapidly increasing market prices, the inventory cost position will tend to be favorable to us, possibly by material amounts. Conversely, in periods of rapidly decreasing market prices, the inventory cost position will tend to be unfavorable to us, possibly by material amounts.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unavailable, raw material suppliers may extend lead times or limit or cut off supplies. As a result, we may not be able to supply or manufacture products for some or all of our customers. For example, in calendar 2008 a miners’ strike in Canada significantly limited supplies of potassium chloride, a key component of some of our products. Due to the resulting shortage, many chemical companies were unable to supply their customers. While we were able to obtain a supply of the product sufficient to meet our customers’ needs, we cannot assure you that such supplies would be available in the future should other similar shortages occur. Constraints on the supply or delivery of critical raw materials could disrupt our operations and adversely affect the performance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operate in a highly competitive industry and compete with producers, manufacturers, distributors and sales agents offering chemicals equivalent to substantially all of the products we handle. Competition is based on several key criteria, including product price, product performance and quality, product availability and security of supply, responsiveness of product development in cooperation with customers, and customer service. Many of our competitors are larger than we are and may have greater financial resources. As a result, these competitors may be better able than us to withstand changes in conditions within our industry, changes in the prices and availability of raw materials, and changes in general economic conditions.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and volume, identifying higher margin chemical products and improving existing products through innovation and research and development. If we are unable to maintain our profitability or competitive position, we could lose market share to our competitors and experience reduced profitability.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Demand for our products is affected by general economic conditions. A decline in general economic or business conditions in the industries served by our customers could have a material adverse effect on our business. Although our sales volumes have increased in areas traditionally considered non-cyclical such as water treatment, pharmaceutical and food products, many of our customers are in businesses that are cyclical in nature, such as the industrial manufacturing, surface finishing and energy industries which include the automobile parts markets and the ethanol industry. Downturns in these industries could adversely affect our sales and our financial results by affecting demand for and pricing of our products.</w:t>
      </w:r>
    </w:p>
    <w:p>
      <w:pPr>
        <w:spacing w:after="0" w:line="17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 is subject to hazards common to chemical manufacturing, storage, handling and transportation, including explosions, fires, severe weather, natural disasters, mechanical failure, unscheduled downtime, transportation interruptions,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and result in a negative public or political reaction. Many of our facilities are bordered by significant residential populations which increase the risk of negative public or political reaction should an environmental issue occur and could lead to adverse zoning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laws and regulations cause us to incur substantial costs and may subject us to future liabilities.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jurisdictions in which we operate, we are subject to numerous federal, state and local environmental, health and safety laws and regulations, including those governing the discharge of pollutants into the air and water, and the management and disposal of hazardous substances and wastes. The nature of our business exposes us to risks of liability under these laws and regulations due to the production, storage, use, transportation and sale of materials that can cause contamination or personal injury if released into the environment. Ongoing compliance with such laws and regulations is an important consideration for us and we invest substantial capital and incur significant operating costs in our compliance efforts. Governmental regulation has become increasingly strict in recent years. We expect this trend to continue and anticipate that compliance will continue to require increased capital expenditures and operating costs.</w:t>
      </w:r>
    </w:p>
    <w:p>
      <w:pPr>
        <w:spacing w:after="0" w:line="174"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could be held liable in administrative, civil or criminal proceedings for substantial fines and other sanctions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and may in the future, be subject to claims relating to exposure to hazardous materials and the associated liabilities may be material.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customers’ products or failure of our products to meet customers’ quality specifications could adversely affect our sales and profitability.</w:t>
      </w:r>
    </w:p>
    <w:p>
      <w:pPr>
        <w:spacing w:after="0" w:line="26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chemicals are used for a broad range of applications by our customers. Changes in our customers’ products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perform in a manner consistent with quality specifications or have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and could result in a loss of one or more customers.</w:t>
      </w:r>
    </w:p>
    <w:p>
      <w:pPr>
        <w:spacing w:after="0" w:line="197"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Our business, particularly our Water Treatment Group, is subject to seasonality and weather conditions, which could adversely affect our results of operations.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Demand is also affected by weather conditions, as either higher or lower than normal precipitation or temperatures may affect water usage and the consumption of our products. We cannot assure you that seasonality or fluctuating weather conditions will not have a material adverse affect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future acquisitions into our business, which could result in unanticipated expenses and losses.</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6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To the extent future acquisitions are pursued, 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five times, most recently in the spring of 2010. No assurance can be given that flooding or other natural disasters will not recur or that there will not be material damage or interruption to our operations in the future from such disasters.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Chemical-related assets may be at greater risk of future terrorist attacks than other possible targets in the United States. Federal law imposes new site security requirements, specifically on chemical facilities, which require increased capital spending and increase our overhead expenses. New federal regulations have already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three of our terminals reside.</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lease the land where our three main terminals are located. We do not have guaranteed lease renewal options and may not be able to renew our leases in the future. Our current lease renewal periods extend out to 2018 (two leases) and 2029 (one lease). The failure to secure extended lease terms on any one of these terminals may have a material adverse impact on our business, as they are where the majority of our bulk chemicals are stored. While we can make no assurances, based on historical experience and anticipated future needs, we believe that we will be able to renew our leases as the renewal periods expire.</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1B.</w:t>
      </w:r>
      <w:r>
        <w:rPr>
          <w:sz w:val="20"/>
          <w:szCs w:val="20"/>
          <w:color w:val="auto"/>
        </w:rPr>
        <w:tab/>
      </w:r>
      <w:r>
        <w:rPr>
          <w:rFonts w:ascii="Arial" w:cs="Arial" w:eastAsia="Arial" w:hAnsi="Arial"/>
          <w:sz w:val="19"/>
          <w:szCs w:val="19"/>
          <w:color w:val="auto"/>
        </w:rPr>
        <w:t>UNRESOLVED STAFF COMMENTS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PROPERTIES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own our principal location, which consists of approximately 11 acres of land in Minneapolis, Minnesota, with six buildings containing a total of 177,000 square feet of office and warehouse space primarily used by our Industrial Group. Our principal office is located in one of these buildings, at 3100 East Hennepin Avenue. As of March 28, 2010, we had installed sprinkler systems in substantially all of our warehouse facilities for fire protection. We carry customary levels of insurance covering the replacement of damaged property.</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Approx.</w:t>
            </w:r>
          </w:p>
        </w:tc>
      </w:tr>
      <w:tr>
        <w:trPr>
          <w:trHeight w:val="161"/>
        </w:trPr>
        <w:tc>
          <w:tcPr>
            <w:tcW w:w="34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Group</w:t>
            </w:r>
          </w:p>
        </w:tc>
        <w:tc>
          <w:tcPr>
            <w:tcW w:w="3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32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Primary Use</w:t>
            </w:r>
          </w:p>
        </w:tc>
        <w:tc>
          <w:tcPr>
            <w:tcW w:w="3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Square Feet</w:t>
            </w:r>
          </w:p>
        </w:tc>
        <w:tc>
          <w:tcPr>
            <w:tcW w:w="12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3"/>
          </w:tcPr>
          <w:p>
            <w:pPr>
              <w:spacing w:after="0"/>
              <w:rPr>
                <w:sz w:val="12"/>
                <w:szCs w:val="12"/>
                <w:color w:val="auto"/>
              </w:rPr>
            </w:pPr>
          </w:p>
        </w:tc>
      </w:tr>
      <w:tr>
        <w:trPr>
          <w:trHeight w:val="216"/>
        </w:trPr>
        <w:tc>
          <w:tcPr>
            <w:tcW w:w="3420" w:type="dxa"/>
            <w:vAlign w:val="bottom"/>
            <w:shd w:val="clear" w:color="auto" w:fill="D6F3E8"/>
          </w:tcPr>
          <w:p>
            <w:pPr>
              <w:spacing w:after="0"/>
              <w:rPr>
                <w:sz w:val="20"/>
                <w:szCs w:val="20"/>
                <w:color w:val="auto"/>
              </w:rPr>
            </w:pPr>
            <w:r>
              <w:rPr>
                <w:rFonts w:ascii="Arial" w:cs="Arial" w:eastAsia="Arial" w:hAnsi="Arial"/>
                <w:sz w:val="18"/>
                <w:szCs w:val="18"/>
                <w:color w:val="auto"/>
              </w:rPr>
              <w:t>Industrial</w:t>
            </w: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0"/>
              </w:rPr>
              <w:t>St. Paul, MN (1)</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32,000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Minneapolis, MN (2)</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20,000</w:t>
            </w:r>
          </w:p>
        </w:tc>
      </w:tr>
      <w:tr>
        <w:trPr>
          <w:trHeight w:val="216"/>
        </w:trPr>
        <w:tc>
          <w:tcPr>
            <w:tcW w:w="3420" w:type="dxa"/>
            <w:vAlign w:val="bottom"/>
            <w:shd w:val="clear" w:color="auto" w:fill="D6F3E8"/>
          </w:tcPr>
          <w:p>
            <w:pPr>
              <w:spacing w:after="0"/>
              <w:rPr>
                <w:sz w:val="20"/>
                <w:szCs w:val="20"/>
                <w:color w:val="auto"/>
              </w:rPr>
            </w:pPr>
            <w:r>
              <w:rPr>
                <w:rFonts w:ascii="Arial" w:cs="Arial" w:eastAsia="Arial" w:hAnsi="Arial"/>
                <w:sz w:val="18"/>
                <w:szCs w:val="18"/>
                <w:color w:val="auto"/>
              </w:rPr>
              <w:t>Water Treatment</w:t>
            </w: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1"/>
              </w:rPr>
              <w:t>Fargo, ND</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20,600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Fond du Lac, WI</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24,700</w:t>
            </w:r>
          </w:p>
        </w:tc>
      </w:tr>
      <w:tr>
        <w:trPr>
          <w:trHeight w:val="216"/>
        </w:trPr>
        <w:tc>
          <w:tcPr>
            <w:tcW w:w="34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8"/>
              </w:rPr>
              <w:t>Washburn, ND</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14,000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8"/>
              </w:rPr>
              <w:t>Billings, MT</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9,300</w:t>
            </w:r>
          </w:p>
        </w:tc>
      </w:tr>
      <w:tr>
        <w:trPr>
          <w:trHeight w:val="216"/>
        </w:trPr>
        <w:tc>
          <w:tcPr>
            <w:tcW w:w="34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0"/>
              </w:rPr>
              <w:t>Sioux Falls, SD</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27,300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Rapid City, SD</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9,500</w:t>
            </w:r>
          </w:p>
        </w:tc>
      </w:tr>
      <w:tr>
        <w:trPr>
          <w:trHeight w:val="216"/>
        </w:trPr>
        <w:tc>
          <w:tcPr>
            <w:tcW w:w="34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3"/>
              </w:rPr>
              <w:t>Joliet, IL (3)</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6,400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Superior, WI</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17,200</w:t>
            </w:r>
          </w:p>
        </w:tc>
      </w:tr>
      <w:tr>
        <w:trPr>
          <w:trHeight w:val="216"/>
        </w:trPr>
        <w:tc>
          <w:tcPr>
            <w:tcW w:w="34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1"/>
              </w:rPr>
              <w:t>Slater, IA</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12,900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Lincoln, NE (4)</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16,600</w:t>
            </w:r>
          </w:p>
        </w:tc>
      </w:tr>
      <w:tr>
        <w:trPr>
          <w:trHeight w:val="216"/>
        </w:trPr>
        <w:tc>
          <w:tcPr>
            <w:tcW w:w="34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4"/>
              </w:rPr>
              <w:t>Eldridge, IA</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6,000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Columbia, MO (5)</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9,000</w:t>
            </w:r>
          </w:p>
        </w:tc>
      </w:tr>
      <w:tr>
        <w:trPr>
          <w:trHeight w:val="216"/>
        </w:trPr>
        <w:tc>
          <w:tcPr>
            <w:tcW w:w="34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Garnett, KS</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18,000</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Ft. Smith, AR (4)</w:t>
            </w:r>
          </w:p>
        </w:tc>
        <w:tc>
          <w:tcPr>
            <w:tcW w:w="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17,500</w:t>
            </w:r>
          </w:p>
        </w:tc>
      </w:tr>
      <w:tr>
        <w:trPr>
          <w:trHeight w:val="216"/>
        </w:trPr>
        <w:tc>
          <w:tcPr>
            <w:tcW w:w="3420" w:type="dxa"/>
            <w:vAlign w:val="bottom"/>
            <w:shd w:val="clear" w:color="auto" w:fill="D6F3E8"/>
          </w:tcPr>
          <w:p>
            <w:pPr>
              <w:spacing w:after="0"/>
              <w:rPr>
                <w:sz w:val="20"/>
                <w:szCs w:val="20"/>
                <w:color w:val="auto"/>
              </w:rPr>
            </w:pPr>
            <w:r>
              <w:rPr>
                <w:rFonts w:ascii="Arial" w:cs="Arial" w:eastAsia="Arial" w:hAnsi="Arial"/>
                <w:sz w:val="18"/>
                <w:szCs w:val="18"/>
                <w:color w:val="auto"/>
              </w:rPr>
              <w:t>Industrial and Water Treatment</w:t>
            </w:r>
          </w:p>
        </w:tc>
        <w:tc>
          <w:tcPr>
            <w:tcW w:w="320" w:type="dxa"/>
            <w:vAlign w:val="bottom"/>
            <w:shd w:val="clear" w:color="auto" w:fill="D6F3E8"/>
          </w:tcPr>
          <w:p>
            <w:pPr>
              <w:spacing w:after="0"/>
              <w:rPr>
                <w:sz w:val="18"/>
                <w:szCs w:val="18"/>
                <w:color w:val="auto"/>
              </w:rPr>
            </w:pPr>
          </w:p>
        </w:tc>
        <w:tc>
          <w:tcPr>
            <w:tcW w:w="23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0"/>
              </w:rPr>
              <w:t>St. Paul, MN (6)</w:t>
            </w:r>
          </w:p>
        </w:tc>
        <w:tc>
          <w:tcPr>
            <w:tcW w:w="320" w:type="dxa"/>
            <w:vAlign w:val="bottom"/>
            <w:shd w:val="clear" w:color="auto" w:fill="D6F3E8"/>
          </w:tcPr>
          <w:p>
            <w:pPr>
              <w:spacing w:after="0"/>
              <w:rPr>
                <w:sz w:val="18"/>
                <w:szCs w:val="18"/>
                <w:color w:val="auto"/>
              </w:rPr>
            </w:pPr>
          </w:p>
        </w:tc>
        <w:tc>
          <w:tcPr>
            <w:tcW w:w="2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59,000</w:t>
            </w:r>
          </w:p>
        </w:tc>
      </w:tr>
      <w:tr>
        <w:trPr>
          <w:trHeight w:val="222"/>
        </w:trPr>
        <w:tc>
          <w:tcPr>
            <w:tcW w:w="3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Centralia, IL (7)</w:t>
            </w:r>
          </w:p>
        </w:tc>
        <w:tc>
          <w:tcPr>
            <w:tcW w:w="32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77,000</w:t>
            </w:r>
          </w:p>
        </w:tc>
      </w:tr>
    </w:tbl>
    <w:p>
      <w:pPr>
        <w:spacing w:after="0" w:line="242" w:lineRule="exact"/>
        <w:rPr>
          <w:sz w:val="20"/>
          <w:szCs w:val="20"/>
          <w:color w:val="auto"/>
        </w:rPr>
      </w:pPr>
    </w:p>
    <w:p>
      <w:pPr>
        <w:ind w:left="580" w:right="180" w:firstLine="9"/>
        <w:spacing w:after="0" w:line="283" w:lineRule="auto"/>
        <w:tabs>
          <w:tab w:leader="none" w:pos="1004"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terminal operations, located at two sites on opposite sides of the Mississippi River, are made up of three buildings, ten outside storage tanks with a total capacity of approximately 8.7 million gallons for the storage of liquid bulk chemicals, including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2013, at which time we have an option to renew the leases for an additional five-year period on the same terms and conditions subject to renegotiation of rent.</w:t>
      </w:r>
    </w:p>
    <w:p>
      <w:pPr>
        <w:spacing w:after="0" w:line="2" w:lineRule="exact"/>
        <w:rPr>
          <w:rFonts w:ascii="Arial" w:cs="Arial" w:eastAsia="Arial" w:hAnsi="Arial"/>
          <w:sz w:val="16"/>
          <w:szCs w:val="16"/>
          <w:color w:val="auto"/>
        </w:rPr>
      </w:pPr>
    </w:p>
    <w:p>
      <w:pPr>
        <w:ind w:left="1000" w:hanging="411"/>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to serve our bulk pharmaceutical customers.</w:t>
      </w:r>
    </w:p>
    <w:p>
      <w:pPr>
        <w:spacing w:after="0" w:line="9" w:lineRule="exact"/>
        <w:rPr>
          <w:rFonts w:ascii="Arial" w:cs="Arial" w:eastAsia="Arial" w:hAnsi="Arial"/>
          <w:sz w:val="18"/>
          <w:szCs w:val="18"/>
          <w:color w:val="auto"/>
        </w:rPr>
      </w:pPr>
    </w:p>
    <w:p>
      <w:pPr>
        <w:ind w:left="580" w:right="480" w:firstLine="9"/>
        <w:spacing w:after="0" w:line="250" w:lineRule="auto"/>
        <w:tabs>
          <w:tab w:leader="none" w:pos="100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on a month to month basis. Starting in June 2010, we will be leasing a different facility comprised of 18,000 square feet of office and warehouse space.</w:t>
      </w:r>
    </w:p>
    <w:p>
      <w:pPr>
        <w:ind w:left="1000" w:hanging="411"/>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9" w:lineRule="exact"/>
        <w:rPr>
          <w:rFonts w:ascii="Arial" w:cs="Arial" w:eastAsia="Arial" w:hAnsi="Arial"/>
          <w:sz w:val="18"/>
          <w:szCs w:val="18"/>
          <w:color w:val="auto"/>
        </w:rPr>
      </w:pPr>
    </w:p>
    <w:p>
      <w:pPr>
        <w:ind w:left="580" w:right="80" w:firstLine="9"/>
        <w:spacing w:after="0" w:line="250" w:lineRule="auto"/>
        <w:tabs>
          <w:tab w:leader="none" w:pos="100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through September 2010. Starting in June 2010, we will be leasing a different facility comprised of 14,600 square feet of office and warehouse space.</w:t>
      </w:r>
    </w:p>
    <w:p>
      <w:pPr>
        <w:ind w:left="580" w:right="40" w:firstLine="9"/>
        <w:spacing w:after="0" w:line="300" w:lineRule="auto"/>
        <w:tabs>
          <w:tab w:leader="none" w:pos="1004"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Red Rock facility, which consists of a 59,000 square-foot building located on approximately 10 acres of land, has outside storage capacity for liquid bulk chemicals, including 1.5 million gallons for the storage of liquid caustic soda, as well as numerous smaller tanks for storing and mixing chemicals. The land is leased from the Port Authority of the City of St. Paul, Minnesota, through July 2029 for a basic rent plus an amount based on annual tonnage unloaded at the site. The basic rent and annual tonnage rent were renegotiated August 1, 2009 and are to be renegotiated every five years.</w:t>
      </w:r>
    </w:p>
    <w:p>
      <w:pPr>
        <w:spacing w:after="0" w:line="1" w:lineRule="exact"/>
        <w:rPr>
          <w:rFonts w:ascii="Arial" w:cs="Arial" w:eastAsia="Arial" w:hAnsi="Arial"/>
          <w:sz w:val="15"/>
          <w:szCs w:val="15"/>
          <w:color w:val="auto"/>
        </w:rPr>
      </w:pPr>
    </w:p>
    <w:p>
      <w:pPr>
        <w:ind w:left="580" w:right="560" w:firstLine="9"/>
        <w:spacing w:after="0" w:line="261" w:lineRule="auto"/>
        <w:tabs>
          <w:tab w:leader="none" w:pos="100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became operational in July 2009 and primarily serves our food-grade products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LEGAL PROCEEDINGS</w:t>
      </w:r>
    </w:p>
    <w:p>
      <w:pPr>
        <w:spacing w:after="0" w:line="2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are a party from time to time in various legal proceedings arising in the ordinary course of our business. None of the pending proceedings are expected to have a material effect on us.</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21"/>
          <w:szCs w:val="21"/>
          <w:color w:val="auto"/>
        </w:rPr>
        <w:t>[REMOVED AND RESERVED]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w:t>
      </w:r>
    </w:p>
    <w:p>
      <w:pPr>
        <w:spacing w:after="0" w:line="220" w:lineRule="exact"/>
        <w:rPr>
          <w:sz w:val="20"/>
          <w:szCs w:val="20"/>
          <w:color w:val="auto"/>
        </w:rPr>
      </w:pPr>
    </w:p>
    <w:p>
      <w:pPr>
        <w:ind w:left="1380" w:right="640" w:hanging="1377"/>
        <w:spacing w:after="0" w:line="251" w:lineRule="auto"/>
        <w:tabs>
          <w:tab w:leader="none" w:pos="13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22"/>
          <w:szCs w:val="22"/>
          <w:color w:val="auto"/>
        </w:rPr>
        <w:t>MARKET FOR THE COMPANY’S COMMON EQUITY, RELATED SHAREHOLDER MATTERS, AND ISSUER PURCHASES OF EQUITY SECURITIES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Quarterly Stock Data</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Fiscal 2010</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23.78</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24.03</w:t>
            </w:r>
          </w:p>
        </w:tc>
        <w:tc>
          <w:tcPr>
            <w:tcW w:w="3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20.76</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25.89</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22.58</w:t>
            </w:r>
          </w:p>
        </w:tc>
        <w:tc>
          <w:tcPr>
            <w:tcW w:w="3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76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8"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16.17</w:t>
            </w:r>
          </w:p>
        </w:tc>
        <w:tc>
          <w:tcPr>
            <w:tcW w:w="5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18.10</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Cash Dividends</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4"/>
              </w:rPr>
              <w:t>Declared</w:t>
            </w: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Fiscal 2011</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D6F3E8"/>
          </w:tcPr>
          <w:p>
            <w:pPr>
              <w:spacing w:after="0"/>
              <w:rPr>
                <w:sz w:val="20"/>
                <w:szCs w:val="20"/>
                <w:color w:val="auto"/>
              </w:rPr>
            </w:pPr>
            <w:r>
              <w:rPr>
                <w:rFonts w:ascii="Arial" w:cs="Arial" w:eastAsia="Arial" w:hAnsi="Arial"/>
                <w:sz w:val="18"/>
                <w:szCs w:val="18"/>
                <w:color w:val="auto"/>
              </w:rPr>
              <w:t>Fiscal 2010</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0" w:type="dxa"/>
            <w:vAlign w:val="bottom"/>
            <w:shd w:val="clear" w:color="auto" w:fill="D6F3E8"/>
          </w:tcPr>
          <w:p>
            <w:pPr>
              <w:spacing w:after="0"/>
              <w:rPr>
                <w:sz w:val="22"/>
                <w:szCs w:val="22"/>
                <w:color w:val="auto"/>
              </w:rPr>
            </w:pPr>
          </w:p>
        </w:tc>
        <w:tc>
          <w:tcPr>
            <w:tcW w:w="5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0" w:type="dxa"/>
            <w:vAlign w:val="bottom"/>
            <w:shd w:val="clear" w:color="auto" w:fill="D6F3E8"/>
          </w:tcPr>
          <w:p>
            <w:pPr>
              <w:spacing w:after="0"/>
              <w:rPr>
                <w:sz w:val="22"/>
                <w:szCs w:val="22"/>
                <w:color w:val="auto"/>
              </w:rPr>
            </w:pPr>
          </w:p>
        </w:tc>
        <w:tc>
          <w:tcPr>
            <w:tcW w:w="5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76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8"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7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1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4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7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common shares are traded on The NASDAQ Global Market under the symbol “HWKN.” The price information represents closing sale prices as reported by The NASDAQ Global Market. As of March 28, 2010, there were approximately 774 registered common shareholders, which include nominees or broker dealers holding stock on behalf of an estimated 1,976 beneficial owners.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first started paying cash dividends in 1985 and have continued to do so since. In August 2009, in recognition of the Company’s strong financial performance in fiscal 2009, its strong cash position and no debt, the Board of Directors authorized a special dividend of $0.10 per share in addition to a regular semi-annual cash dividend of $0.28 per share. Future dividend levels will be dependent upon our results of operations, financial position, cash flows and other factors, and will be evaluated by our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following graph compares the cumulative total shareholder return on our common shares with the cumulative total returns of the NASDAQ Industrial Index, the NASDAQ Composite Index and the Russell 2000 Index for our last five completed fiscal years. The graph assumes the investment of $100 in our stock, the NASDAQ Industrial Index, the NASDAQ Composite Index and the Russell 2000 Index on April 3, 2005, and reinvestment of all dividends. We have added the Russell 2000 Index because during fiscal 2010, Hawkins, Inc. was added to the Russell 2000 Index based on disclosures by Russell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111125</wp:posOffset>
            </wp:positionV>
            <wp:extent cx="4716780" cy="3198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78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00" w:type="dxa"/>
            <w:vAlign w:val="bottom"/>
            <w:gridSpan w:val="2"/>
          </w:tcPr>
          <w:p>
            <w:pPr>
              <w:spacing w:after="0"/>
              <w:rPr>
                <w:sz w:val="20"/>
                <w:szCs w:val="20"/>
                <w:color w:val="auto"/>
              </w:rPr>
            </w:pPr>
            <w:r>
              <w:rPr>
                <w:rFonts w:ascii="Arial" w:cs="Arial" w:eastAsia="Arial" w:hAnsi="Arial"/>
                <w:sz w:val="22"/>
                <w:szCs w:val="22"/>
                <w:color w:val="auto"/>
              </w:rPr>
              <w:t>ITEM 6.</w:t>
            </w:r>
          </w:p>
        </w:tc>
        <w:tc>
          <w:tcPr>
            <w:tcW w:w="4400" w:type="dxa"/>
            <w:vAlign w:val="bottom"/>
          </w:tcPr>
          <w:p>
            <w:pPr>
              <w:ind w:left="280"/>
              <w:spacing w:after="0"/>
              <w:rPr>
                <w:sz w:val="20"/>
                <w:szCs w:val="20"/>
                <w:color w:val="auto"/>
              </w:rPr>
            </w:pPr>
            <w:r>
              <w:rPr>
                <w:rFonts w:ascii="Arial" w:cs="Arial" w:eastAsia="Arial" w:hAnsi="Arial"/>
                <w:sz w:val="22"/>
                <w:szCs w:val="22"/>
                <w:color w:val="auto"/>
              </w:rPr>
              <w:t>SELECTED FINANCIAL DATA</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Sales from continuing operations</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257,099</w:t>
            </w:r>
          </w:p>
        </w:tc>
        <w:tc>
          <w:tcPr>
            <w:tcW w:w="3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284,356</w:t>
            </w:r>
          </w:p>
        </w:tc>
        <w:tc>
          <w:tcPr>
            <w:tcW w:w="360" w:type="dxa"/>
            <w:vAlign w:val="bottom"/>
            <w:shd w:val="clear" w:color="auto" w:fill="D6F3E8"/>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186,664</w:t>
            </w:r>
          </w:p>
        </w:tc>
        <w:tc>
          <w:tcPr>
            <w:tcW w:w="3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151,766</w:t>
            </w:r>
          </w:p>
        </w:tc>
        <w:tc>
          <w:tcPr>
            <w:tcW w:w="3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133,139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500" w:type="dxa"/>
            <w:vAlign w:val="bottom"/>
            <w:gridSpan w:val="3"/>
          </w:tcPr>
          <w:p>
            <w:pPr>
              <w:spacing w:after="0"/>
              <w:rPr>
                <w:sz w:val="20"/>
                <w:szCs w:val="20"/>
                <w:color w:val="auto"/>
              </w:rPr>
            </w:pPr>
            <w:r>
              <w:rPr>
                <w:rFonts w:ascii="Arial" w:cs="Arial" w:eastAsia="Arial" w:hAnsi="Arial"/>
                <w:sz w:val="18"/>
                <w:szCs w:val="18"/>
                <w:color w:val="auto"/>
              </w:rPr>
              <w:t>Gross profit from continuing operations</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64,445</w:t>
            </w:r>
          </w:p>
        </w:tc>
        <w:tc>
          <w:tcPr>
            <w:tcW w:w="36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62,420</w:t>
            </w:r>
          </w:p>
        </w:tc>
        <w:tc>
          <w:tcPr>
            <w:tcW w:w="36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38,528</w:t>
            </w:r>
          </w:p>
        </w:tc>
        <w:tc>
          <w:tcPr>
            <w:tcW w:w="3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34,709</w:t>
            </w:r>
          </w:p>
        </w:tc>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30,060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4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23,738</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23,424</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8,488</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7,724</w:t>
            </w:r>
          </w:p>
        </w:tc>
        <w:tc>
          <w:tcPr>
            <w:tcW w:w="320" w:type="dxa"/>
            <w:vAlign w:val="bottom"/>
            <w:shd w:val="clear" w:color="auto" w:fill="D6F3E8"/>
          </w:tcPr>
          <w:p>
            <w:pPr>
              <w:spacing w:after="0"/>
              <w:rPr>
                <w:sz w:val="18"/>
                <w:szCs w:val="18"/>
                <w:color w:val="auto"/>
              </w:rPr>
            </w:pPr>
          </w:p>
        </w:tc>
        <w:tc>
          <w:tcPr>
            <w:tcW w:w="8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7,412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500" w:type="dxa"/>
            <w:vAlign w:val="bottom"/>
            <w:gridSpan w:val="3"/>
          </w:tcPr>
          <w:p>
            <w:pPr>
              <w:spacing w:after="0"/>
              <w:rPr>
                <w:sz w:val="20"/>
                <w:szCs w:val="20"/>
                <w:color w:val="auto"/>
              </w:rPr>
            </w:pPr>
            <w:r>
              <w:rPr>
                <w:rFonts w:ascii="Arial" w:cs="Arial" w:eastAsia="Arial" w:hAnsi="Arial"/>
                <w:sz w:val="18"/>
                <w:szCs w:val="18"/>
                <w:color w:val="auto"/>
              </w:rPr>
              <w:t>Basic earnings per common share from continuing operations</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0.76</w:t>
            </w:r>
          </w:p>
        </w:tc>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4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Diluted earnings per common share from continuing operations</w:t>
            </w:r>
          </w:p>
        </w:tc>
        <w:tc>
          <w:tcPr>
            <w:tcW w:w="10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0.83</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0.76</w:t>
            </w:r>
          </w:p>
        </w:tc>
        <w:tc>
          <w:tcPr>
            <w:tcW w:w="320" w:type="dxa"/>
            <w:vAlign w:val="bottom"/>
            <w:shd w:val="clear" w:color="auto" w:fill="D6F3E8"/>
          </w:tcPr>
          <w:p>
            <w:pPr>
              <w:spacing w:after="0"/>
              <w:rPr>
                <w:sz w:val="18"/>
                <w:szCs w:val="18"/>
                <w:color w:val="auto"/>
              </w:rPr>
            </w:pPr>
          </w:p>
        </w:tc>
        <w:tc>
          <w:tcPr>
            <w:tcW w:w="8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500" w:type="dxa"/>
            <w:vAlign w:val="bottom"/>
            <w:gridSpan w:val="3"/>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0.66</w:t>
            </w:r>
          </w:p>
        </w:tc>
        <w:tc>
          <w:tcPr>
            <w:tcW w:w="36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0.52</w:t>
            </w:r>
          </w:p>
        </w:tc>
        <w:tc>
          <w:tcPr>
            <w:tcW w:w="36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4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Cash dividends paid per common share</w:t>
            </w:r>
          </w:p>
        </w:tc>
        <w:tc>
          <w:tcPr>
            <w:tcW w:w="10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0.64</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D6F3E8"/>
          </w:tcPr>
          <w:p>
            <w:pPr>
              <w:spacing w:after="0"/>
              <w:rPr>
                <w:sz w:val="18"/>
                <w:szCs w:val="18"/>
                <w:color w:val="auto"/>
              </w:rPr>
            </w:pPr>
          </w:p>
        </w:tc>
        <w:tc>
          <w:tcPr>
            <w:tcW w:w="90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0.46</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D6F3E8"/>
          </w:tcPr>
          <w:p>
            <w:pPr>
              <w:spacing w:after="0"/>
              <w:rPr>
                <w:sz w:val="18"/>
                <w:szCs w:val="18"/>
                <w:color w:val="auto"/>
              </w:rPr>
            </w:pPr>
          </w:p>
        </w:tc>
        <w:tc>
          <w:tcPr>
            <w:tcW w:w="8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160,293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136,290</w:t>
            </w:r>
          </w:p>
        </w:tc>
        <w:tc>
          <w:tcPr>
            <w:tcW w:w="3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108,943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101,269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94,057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734"/>
              <w:spacing w:after="0"/>
              <w:rPr>
                <w:sz w:val="20"/>
                <w:szCs w:val="20"/>
                <w:color w:val="auto"/>
              </w:rPr>
            </w:pPr>
            <w:r>
              <w:rPr>
                <w:rFonts w:ascii="Arial" w:cs="Arial" w:eastAsia="Arial" w:hAnsi="Arial"/>
                <w:sz w:val="18"/>
                <w:szCs w:val="18"/>
                <w:color w:val="auto"/>
                <w:w w:val="89"/>
              </w:rPr>
              <w:t>13</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44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380" w:right="720" w:hanging="1377"/>
        <w:spacing w:after="0" w:line="251" w:lineRule="auto"/>
        <w:tabs>
          <w:tab w:leader="none" w:pos="13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our fiscal years ended March 28, 2010, March 29, 2009, and March 30, 2008. This discussion should be read in conjunction with the Financial Statements and Notes to Financial Statements included in Item 8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including our food-grade products. We expect this specialty chemical portion of our business to continue to grow.</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continued to invest in growing our business. In fiscal 2008, we acquired the assets of Trumark, Inc., a producer of antimicrobial products for the food industry, for approximately $6.5 million. These operations have been consolidated into our Industrial Group. In fiscal 2009, we invested in two new facilities to expand our ability to service our customers and facilitate growth within our Industrial Group. Our facility in Centralia, Illinois began operations in July 2009 and primarily serves our food-grade products business. We closed our Linden, New Jersey food-grade production facility in September 2009 and transferred these operations to our Centralia facility. Also in fiscal 2009, we built a facility in Minneapolis, Minnesota to handle bulk chemicals sold to pharmaceutical manufacturers. The total capital expenditures on these two facilities were approximately $10.0 million of which approximately $7.5 million occurred during fiscal 2009 and approximately $2.5 million occurred in the first six months of fiscal 2010. We opened two new branch offices for our Water Treatment Group in late fiscal 2008, one new branch in the first quarter of fiscal 2010 and one new branch in the first quarter of fiscal 2011 and expect to continue to invest in existing and new branches to expand our Water Treatment Group’s geographic coverage. The cost of these branch expansions is not expected to be material. In addition, we have selectively added route sales personnel to certain existing Water Treatment Group branch offices to spur growth within our existing geographic coverage area.</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The transaction closed in May 2009 and we have no significant obligations to fulfill under the agreement. The results of the Pharmaceutical segment have been reported as discontinued operations in our Financial Statements and Notes to Financial Statements for all periods presented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in fiscal 2010 was highlighted by:</w:t>
      </w:r>
    </w:p>
    <w:p>
      <w:pPr>
        <w:spacing w:after="0" w:line="239"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from continuing operations of $257.1 million, a 9.6% decrease from fiscal 2009;</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from continuing operations of $64.4 million or 25.1% of sales, a $2.0 million increase in gross profit dollars from fiscal 2009;</w:t>
      </w:r>
    </w:p>
    <w:p>
      <w:pPr>
        <w:spacing w:after="0" w:line="32" w:lineRule="exact"/>
        <w:rPr>
          <w:rFonts w:ascii="Arial" w:cs="Arial" w:eastAsia="Arial" w:hAnsi="Arial"/>
          <w:sz w:val="16"/>
          <w:szCs w:val="16"/>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of $38.8 million;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and investments available-for-sale of $53.7 million as of the end of fiscal 2010.</w:t>
      </w:r>
    </w:p>
    <w:p>
      <w:pPr>
        <w:spacing w:after="0" w:line="21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 We use the last in, first out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Our use of LIFO partially offsets the impact of the rapidly changing prices. Our LIFO reserve decreased significantly in fiscal 2010 due to declining costs. This decrease in the reserve increased our reported gross profit in fiscal 2010. In the prior year, our LIFO reserve increased significantly due to rising costs, which decreased our reported gross profit in that year.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raw material costs fluctuated dramatically during fiscal 2009 and fiscal 2010. The costs of the majority of our primary raw materials began to increase rapidly and substantially in the first quarter of fiscal 2009 due to high demand and, in some cases, constrained supply. We continued to experience those cost trends through the third quarter of fiscal 2009. The costs for these raw materials leveled off in the fourth quarter of fiscal 2009, before declining significantly during fiscal 2010, with the costs at the end of fiscal 2010 substantially lower than they were in the at the end of fiscal 2009. Recently our raw material costs have been more stable, although remaining at levels significantly below the peak that occurred during the third and fourth quarters of fiscal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4"/>
                <w:szCs w:val="14"/>
                <w:color w:val="auto"/>
              </w:rPr>
            </w:pPr>
          </w:p>
        </w:tc>
        <w:tc>
          <w:tcPr>
            <w:tcW w:w="1080" w:type="dxa"/>
            <w:vAlign w:val="bottom"/>
            <w:gridSpan w:val="2"/>
          </w:tcPr>
          <w:p>
            <w:pPr>
              <w:ind w:left="360"/>
              <w:spacing w:after="0"/>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Cost of sales</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(74.9) %</w:t>
            </w:r>
          </w:p>
        </w:tc>
        <w:tc>
          <w:tcPr>
            <w:tcW w:w="1360" w:type="dxa"/>
            <w:vAlign w:val="bottom"/>
            <w:gridSpan w:val="3"/>
          </w:tcPr>
          <w:p>
            <w:pPr>
              <w:jc w:val="right"/>
              <w:ind w:right="12"/>
              <w:spacing w:after="0"/>
              <w:rPr>
                <w:sz w:val="20"/>
                <w:szCs w:val="20"/>
                <w:color w:val="auto"/>
              </w:rPr>
            </w:pPr>
            <w:r>
              <w:rPr>
                <w:rFonts w:ascii="Arial" w:cs="Arial" w:eastAsia="Arial" w:hAnsi="Arial"/>
                <w:sz w:val="18"/>
                <w:szCs w:val="18"/>
                <w:color w:val="auto"/>
              </w:rPr>
              <w:t>(78.0) %</w:t>
            </w:r>
          </w:p>
        </w:tc>
        <w:tc>
          <w:tcPr>
            <w:tcW w:w="1380" w:type="dxa"/>
            <w:vAlign w:val="bottom"/>
            <w:gridSpan w:val="3"/>
          </w:tcPr>
          <w:p>
            <w:pPr>
              <w:jc w:val="right"/>
              <w:ind w:right="12"/>
              <w:spacing w:after="0"/>
              <w:rPr>
                <w:sz w:val="20"/>
                <w:szCs w:val="20"/>
                <w:color w:val="auto"/>
              </w:rPr>
            </w:pPr>
            <w:r>
              <w:rPr>
                <w:rFonts w:ascii="Arial" w:cs="Arial" w:eastAsia="Arial" w:hAnsi="Arial"/>
                <w:sz w:val="18"/>
                <w:szCs w:val="18"/>
                <w:color w:val="auto"/>
              </w:rPr>
              <w:t>(79.4) %</w:t>
            </w:r>
          </w:p>
        </w:tc>
      </w:tr>
      <w:tr>
        <w:trPr>
          <w:trHeight w:val="210"/>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22.0</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20.6</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(10.0) %</w:t>
            </w:r>
          </w:p>
        </w:tc>
        <w:tc>
          <w:tcPr>
            <w:tcW w:w="1360" w:type="dxa"/>
            <w:vAlign w:val="bottom"/>
            <w:gridSpan w:val="3"/>
          </w:tcPr>
          <w:p>
            <w:pPr>
              <w:jc w:val="right"/>
              <w:ind w:right="12"/>
              <w:spacing w:after="0"/>
              <w:rPr>
                <w:sz w:val="20"/>
                <w:szCs w:val="20"/>
                <w:color w:val="auto"/>
              </w:rPr>
            </w:pPr>
            <w:r>
              <w:rPr>
                <w:rFonts w:ascii="Arial" w:cs="Arial" w:eastAsia="Arial" w:hAnsi="Arial"/>
                <w:sz w:val="18"/>
                <w:szCs w:val="18"/>
                <w:color w:val="auto"/>
              </w:rPr>
              <w:t>(8.8) %</w:t>
            </w:r>
          </w:p>
        </w:tc>
        <w:tc>
          <w:tcPr>
            <w:tcW w:w="1380" w:type="dxa"/>
            <w:vAlign w:val="bottom"/>
            <w:gridSpan w:val="3"/>
          </w:tcPr>
          <w:p>
            <w:pPr>
              <w:jc w:val="right"/>
              <w:ind w:right="12"/>
              <w:spacing w:after="0"/>
              <w:rPr>
                <w:sz w:val="20"/>
                <w:szCs w:val="20"/>
                <w:color w:val="auto"/>
              </w:rPr>
            </w:pPr>
            <w:r>
              <w:rPr>
                <w:rFonts w:ascii="Arial" w:cs="Arial" w:eastAsia="Arial" w:hAnsi="Arial"/>
                <w:sz w:val="18"/>
                <w:szCs w:val="18"/>
                <w:color w:val="auto"/>
              </w:rPr>
              <w:t>(14.2) %</w:t>
            </w:r>
          </w:p>
        </w:tc>
      </w:tr>
      <w:tr>
        <w:trPr>
          <w:trHeight w:val="210"/>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0"/>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(6.1) %</w:t>
            </w:r>
          </w:p>
        </w:tc>
        <w:tc>
          <w:tcPr>
            <w:tcW w:w="1360" w:type="dxa"/>
            <w:vAlign w:val="bottom"/>
            <w:gridSpan w:val="3"/>
          </w:tcPr>
          <w:p>
            <w:pPr>
              <w:jc w:val="right"/>
              <w:ind w:right="12"/>
              <w:spacing w:after="0"/>
              <w:rPr>
                <w:sz w:val="20"/>
                <w:szCs w:val="20"/>
                <w:color w:val="auto"/>
              </w:rPr>
            </w:pPr>
            <w:r>
              <w:rPr>
                <w:rFonts w:ascii="Arial" w:cs="Arial" w:eastAsia="Arial" w:hAnsi="Arial"/>
                <w:sz w:val="18"/>
                <w:szCs w:val="18"/>
                <w:color w:val="auto"/>
              </w:rPr>
              <w:t>(5.0) %</w:t>
            </w:r>
          </w:p>
        </w:tc>
        <w:tc>
          <w:tcPr>
            <w:tcW w:w="1380" w:type="dxa"/>
            <w:vAlign w:val="bottom"/>
            <w:gridSpan w:val="3"/>
          </w:tcPr>
          <w:p>
            <w:pPr>
              <w:jc w:val="right"/>
              <w:ind w:right="12"/>
              <w:spacing w:after="0"/>
              <w:rPr>
                <w:sz w:val="20"/>
                <w:szCs w:val="20"/>
                <w:color w:val="auto"/>
              </w:rPr>
            </w:pPr>
            <w:r>
              <w:rPr>
                <w:rFonts w:ascii="Arial" w:cs="Arial" w:eastAsia="Arial" w:hAnsi="Arial"/>
                <w:sz w:val="18"/>
                <w:szCs w:val="18"/>
                <w:color w:val="auto"/>
              </w:rPr>
              <w:t>(2.6) %</w:t>
            </w:r>
          </w:p>
        </w:tc>
      </w:tr>
      <w:tr>
        <w:trPr>
          <w:trHeight w:val="210"/>
        </w:trPr>
        <w:tc>
          <w:tcPr>
            <w:tcW w:w="68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8.2</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68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D6F3E8"/>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bottom w:val="single" w:sz="8" w:color="D6F3E8"/>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bottom w:val="single" w:sz="8" w:color="D6F3E8"/>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2010 Compared to Fiscal 2009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Sales decreased $27.3 million, or 9.6%, to $257.1 million for fiscal 2010, as compared to sales of $284.4 million for fiscal 2009. The sales decrease was primarily driven by lower selling prices for commodity bulk chemicals, including caustic soda due to lower commodity chemical costs in fiscal 2010 as compared to the prior year. Sales of these products were approximately 24.1% of sales compared to approximately 33.3% in the previous year. The decline in bulk chemical sales was partially offset by higher sales of our manufactured and specialty chemical products.</w:t>
      </w:r>
    </w:p>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$26.7 million, or 13.2%, to $174.9 million for fiscal 2010. The sales decrease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selling prices for commodity bulk chemicals due to lower commodity chemical costs in fiscal 2010 compared to the prior year. This was partially offset by higher sales of manufactured and specialty chemical products.</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decreased $0.6 million, or 0.7%, to $82.2 million for fiscal 2010. Increased sales of manufactured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chemical products were offset by decreases in selling prices for commodity chemicals due to lower commodity chemical costs in fiscal 2010 compared to the prior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Gross profit was $64.4 million, or 25.1% of sales, for fiscal 2010, as compared to $62.4 million, or 22.0% of sales, for fiscal 2009. The LIFO method of valuing inventory increased gross profit by $12.6 million for fiscal 2010 due to decreases in certain raw material costs, whereas LIFO decreased gross profit by $10.0 million in the prior year due to increases in certain raw material costs during that period. The increase in gross profit as a percentage of sales was primarily driven by our ability to maintain relatively stable margin dollars on lower selling prices compared to the prior year, in addition to an increase in sales of higher margin manufactured and specialty chemical products and the LIFO reserve adjustments.</w:t>
      </w:r>
    </w:p>
    <w:p>
      <w:pPr>
        <w:spacing w:after="0" w:line="17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$37.3 million, or 21.3% of sales, for fiscal 2010, as compared to $41.5 million, or 20.6%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2009. In fiscal 2009, the gross profit dollars were significantly higher than historical levels due to the sale of lower-cost inventory on hand during that period of rapidly escalating commodity chemical prices as well as an increase in profits realized on certain products where we had inventory available to meet escalated demand during a period of constrained supply. By contrast, in fiscal 2010, market conditions returned to levels more in line with our historical experience and, as a result, our gross profit dollars were lower for that period. Increased operational overhead costs, primarily related to the two new facilities, also contributed to the lower gross profit levels in the Industrial segment. The reductions were partially offset by higher profits realized from the sale of manufactured and specialty chemical products. The increase in gross profit margin as a percent of sales was primarily driven by our ability to maintain relatively stable margin dollars on lower selling prices compared to the prior year. The LIFO method of valuing inventory positively impacted gross profit in this segment by $10.2 million in fiscal 2010, as compared to negatively impacting gross profit by $6.9 million in fiscal 2009.</w:t>
      </w:r>
    </w:p>
    <w:p>
      <w:pPr>
        <w:spacing w:after="0" w:line="17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$27.2 million, or 33.0% of sales, for fiscal 2010, as compared to $21.0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25.3% of sales, for fiscal 2009. The higher gross profit dollars were primarily driven by a favorable product mix change as sales of higher-margin manufactured and specialty chemical products increased, and we experienced favorable weather conditions in the first quarter of fiscal 2010 as compare to the first quarter of fiscal 2009. The increase in gross profit margin as a percent of sales was primarily driven by our ability to maintain relatively stable margin dollars on lower selling prices compared to the prior year. Additionally, the LIFO method of valuing inventory positively impacted gross profit in this segment by $2.4 million in fiscal 2010, as compared to negatively impacting gross profit by $3.1 million in fiscal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Selling, general and administrative (“SG&amp;A”) expenses were $25.6 million, or 10.0% of sales, for fiscal 2010, as compared to $25.1 million, or 8.8% of sales, for fiscal 2009. The increase in SG&amp;A expenses was primarily the result of higher equity incentive plan, variable pay plan and medical insurance costs partially offset by lower bad debt expense. The increase as a percentage of sales was primarily the result of the decrease in sales from fiscal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income was $38.8 million, or 15.1% of sales, for fiscal 2010, as compared to $37.3 million, or 13.1% of sales, for fiscal 2009. A $6.1 million increase in operating income for the Water Treatment segment, which was driven by higher sales volumes for manufactured and specialty chemical products, was partially offset by a $4.6 million decrease in operating income for the Industrial segment. Both segments benefited from the LIFO method of valuing inventory in fiscal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 income was $0.3 million for fiscal 2010 and fiscal 2009. Investment income remained flat year-over-year primarily due to lower yields on investments as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effective income tax rate was 39.3% for fiscal 2010 compared to 37.8% for fiscal 2009. The higher effective tax rate for fiscal 2010 was primarily due to decreased permanent tax differences that served to reduce the effective tax rate in fiscal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Compared to Fiscal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Sales increased $97.7 million, or 52.3%, to $284.4 million for fiscal 2009, as compared to sales of $186.7 million for fiscal 2008. Sales of bulk chemicals, including caustic soda, were approximately 33% of sales compared to approximately 34% in the previous year. Caustic soda volumes sold were comparable to the prior year.</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$77.0 million, or 61.8%, to $201.6 million for fiscal 2009. The sales increase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selling prices related to rising material costs along existing product lines and supply constraints for certain products as well as higher volumes in higher value manufactured and specialty chemical products driven by increased demand.</w:t>
      </w:r>
    </w:p>
    <w:p>
      <w:pPr>
        <w:spacing w:after="0" w:line="19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$20.7 million, or 33.3%, to $82.8 million for fiscal 2009. The sales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price increases related to increased material costs and expansion of sales of existing product lines, including specialty chemical products, to new and existing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Gross profit was $62.4 million, or 22.0% of sales, for fiscal 2009, as compared to $38.5 million, or 20.6% of sales, for fiscal 2008. LIFO charges reduced gross profit by $10.0 million in fiscal 2009 and $1.3 million in fiscal 2008. To more accurately reflect their underlying nature, certain expenses that were classified as selling, general and administrative expenses in fiscal 2008 are now classified as cost of sales in fiscal 2009. These expenses totaled $3.5 million in fiscal 2008.</w:t>
      </w:r>
    </w:p>
    <w:p>
      <w:pPr>
        <w:spacing w:after="0" w:line="14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$41.5 million, or 20.6% of sales, for fiscal 2009, as compared to $19.8 million, or 15.9%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2008. The increases in gross profit and gross profit margin as a percent of sales were primarily driven by the sale of lower-cost inventory on hand in a period of rapidly escalating market prices and, to a lesser degree, an increase in profits and volumes on certain products where we had the inventory to meet escalating demand from current and new customers during a period of constrained supply. This was partially offset by a decrease in demand for lower-margin products sold into the agricultural markets during the second half of fiscal 2009 as compared to the second half of fiscal 2008. Additionally, charges related to the LIFO method of valuing inventory negatively impacted gross profit in this segment by $6.9 million in fiscal 2009, as compared to $0.9 million in fiscal 2008.</w:t>
      </w:r>
    </w:p>
    <w:p>
      <w:pPr>
        <w:spacing w:after="0" w:line="17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$21.0 million, or 25.3% of sales, for fiscal 2009, as compared to $18.7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30.2% of sales, for fiscal 2008. The increase in gross profit was primarily driven by the sale of lower-cost inventory on hand and increased demand for specialty chemical products. The decrease in gross profit margin as a percent of sales was due to increased raw material costs. Additionally, charges related to the LIFO method of valuing inventory negatively impacted gross profit in this segment by $3.1 million in fiscal 2009, as compared to $0.4 million in fiscal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SG&amp;A expenses were $25.1 million, or 8.8% of sales, for fiscal 2009, as compared to $26.5 million, or 14.2% of sales, for fiscal 2008. The decrease in expense in fiscal 2009 was primarily due to the reclassification of certain expenses as cost of sales in fiscal 2009, which were classified as SG&amp;A in fiscal 2008. These expenses totaled $3.5 million in fiscal 2008. Additionally, SG&amp;A expenses were reduced by the reduction of contractor and consulting fees related to our implementation of an Enterprise Resource Planning (“ERP”) system and approximately $0.3 million of non-recurring acquisition-related expenses associated with the Trumark acquisition recorded in the first quarter of fiscal 2008. These reductions were partially offset by increased variable pay expenses that we paid as a result of the higher profitability levels achieved in fiscal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Operating income was $37.3 million, or 13.1% of sales, for fiscal 2009, as compared to $12.0 million, or 6.4% of sales, for fiscal 2008. Of the fiscal 2009 increase of $25.3 million, $23.2 million was attributable to the Industrial segment, and $2.1 million was attributable to the Water Treatment segment. The increases were driven primarily by higher than usual profits on certain products due to the sale of lower-cost inventory during a period of rapidly escalating commodity chemical prices and higher margins caused by supply constraints for certain products as well as higher volumes of sales of higher value manufactured and specialty chemical products which were driven by increased demand. Shortages of certain raw materials in our Industrial segment restricted the ability of certain competitors to meet their customers’ product requirements, while our inventory position allowed us to meet the requirements of our current customer base and to expand our business and to add additional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Investment income was $0.3 million for fiscal 2009, as compared to $1.3 million for fiscal 2008. The decrease was primarily due to lower average investment balances during the year due to higher working capital requirements and capacity expansion projects initiated during fiscal 2009. The decrease was also attributable to lower yields on investment balances in the current year as compared to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effective income tax rate was 37.8% for fiscal 2009 compared to 36.4% for fiscal 2008. The higher effective tax rate for fiscal 2009 as compared to fiscal 2008 was primarily due to the increase in pre-tax income subject to higher marginal income tax rates and the reversal of a valuation allowance and tax contingency reserve in fiscal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Cash provided by operations in fiscal 2010 was $38.8 million compared to $24.4 million in fiscal 2009 and $12.2 million in fiscal 2008. The increase in cash provided by operating activities in fiscal 2010 from fiscal 2009 was primarily due to fluctuations in working capital balances and higher deferred tax liabilities. Lower working capital balances provided $0.8 million in cash in fiscal 2010 whereas higher working capital balances used $8.4 million in cash in fiscal 2009. The net decrease in working capital balances in fiscal 2010 was primarily due to declining commodity chemical costs and the resulting decrease in selling prices which resulted in lower accounts receivable balances partially offset by a lower income tax payable balance due to the timing of tax payments. The increase in cash provided by operating activities in fiscal 2009 from fiscal 2008 was primarily due to the higher earnings reported in fiscal 2009. Due to the nature of our operations, which includes purchases of large quantities of bulk chemicals, the timing of purchases can result in significant changes in working capital investment and the resulting operating cash flow. Historically, our cash requirements for working capital increase during the period from April through November as caustic soda inventory levels increase as the majority of barges are received during this period.</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investments available-for-sale of $53.7 million at March 28, 2010 increased by $24.1 million as compared with March 29, 2009, primarily due to the increase in cash generated from operations that was partially offset by capital expenditures and dividend payments. Investments available-for-sale as of March 28, 2010 consisted of certificates of deposit with maturities ranging from three months to two years. The $29.5 million balance at March 29, 2009 consisted entirely of cash and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Capital expenditures were $8.3 million in fiscal 2010, $14.2 million in fiscal 2009 and $5.8 million in fiscal 2008. The total capital expenditures in fiscal 2010 for our new facilities projects were approximately $2.5 million compared to $7.5 million in fiscal 2009. Additional significant capital expenditures during fiscal 2010 consisted of approximately $1.3 million for business expansion and process improvement projects, $1.5 million for other facility, regulatory and safety improvements and $1.6 million for new and replacement route sales trucks for the Water Treatment segment. We expect that recurring capital expenditures for storage, facilities improvements, returnable containers, and route sales trucks in fiscal 2011 will be comparable with the fiscal 2010 spend rate, although we are projecting capital spending for regulatory security and safety compliance will increase by approximately $3.0 million over the spend rate for these categories in fiscal 2010.We expect our cash flows from operations will be sufficient to fund our capital expenditures in fiscal 2011.</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second quarter of fiscal 2010, our Board of Directors increased our semi-annual cash dividend by 7.7% to $0.28 per share from $0.26 per share. In addition, due to the Company’s strong financial performance in fiscal 2009 and strong cash position, the Board of Directors authorized a special dividend of $0.10 per share to be paid concurrently with the semi-annual regular dividend in October 2009. We first started paying cash dividends in 1985 and have continued to do so since. Future dividend levels will be dependent upon our results of operations, financial position, cash flows and other factors, and will be evaluated by our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90"/>
              </w:rPr>
              <w:t>Payments due by period</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r>
      <w:tr>
        <w:trPr>
          <w:trHeight w:val="197"/>
        </w:trPr>
        <w:tc>
          <w:tcPr>
            <w:tcW w:w="2540" w:type="dxa"/>
            <w:vAlign w:val="bottom"/>
          </w:tcPr>
          <w:p>
            <w:pPr>
              <w:spacing w:after="0" w:line="197" w:lineRule="exact"/>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ind w:left="40"/>
              <w:spacing w:after="0" w:line="197" w:lineRule="exact"/>
              <w:rPr>
                <w:sz w:val="20"/>
                <w:szCs w:val="20"/>
                <w:color w:val="auto"/>
              </w:rPr>
            </w:pPr>
            <w:r>
              <w:rPr>
                <w:rFonts w:ascii="Arial" w:cs="Arial" w:eastAsia="Arial" w:hAnsi="Arial"/>
                <w:sz w:val="18"/>
                <w:szCs w:val="18"/>
                <w:b w:val="1"/>
                <w:bCs w:val="1"/>
                <w:color w:val="auto"/>
                <w:w w:val="92"/>
              </w:rPr>
              <w:t>More than</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b w:val="1"/>
                <w:bCs w:val="1"/>
                <w:color w:val="auto"/>
              </w:rPr>
              <w:t>Contractual Obligation</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2015</w:t>
            </w:r>
          </w:p>
        </w:tc>
        <w:tc>
          <w:tcPr>
            <w:tcW w:w="360" w:type="dxa"/>
            <w:vAlign w:val="bottom"/>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5 Years</w:t>
            </w:r>
          </w:p>
        </w:tc>
        <w:tc>
          <w:tcPr>
            <w:tcW w:w="360" w:type="dxa"/>
            <w:vAlign w:val="bottom"/>
          </w:tcPr>
          <w:p>
            <w:pPr>
              <w:spacing w:after="0"/>
              <w:rPr>
                <w:sz w:val="20"/>
                <w:szCs w:val="20"/>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r>
      <w:tr>
        <w:trPr>
          <w:trHeight w:val="210"/>
        </w:trPr>
        <w:tc>
          <w:tcPr>
            <w:tcW w:w="2540" w:type="dxa"/>
            <w:vAlign w:val="bottom"/>
            <w:shd w:val="clear" w:color="auto" w:fill="D6F3E8"/>
          </w:tcPr>
          <w:p>
            <w:pPr>
              <w:spacing w:after="0"/>
              <w:rPr>
                <w:sz w:val="20"/>
                <w:szCs w:val="20"/>
                <w:color w:val="auto"/>
              </w:rPr>
            </w:pPr>
            <w:r>
              <w:rPr>
                <w:rFonts w:ascii="Arial" w:cs="Arial" w:eastAsia="Arial" w:hAnsi="Arial"/>
                <w:sz w:val="18"/>
                <w:szCs w:val="18"/>
                <w:color w:val="auto"/>
              </w:rPr>
              <w:t>Operating lease obligations</w:t>
            </w:r>
          </w:p>
        </w:tc>
        <w:tc>
          <w:tcPr>
            <w:tcW w:w="8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   631</w:t>
            </w:r>
          </w:p>
        </w:tc>
        <w:tc>
          <w:tcPr>
            <w:tcW w:w="12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   638</w:t>
            </w:r>
          </w:p>
        </w:tc>
        <w:tc>
          <w:tcPr>
            <w:tcW w:w="108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   652</w:t>
            </w:r>
          </w:p>
        </w:tc>
        <w:tc>
          <w:tcPr>
            <w:tcW w:w="1340" w:type="dxa"/>
            <w:vAlign w:val="bottom"/>
            <w:gridSpan w:val="3"/>
            <w:shd w:val="clear" w:color="auto" w:fill="D6F3E8"/>
          </w:tcPr>
          <w:p>
            <w:pPr>
              <w:jc w:val="right"/>
              <w:ind w:right="132"/>
              <w:spacing w:after="0"/>
              <w:rPr>
                <w:sz w:val="20"/>
                <w:szCs w:val="20"/>
                <w:color w:val="auto"/>
              </w:rPr>
            </w:pPr>
            <w:r>
              <w:rPr>
                <w:rFonts w:ascii="Arial" w:cs="Arial" w:eastAsia="Arial" w:hAnsi="Arial"/>
                <w:sz w:val="18"/>
                <w:szCs w:val="18"/>
                <w:color w:val="auto"/>
              </w:rPr>
              <w:t>$   661</w:t>
            </w:r>
          </w:p>
        </w:tc>
        <w:tc>
          <w:tcPr>
            <w:tcW w:w="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664</w:t>
            </w:r>
          </w:p>
        </w:tc>
        <w:tc>
          <w:tcPr>
            <w:tcW w:w="1220" w:type="dxa"/>
            <w:vAlign w:val="bottom"/>
            <w:gridSpan w:val="2"/>
            <w:shd w:val="clear" w:color="auto" w:fill="D6F3E8"/>
          </w:tcPr>
          <w:p>
            <w:pPr>
              <w:ind w:left="380"/>
              <w:spacing w:after="0"/>
              <w:rPr>
                <w:sz w:val="20"/>
                <w:szCs w:val="20"/>
                <w:color w:val="auto"/>
              </w:rPr>
            </w:pPr>
            <w:r>
              <w:rPr>
                <w:rFonts w:ascii="Arial" w:cs="Arial" w:eastAsia="Arial" w:hAnsi="Arial"/>
                <w:sz w:val="18"/>
                <w:szCs w:val="18"/>
                <w:color w:val="auto"/>
              </w:rPr>
              <w:t>$  4,280</w:t>
            </w:r>
          </w:p>
        </w:tc>
        <w:tc>
          <w:tcPr>
            <w:tcW w:w="1220" w:type="dxa"/>
            <w:vAlign w:val="bottom"/>
            <w:gridSpan w:val="2"/>
            <w:shd w:val="clear" w:color="auto" w:fill="D6F3E8"/>
          </w:tcPr>
          <w:p>
            <w:pPr>
              <w:jc w:val="right"/>
              <w:ind w:right="92"/>
              <w:spacing w:after="0"/>
              <w:rPr>
                <w:sz w:val="20"/>
                <w:szCs w:val="20"/>
                <w:color w:val="auto"/>
              </w:rPr>
            </w:pPr>
            <w:r>
              <w:rPr>
                <w:rFonts w:ascii="Arial" w:cs="Arial" w:eastAsia="Arial" w:hAnsi="Arial"/>
                <w:sz w:val="18"/>
                <w:szCs w:val="18"/>
                <w:color w:val="auto"/>
              </w:rPr>
              <w:t>$  7,526</w:t>
            </w:r>
          </w:p>
        </w:tc>
        <w:tc>
          <w:tcPr>
            <w:tcW w:w="120" w:type="dxa"/>
            <w:vAlign w:val="bottom"/>
            <w:shd w:val="clear" w:color="auto" w:fill="D6F3E8"/>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fixed, the product has shipped and title passes to our customer, performance has occurred, and collection of the receivable is reasonably assured.</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to net realizable the value of inventory deemed obsolete or excess.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i w:val="1"/>
          <w:iCs w:val="1"/>
          <w:color w:val="auto"/>
        </w:rPr>
        <w:t xml:space="preserve">LIFO Reserve </w:t>
      </w:r>
      <w:r>
        <w:rPr>
          <w:rFonts w:ascii="Arial" w:cs="Arial" w:eastAsia="Arial" w:hAnsi="Arial"/>
          <w:sz w:val="16"/>
          <w:szCs w:val="16"/>
          <w:color w:val="auto"/>
        </w:rPr>
        <w:t>– Inventories are primarily valued at the lower of cost or market with cost being determined using the LIFO method. We may incur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fluctuations in our gross margins due primarily to changes in the cost of a single, large-volume component of inventory. The price of this inventory component may fluctuate depending on the balance between supply and demand. Management reviews the LIFO reserve on a quarterly basis.</w:t>
      </w:r>
    </w:p>
    <w:p>
      <w:pPr>
        <w:spacing w:after="0" w:line="161"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i w:val="1"/>
          <w:iCs w:val="1"/>
          <w:color w:val="auto"/>
        </w:rPr>
        <w:t xml:space="preserve">Impairment of Long-Lived Assets </w:t>
      </w:r>
      <w:r>
        <w:rPr>
          <w:rFonts w:ascii="Arial" w:cs="Arial" w:eastAsia="Arial" w:hAnsi="Arial"/>
          <w:sz w:val="15"/>
          <w:szCs w:val="15"/>
          <w:color w:val="auto"/>
        </w:rPr>
        <w:t>– We review the recoverability of long-lived assets to be held and used, such as property, plant and equipment and intangible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subject to amortization,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of the related operations. If these cash flows are less than the carrying value of such asset or asset group, an impairment is recognized equal to the amount by which the carrying value exceeds the fair value of the long-lived assets. The measurement of impairment requires us to estimate future cash flows and the fair value of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 subject to amortization. There were no triggering events that required material assets to be evaluated for impairment during fiscal 2010.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our financial statements, management calculates income taxes. This includes estimating the current tax liability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We routinely monitor the potential impact of such situations and believe that it is properly reserved. Valuations related to amounts owed and tax rates could be impacted by changes to tax codes, changes in statutory tax rates, our future taxable income levels and the results of tax audits.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See Item 8, “Note 1 – Nature of Business and Significant Accounting Policies” of the Notes to Financial Statements for information regarding recently adopted accounting standards or accounting standards to be adopted in the future.</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7A.</w:t>
      </w:r>
      <w:r>
        <w:rPr>
          <w:sz w:val="20"/>
          <w:szCs w:val="20"/>
          <w:color w:val="auto"/>
        </w:rPr>
        <w:tab/>
      </w:r>
      <w:r>
        <w:rPr>
          <w:rFonts w:ascii="Arial" w:cs="Arial" w:eastAsia="Arial" w:hAnsi="Arial"/>
          <w:sz w:val="21"/>
          <w:szCs w:val="21"/>
          <w:color w:val="auto"/>
        </w:rPr>
        <w:t>QUANTITATIVE AND QUALITATIVE DISCLOSURE ABOUT MARKET RISK</w:t>
      </w:r>
    </w:p>
    <w:p>
      <w:pPr>
        <w:spacing w:after="0" w:line="21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FINANCIAL STATEMENTS AND SUPPLEMENTARY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Hawkins, Inc.:</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have audited the accompanying balance sheet of Hawkins, Inc. (the Company) as of March 28, 2010, and the related statements of income, shareholders’ equity, and cash flows for the year ended March 28, 2010. In connection with our audit of the financial statements, we have also audited the financial statement schedule listed in the Index at Item 15, as of and for the year ended March 28, 2010. We also have audited the Company’s internal control over financial reporting as of March 28,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financial statement schedule and an opinion on the Company’s internal control over financial reporting based on our audit.</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Hawkins, Inc. as of March 28, 2010, and the results of its operations and its cash flows for the year ended March 28, 2010, in conformity with U.S. generally accepted accounting principles. Also, in our opinion, such financial statement schedule, when considered in relation to the basic financial statements taken as a whole, presents fairly, in all material respects, the information set forth therein as of and for the year ended March 28, 2010. Furthermore, in our opinion, Hawkins, Inc. maintained, in all material respects, effective internal control over financial reporting as of March 28,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4,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have audited the accompanying balance sheet of Hawkins, Inc. (the “Company”) as of March 29, 2009, and the related consolidated statements of income, shareholders’ equity, and cash flows for each of the two years in the period ended March 29, 2009. These financial statements are the responsibility of the Company’s management. Our audits also included the financial statement schedule listed in the Index at Item 15. Our responsibility is to express an opinion on these financial statements and financial statement schedule based on our audits.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Company as of March 29, 2009, and the results of their operations and their cash flows for each of the two years in the period ended March 29, 2009, in conformity with accounting principles generally accepted in the United States of America. Also, in our opinion, such financial statement schedule, when considered in relation to the basic financial statements taken as a whole, present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March 28, 2010</w:t>
            </w:r>
          </w:p>
        </w:tc>
        <w:tc>
          <w:tcPr>
            <w:tcW w:w="20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29, 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18,772</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Investments available-for-sale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25,928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Trade receivables – less allowance for doubtful accounts: $300 for 2010 and $350 for 2009</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24,832</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28,883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4,430</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D6F3E8"/>
          </w:tcPr>
          <w:p>
            <w:pPr>
              <w:spacing w:after="0"/>
              <w:rPr>
                <w:sz w:val="18"/>
                <w:szCs w:val="18"/>
                <w:color w:val="auto"/>
              </w:rPr>
            </w:pPr>
          </w:p>
        </w:tc>
        <w:tc>
          <w:tcPr>
            <w:tcW w:w="16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D6F3E8"/>
            </w:tcBorders>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97,498</w:t>
            </w:r>
          </w:p>
        </w:tc>
        <w:tc>
          <w:tcPr>
            <w:tcW w:w="340" w:type="dxa"/>
            <w:vAlign w:val="bottom"/>
            <w:tcBorders>
              <w:top w:val="single" w:sz="8" w:color="D6F3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84,135</w:t>
            </w:r>
          </w:p>
        </w:tc>
        <w:tc>
          <w:tcPr>
            <w:tcW w:w="12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39,235</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36,684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28,476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Transportation equipment</w:t>
            </w:r>
          </w:p>
        </w:tc>
        <w:tc>
          <w:tcPr>
            <w:tcW w:w="180" w:type="dxa"/>
            <w:vAlign w:val="bottom"/>
            <w:shd w:val="clear" w:color="auto" w:fill="D6F3E8"/>
          </w:tcPr>
          <w:p>
            <w:pPr>
              <w:spacing w:after="0"/>
              <w:rPr>
                <w:sz w:val="18"/>
                <w:szCs w:val="18"/>
                <w:color w:val="auto"/>
              </w:rPr>
            </w:pPr>
          </w:p>
        </w:tc>
        <w:tc>
          <w:tcPr>
            <w:tcW w:w="16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11,933</w:t>
            </w: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Office furniture and equipment including computer systems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11,237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3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92,721</w:t>
            </w:r>
          </w:p>
        </w:tc>
        <w:tc>
          <w:tcPr>
            <w:tcW w:w="34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13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85,756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44,965</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D6F3E8"/>
          </w:tcPr>
          <w:p>
            <w:pPr>
              <w:ind w:left="46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47,756</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45,620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w w:val="98"/>
              </w:rPr>
              <w:t>Goodwill and intangible assets – less accumulated amortization: $851 for 2010 and $2,556 for 2009</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4,839</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6,440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4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160,293</w:t>
            </w:r>
          </w:p>
        </w:tc>
        <w:tc>
          <w:tcPr>
            <w:tcW w:w="3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136,290</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Accounts payable–trade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13,940</w:t>
            </w:r>
          </w:p>
        </w:tc>
        <w:tc>
          <w:tcPr>
            <w:tcW w:w="3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2,879</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3,364</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Container deposits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Other accruals</w:t>
            </w:r>
          </w:p>
        </w:tc>
        <w:tc>
          <w:tcPr>
            <w:tcW w:w="18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1,592</w:t>
            </w:r>
          </w:p>
        </w:tc>
        <w:tc>
          <w:tcPr>
            <w:tcW w:w="3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D6F3E8"/>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9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w w:val="96"/>
              </w:rPr>
              <w:t>Common stock; authorized: 30,000,000 shares of $0.05 par value; 10,253,458 and 10,246,458 shares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issued and outstanding for 2010 and 2009, respectively</w:t>
            </w:r>
          </w:p>
        </w:tc>
        <w:tc>
          <w:tcPr>
            <w:tcW w:w="180" w:type="dxa"/>
            <w:vAlign w:val="bottom"/>
            <w:shd w:val="clear" w:color="auto" w:fill="D6F3E8"/>
          </w:tcPr>
          <w:p>
            <w:pPr>
              <w:spacing w:after="0"/>
              <w:rPr>
                <w:sz w:val="19"/>
                <w:szCs w:val="19"/>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w:t>
            </w:r>
          </w:p>
        </w:tc>
        <w:tc>
          <w:tcPr>
            <w:tcW w:w="3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81,921</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64,860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121,498</w:t>
            </w:r>
          </w:p>
        </w:tc>
        <w:tc>
          <w:tcPr>
            <w:tcW w:w="3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103,730</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160,293</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share and per-share data)</w:t>
            </w:r>
          </w:p>
        </w:tc>
        <w:tc>
          <w:tcPr>
            <w:tcW w:w="1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8"/>
              </w:rPr>
              <w:t>March 28, 2010</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March 29, 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98"/>
              </w:rPr>
              <w:t>March 30, 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540" w:type="dxa"/>
            <w:vAlign w:val="bottom"/>
            <w:gridSpan w:val="2"/>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257,099</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284,356</w:t>
            </w:r>
          </w:p>
        </w:tc>
        <w:tc>
          <w:tcPr>
            <w:tcW w:w="3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186,664</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(192,654)</w:t>
            </w:r>
          </w:p>
        </w:tc>
        <w:tc>
          <w:tcPr>
            <w:tcW w:w="20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(221,936)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(148,136)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64,445</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62,420</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38,528</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(25,605)</w:t>
            </w:r>
          </w:p>
        </w:tc>
        <w:tc>
          <w:tcPr>
            <w:tcW w:w="20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(25,083)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(26,524)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38,840</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37,337</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12,004</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39,126</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37,675</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13,345</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(15,388)</w:t>
            </w:r>
          </w:p>
        </w:tc>
        <w:tc>
          <w:tcPr>
            <w:tcW w:w="20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(14,251)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(4,857)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1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23,738</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23,424</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8,488</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340" w:type="dxa"/>
            <w:vAlign w:val="bottom"/>
            <w:shd w:val="clear" w:color="auto" w:fill="D6F3E8"/>
          </w:tcPr>
          <w:p>
            <w:pPr>
              <w:spacing w:after="0"/>
              <w:rPr>
                <w:sz w:val="20"/>
                <w:szCs w:val="20"/>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23,847</w:t>
            </w:r>
          </w:p>
        </w:tc>
        <w:tc>
          <w:tcPr>
            <w:tcW w:w="320" w:type="dxa"/>
            <w:vAlign w:val="bottom"/>
            <w:shd w:val="clear" w:color="auto" w:fill="D6F3E8"/>
          </w:tcPr>
          <w:p>
            <w:pPr>
              <w:spacing w:after="0"/>
              <w:rPr>
                <w:sz w:val="20"/>
                <w:szCs w:val="20"/>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23,764</w:t>
            </w:r>
          </w:p>
        </w:tc>
        <w:tc>
          <w:tcPr>
            <w:tcW w:w="3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9,110</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D6F3E8"/>
            </w:tcBorders>
            <w:shd w:val="clear" w:color="auto" w:fill="D6F3E8"/>
          </w:tcPr>
          <w:p>
            <w:pPr>
              <w:spacing w:after="0" w:line="20" w:lineRule="exact"/>
              <w:rPr>
                <w:sz w:val="1"/>
                <w:szCs w:val="1"/>
                <w:color w:val="auto"/>
              </w:rPr>
            </w:pPr>
          </w:p>
        </w:tc>
        <w:tc>
          <w:tcPr>
            <w:tcW w:w="13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7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10,250,978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10,243,970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10,213,225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4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34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10,282,993</w:t>
            </w:r>
          </w:p>
        </w:tc>
        <w:tc>
          <w:tcPr>
            <w:tcW w:w="3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10,249,027</w:t>
            </w:r>
          </w:p>
        </w:tc>
        <w:tc>
          <w:tcPr>
            <w:tcW w:w="14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10,214,387</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D6F3E8"/>
            </w:tcBorders>
            <w:shd w:val="clear" w:color="auto" w:fill="D6F3E8"/>
          </w:tcPr>
          <w:p>
            <w:pPr>
              <w:spacing w:after="0" w:line="20" w:lineRule="exact"/>
              <w:rPr>
                <w:sz w:val="1"/>
                <w:szCs w:val="1"/>
                <w:color w:val="auto"/>
              </w:rPr>
            </w:pPr>
          </w:p>
        </w:tc>
        <w:tc>
          <w:tcPr>
            <w:tcW w:w="13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7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Earnings per share from continuing operations</w:t>
            </w:r>
          </w:p>
        </w:tc>
        <w:tc>
          <w:tcPr>
            <w:tcW w:w="15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2.29</w:t>
            </w:r>
          </w:p>
        </w:tc>
        <w:tc>
          <w:tcPr>
            <w:tcW w:w="3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Earnings per share from discontinued operations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Basic earnings per share</w:t>
            </w:r>
          </w:p>
        </w:tc>
        <w:tc>
          <w:tcPr>
            <w:tcW w:w="13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47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Earnings per share from continuing operations</w:t>
            </w:r>
          </w:p>
        </w:tc>
        <w:tc>
          <w:tcPr>
            <w:tcW w:w="15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D6F3E8"/>
          </w:tcPr>
          <w:p>
            <w:pPr>
              <w:spacing w:after="0"/>
              <w:rPr>
                <w:sz w:val="18"/>
                <w:szCs w:val="18"/>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2.29</w:t>
            </w:r>
          </w:p>
        </w:tc>
        <w:tc>
          <w:tcPr>
            <w:tcW w:w="3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Earnings per share from discontinued operations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Diluted earnings per share</w:t>
            </w:r>
          </w:p>
        </w:tc>
        <w:tc>
          <w:tcPr>
            <w:tcW w:w="13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47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0.66</w:t>
            </w:r>
          </w:p>
        </w:tc>
        <w:tc>
          <w:tcPr>
            <w:tcW w:w="3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4760" w:type="dxa"/>
            <w:vAlign w:val="bottom"/>
            <w:tcBorders>
              <w:bottom w:val="single" w:sz="8" w:color="808080"/>
            </w:tcBorders>
          </w:tcPr>
          <w:p>
            <w:pPr>
              <w:spacing w:after="0"/>
              <w:rPr>
                <w:sz w:val="21"/>
                <w:szCs w:val="21"/>
                <w:color w:val="auto"/>
              </w:rPr>
            </w:pPr>
          </w:p>
        </w:tc>
        <w:tc>
          <w:tcPr>
            <w:tcW w:w="13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3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3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3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13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Shareholders’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0"/>
              </w:rPr>
              <w:t>Earnings</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78"/>
              <w:spacing w:after="0" w:line="142" w:lineRule="exact"/>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360" w:type="dxa"/>
            <w:vAlign w:val="bottom"/>
            <w:gridSpan w:val="2"/>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1020" w:type="dxa"/>
            <w:vAlign w:val="bottom"/>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BALANCE—April 1, 2007</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w w:val="99"/>
              </w:rPr>
              <w:t>10,171,496</w:t>
            </w:r>
          </w:p>
        </w:tc>
        <w:tc>
          <w:tcPr>
            <w:tcW w:w="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509</w:t>
            </w:r>
          </w:p>
        </w:tc>
        <w:tc>
          <w:tcPr>
            <w:tcW w:w="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37,242</w:t>
            </w:r>
          </w:p>
        </w:tc>
        <w:tc>
          <w:tcPr>
            <w:tcW w:w="2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42,241</w:t>
            </w: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79,978</w:t>
            </w: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Cash dividends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(4,923)</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(4,923)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Shares surrendered for payroll taxes</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(17,626)</w:t>
            </w: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Restricted stock compensation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Vesting of restricted stock</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45,257</w:t>
            </w: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Acquisition of Trumark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40,331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Unrealized loss on available-for-sale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investments, net of tax</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Unrealized gain on post-retirement</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plan liability, net of tax</w:t>
            </w:r>
          </w:p>
        </w:tc>
        <w:tc>
          <w:tcPr>
            <w:tcW w:w="92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7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74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28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9,114</w:t>
            </w:r>
          </w:p>
        </w:tc>
        <w:tc>
          <w:tcPr>
            <w:tcW w:w="14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540" w:type="dxa"/>
            <w:vAlign w:val="bottom"/>
            <w:gridSpan w:val="3"/>
          </w:tcPr>
          <w:p>
            <w:pPr>
              <w:spacing w:after="0"/>
              <w:rPr>
                <w:sz w:val="20"/>
                <w:szCs w:val="20"/>
                <w:color w:val="auto"/>
              </w:rPr>
            </w:pPr>
            <w:r>
              <w:rPr>
                <w:rFonts w:ascii="Arial" w:cs="Arial" w:eastAsia="Arial" w:hAnsi="Arial"/>
                <w:sz w:val="18"/>
                <w:szCs w:val="18"/>
                <w:color w:val="auto"/>
              </w:rPr>
              <w:t>BALANCE—March 30, 2008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10,239,458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38,091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46,428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dividends</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(5,332)</w:t>
            </w: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(5,332)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Stock compensation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Vesting of restricted stock</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Adjustment for sale of securities, net</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of tax</w:t>
            </w:r>
          </w:p>
        </w:tc>
        <w:tc>
          <w:tcPr>
            <w:tcW w:w="92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7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74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Unrealized loss on post-retirement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plan liability, net of tax</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2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D6F3E8"/>
            </w:tcBorders>
            <w:shd w:val="clear" w:color="auto" w:fill="D6F3E8"/>
          </w:tcPr>
          <w:p>
            <w:pPr>
              <w:spacing w:after="0"/>
              <w:rPr>
                <w:sz w:val="20"/>
                <w:szCs w:val="20"/>
                <w:color w:val="auto"/>
              </w:rPr>
            </w:pPr>
          </w:p>
        </w:tc>
        <w:tc>
          <w:tcPr>
            <w:tcW w:w="160" w:type="dxa"/>
            <w:vAlign w:val="bottom"/>
            <w:tcBorders>
              <w:bottom w:val="single" w:sz="8" w:color="D6F3E8"/>
            </w:tcBorders>
            <w:shd w:val="clear" w:color="auto" w:fill="D6F3E8"/>
          </w:tcPr>
          <w:p>
            <w:pPr>
              <w:spacing w:after="0"/>
              <w:rPr>
                <w:sz w:val="20"/>
                <w:szCs w:val="20"/>
                <w:color w:val="auto"/>
              </w:rPr>
            </w:pPr>
          </w:p>
        </w:tc>
        <w:tc>
          <w:tcPr>
            <w:tcW w:w="8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D6F3E8"/>
            </w:tcBorders>
            <w:shd w:val="clear" w:color="auto" w:fill="D6F3E8"/>
          </w:tcPr>
          <w:p>
            <w:pPr>
              <w:spacing w:after="0"/>
              <w:rPr>
                <w:sz w:val="20"/>
                <w:szCs w:val="20"/>
                <w:color w:val="auto"/>
              </w:rPr>
            </w:pPr>
          </w:p>
        </w:tc>
        <w:tc>
          <w:tcPr>
            <w:tcW w:w="740" w:type="dxa"/>
            <w:vAlign w:val="bottom"/>
            <w:tcBorders>
              <w:bottom w:val="single" w:sz="8" w:color="D6F3E8"/>
            </w:tcBorders>
            <w:shd w:val="clear" w:color="auto" w:fill="D6F3E8"/>
          </w:tcPr>
          <w:p>
            <w:pPr>
              <w:spacing w:after="0"/>
              <w:rPr>
                <w:sz w:val="20"/>
                <w:szCs w:val="20"/>
                <w:color w:val="auto"/>
              </w:rPr>
            </w:pPr>
          </w:p>
        </w:tc>
        <w:tc>
          <w:tcPr>
            <w:tcW w:w="160" w:type="dxa"/>
            <w:vAlign w:val="bottom"/>
            <w:tcBorders>
              <w:bottom w:val="single" w:sz="8" w:color="D6F3E8"/>
            </w:tcBorders>
            <w:shd w:val="clear" w:color="auto" w:fill="D6F3E8"/>
          </w:tcPr>
          <w:p>
            <w:pPr>
              <w:spacing w:after="0"/>
              <w:rPr>
                <w:sz w:val="20"/>
                <w:szCs w:val="20"/>
                <w:color w:val="auto"/>
              </w:rPr>
            </w:pPr>
          </w:p>
        </w:tc>
        <w:tc>
          <w:tcPr>
            <w:tcW w:w="8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D6F3E8"/>
            </w:tcBorders>
            <w:shd w:val="clear" w:color="auto" w:fill="D6F3E8"/>
          </w:tcPr>
          <w:p>
            <w:pPr>
              <w:spacing w:after="0"/>
              <w:rPr>
                <w:sz w:val="20"/>
                <w:szCs w:val="20"/>
                <w:color w:val="auto"/>
              </w:rPr>
            </w:pPr>
          </w:p>
        </w:tc>
        <w:tc>
          <w:tcPr>
            <w:tcW w:w="88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D6F3E8"/>
            </w:tcBorders>
            <w:shd w:val="clear" w:color="auto" w:fill="D6F3E8"/>
          </w:tcPr>
          <w:p>
            <w:pPr>
              <w:spacing w:after="0"/>
              <w:rPr>
                <w:sz w:val="20"/>
                <w:szCs w:val="20"/>
                <w:color w:val="auto"/>
              </w:rPr>
            </w:pPr>
          </w:p>
        </w:tc>
        <w:tc>
          <w:tcPr>
            <w:tcW w:w="10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D6F3E8"/>
            </w:tcBorders>
            <w:shd w:val="clear" w:color="auto" w:fill="D6F3E8"/>
          </w:tcPr>
          <w:p>
            <w:pPr>
              <w:spacing w:after="0"/>
              <w:rPr>
                <w:sz w:val="20"/>
                <w:szCs w:val="20"/>
                <w:color w:val="auto"/>
              </w:rPr>
            </w:pPr>
          </w:p>
        </w:tc>
        <w:tc>
          <w:tcPr>
            <w:tcW w:w="740" w:type="dxa"/>
            <w:vAlign w:val="bottom"/>
            <w:tcBorders>
              <w:bottom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23,764</w:t>
            </w:r>
          </w:p>
        </w:tc>
        <w:tc>
          <w:tcPr>
            <w:tcW w:w="240" w:type="dxa"/>
            <w:vAlign w:val="bottom"/>
            <w:tcBorders>
              <w:bottom w:val="single" w:sz="8" w:color="D6F3E8"/>
            </w:tcBorders>
            <w:shd w:val="clear" w:color="auto" w:fill="D6F3E8"/>
          </w:tcPr>
          <w:p>
            <w:pPr>
              <w:spacing w:after="0"/>
              <w:rPr>
                <w:sz w:val="20"/>
                <w:szCs w:val="20"/>
                <w:color w:val="auto"/>
              </w:rPr>
            </w:pPr>
          </w:p>
        </w:tc>
        <w:tc>
          <w:tcPr>
            <w:tcW w:w="180" w:type="dxa"/>
            <w:vAlign w:val="bottom"/>
            <w:tcBorders>
              <w:bottom w:val="single" w:sz="8" w:color="D6F3E8"/>
            </w:tcBorders>
            <w:shd w:val="clear" w:color="auto" w:fill="D6F3E8"/>
          </w:tcPr>
          <w:p>
            <w:pPr>
              <w:spacing w:after="0"/>
              <w:rPr>
                <w:sz w:val="20"/>
                <w:szCs w:val="20"/>
                <w:color w:val="auto"/>
              </w:rPr>
            </w:pPr>
          </w:p>
        </w:tc>
        <w:tc>
          <w:tcPr>
            <w:tcW w:w="1220" w:type="dxa"/>
            <w:vAlign w:val="bottom"/>
            <w:tcBorders>
              <w:bottom w:val="single" w:sz="8" w:color="D6F3E8"/>
            </w:tcBorders>
            <w:shd w:val="clear" w:color="auto" w:fill="D6F3E8"/>
          </w:tcPr>
          <w:p>
            <w:pPr>
              <w:spacing w:after="0"/>
              <w:rPr>
                <w:sz w:val="20"/>
                <w:szCs w:val="20"/>
                <w:color w:val="auto"/>
              </w:rPr>
            </w:pPr>
          </w:p>
        </w:tc>
        <w:tc>
          <w:tcPr>
            <w:tcW w:w="160" w:type="dxa"/>
            <w:vAlign w:val="bottom"/>
            <w:tcBorders>
              <w:bottom w:val="single" w:sz="8" w:color="D6F3E8"/>
            </w:tcBorders>
            <w:shd w:val="clear" w:color="auto" w:fill="D6F3E8"/>
          </w:tcPr>
          <w:p>
            <w:pPr>
              <w:spacing w:after="0"/>
              <w:rPr>
                <w:sz w:val="20"/>
                <w:szCs w:val="20"/>
                <w:color w:val="auto"/>
              </w:rPr>
            </w:pPr>
          </w:p>
        </w:tc>
        <w:tc>
          <w:tcPr>
            <w:tcW w:w="80" w:type="dxa"/>
            <w:vAlign w:val="bottom"/>
            <w:tcBorders>
              <w:bottom w:val="single" w:sz="8" w:color="D6F3E8"/>
            </w:tcBorders>
            <w:shd w:val="clear" w:color="auto" w:fill="D6F3E8"/>
          </w:tcPr>
          <w:p>
            <w:pPr>
              <w:spacing w:after="0"/>
              <w:rPr>
                <w:sz w:val="20"/>
                <w:szCs w:val="20"/>
                <w:color w:val="auto"/>
              </w:rPr>
            </w:pPr>
          </w:p>
        </w:tc>
        <w:tc>
          <w:tcPr>
            <w:tcW w:w="180" w:type="dxa"/>
            <w:vAlign w:val="bottom"/>
            <w:tcBorders>
              <w:bottom w:val="single" w:sz="8" w:color="auto"/>
            </w:tcBorders>
            <w:shd w:val="clear" w:color="auto" w:fill="D6F3E8"/>
          </w:tcPr>
          <w:p>
            <w:pPr>
              <w:spacing w:after="0"/>
              <w:rPr>
                <w:sz w:val="20"/>
                <w:szCs w:val="20"/>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23,764</w:t>
            </w:r>
          </w:p>
        </w:tc>
        <w:tc>
          <w:tcPr>
            <w:tcW w:w="140" w:type="dxa"/>
            <w:vAlign w:val="bottom"/>
            <w:tcBorders>
              <w:bottom w:val="single" w:sz="8" w:color="D6F3E8"/>
            </w:tcBorders>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BALANCE—March 29, 2009</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w w:val="99"/>
              </w:rPr>
              <w:t>10,246,458</w:t>
            </w: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38,368</w:t>
            </w: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64,860</w:t>
            </w: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103,730</w:t>
            </w: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Cash dividends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(6,786)</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(6,786)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Stock compensation expense</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Vesting of restricted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Unrealized gain on available-for-sale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investments, net of tax</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Unrealized loss on post-retirement</w:t>
            </w:r>
          </w:p>
        </w:tc>
        <w:tc>
          <w:tcPr>
            <w:tcW w:w="9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plan liability, net of tax</w:t>
            </w:r>
          </w:p>
        </w:tc>
        <w:tc>
          <w:tcPr>
            <w:tcW w:w="92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7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74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3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28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23,894</w:t>
            </w:r>
          </w:p>
        </w:tc>
        <w:tc>
          <w:tcPr>
            <w:tcW w:w="14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340" w:type="dxa"/>
            <w:vAlign w:val="bottom"/>
            <w:gridSpan w:val="2"/>
          </w:tcPr>
          <w:p>
            <w:pPr>
              <w:spacing w:after="0"/>
              <w:rPr>
                <w:sz w:val="20"/>
                <w:szCs w:val="20"/>
                <w:color w:val="auto"/>
              </w:rPr>
            </w:pPr>
            <w:r>
              <w:rPr>
                <w:rFonts w:ascii="Arial" w:cs="Arial" w:eastAsia="Arial" w:hAnsi="Arial"/>
                <w:sz w:val="18"/>
                <w:szCs w:val="18"/>
                <w:color w:val="auto"/>
              </w:rPr>
              <w:t>BALANCE—March 28, 2010</w:t>
            </w: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10,253,458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39,027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81,921</w:t>
            </w:r>
          </w:p>
        </w:tc>
        <w:tc>
          <w:tcPr>
            <w:tcW w:w="24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121,498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40" w:type="dxa"/>
            <w:vAlign w:val="bottom"/>
            <w:gridSpan w:val="3"/>
          </w:tcPr>
          <w:p>
            <w:pPr>
              <w:spacing w:after="0"/>
              <w:rPr>
                <w:sz w:val="20"/>
                <w:szCs w:val="20"/>
                <w:color w:val="auto"/>
              </w:rPr>
            </w:pPr>
            <w:r>
              <w:rPr>
                <w:rFonts w:ascii="Arial" w:cs="Arial" w:eastAsia="Arial" w:hAnsi="Arial"/>
                <w:sz w:val="18"/>
                <w:szCs w:val="18"/>
                <w:color w:val="auto"/>
                <w:w w:val="89"/>
              </w:rPr>
              <w:t>See accompanying notes to financial statements.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33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89"/>
              </w:rPr>
              <w:t>Fiscal Year Ended</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3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8"/>
              </w:rPr>
              <w:t>March 28, 2010</w:t>
            </w:r>
          </w:p>
        </w:tc>
        <w:tc>
          <w:tcPr>
            <w:tcW w:w="100" w:type="dxa"/>
            <w:vAlign w:val="bottom"/>
          </w:tcPr>
          <w:p>
            <w:pPr>
              <w:spacing w:after="0"/>
              <w:rPr>
                <w:sz w:val="12"/>
                <w:szCs w:val="12"/>
                <w:color w:val="auto"/>
              </w:rPr>
            </w:pPr>
          </w:p>
        </w:tc>
        <w:tc>
          <w:tcPr>
            <w:tcW w:w="13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0"/>
              </w:rPr>
              <w:t>March 29, 2009</w:t>
            </w:r>
          </w:p>
        </w:tc>
        <w:tc>
          <w:tcPr>
            <w:tcW w:w="100" w:type="dxa"/>
            <w:vAlign w:val="bottom"/>
          </w:tcPr>
          <w:p>
            <w:pPr>
              <w:spacing w:after="0"/>
              <w:rPr>
                <w:sz w:val="12"/>
                <w:szCs w:val="12"/>
                <w:color w:val="auto"/>
              </w:rPr>
            </w:pPr>
          </w:p>
        </w:tc>
        <w:tc>
          <w:tcPr>
            <w:tcW w:w="10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0"/>
              </w:rPr>
              <w:t>March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23,847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23,764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7,152</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00"/>
              <w:spacing w:after="0"/>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Loss (gain) on sale of investments</w:t>
            </w: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00"/>
              <w:spacing w:after="0"/>
              <w:rPr>
                <w:sz w:val="20"/>
                <w:szCs w:val="20"/>
                <w:color w:val="auto"/>
              </w:rPr>
            </w:pPr>
            <w:r>
              <w:rPr>
                <w:rFonts w:ascii="Arial" w:cs="Arial" w:eastAsia="Arial" w:hAnsi="Arial"/>
                <w:sz w:val="18"/>
                <w:szCs w:val="18"/>
                <w:color w:val="auto"/>
              </w:rPr>
              <w:t>Loss from property disposals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Changes in operating accounts (using) providing cash:</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60"/>
              <w:spacing w:after="0"/>
              <w:rPr>
                <w:sz w:val="20"/>
                <w:szCs w:val="20"/>
                <w:color w:val="auto"/>
              </w:rPr>
            </w:pPr>
            <w:r>
              <w:rPr>
                <w:rFonts w:ascii="Arial" w:cs="Arial" w:eastAsia="Arial" w:hAnsi="Arial"/>
                <w:sz w:val="18"/>
                <w:szCs w:val="18"/>
                <w:color w:val="auto"/>
              </w:rPr>
              <w:t>Trade receivables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top w:val="single" w:sz="8" w:color="D6F3E8"/>
            </w:tcBorders>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38,782</w:t>
            </w:r>
          </w:p>
        </w:tc>
        <w:tc>
          <w:tcPr>
            <w:tcW w:w="320" w:type="dxa"/>
            <w:vAlign w:val="bottom"/>
            <w:tcBorders>
              <w:top w:val="single" w:sz="8" w:color="D6F3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24,429</w:t>
            </w:r>
          </w:p>
        </w:tc>
        <w:tc>
          <w:tcPr>
            <w:tcW w:w="340" w:type="dxa"/>
            <w:vAlign w:val="bottom"/>
            <w:tcBorders>
              <w:top w:val="single" w:sz="8" w:color="D6F3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2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investments</w:t>
            </w: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(41,240)</w:t>
            </w: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Sale and maturities of investments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property disposals</w:t>
            </w:r>
          </w:p>
        </w:tc>
        <w:tc>
          <w:tcPr>
            <w:tcW w:w="120" w:type="dxa"/>
            <w:vAlign w:val="bottom"/>
            <w:shd w:val="clear" w:color="auto" w:fill="D6F3E8"/>
          </w:tcPr>
          <w:p>
            <w:pPr>
              <w:spacing w:after="0"/>
              <w:rPr>
                <w:sz w:val="18"/>
                <w:szCs w:val="18"/>
                <w:color w:val="auto"/>
              </w:rPr>
            </w:pPr>
          </w:p>
        </w:tc>
        <w:tc>
          <w:tcPr>
            <w:tcW w:w="10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Acquisition of Trumark</w:t>
            </w: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D6F3E8"/>
          </w:tcPr>
          <w:p>
            <w:pPr>
              <w:ind w:left="62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(42,973)</w:t>
            </w:r>
          </w:p>
        </w:tc>
        <w:tc>
          <w:tcPr>
            <w:tcW w:w="32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(11,277)</w:t>
            </w:r>
          </w:p>
        </w:tc>
        <w:tc>
          <w:tcPr>
            <w:tcW w:w="3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(6,573)</w:t>
            </w: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(5,125)</w:t>
            </w:r>
          </w:p>
        </w:tc>
        <w:tc>
          <w:tcPr>
            <w:tcW w:w="1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D6F3E8"/>
            </w:tcBorders>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(10,764)</w:t>
            </w:r>
          </w:p>
        </w:tc>
        <w:tc>
          <w:tcPr>
            <w:tcW w:w="1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8,027</w:t>
            </w:r>
          </w:p>
        </w:tc>
        <w:tc>
          <w:tcPr>
            <w:tcW w:w="1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32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auto"/>
            </w:tcBorders>
            <w:shd w:val="clear" w:color="auto" w:fill="D6F3E8"/>
          </w:tcPr>
          <w:p>
            <w:pPr>
              <w:spacing w:after="0"/>
              <w:rPr>
                <w:sz w:val="18"/>
                <w:szCs w:val="18"/>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21,509</w:t>
            </w:r>
          </w:p>
        </w:tc>
        <w:tc>
          <w:tcPr>
            <w:tcW w:w="34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11,593</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18,772</w:t>
            </w:r>
          </w:p>
        </w:tc>
        <w:tc>
          <w:tcPr>
            <w:tcW w:w="320" w:type="dxa"/>
            <w:vAlign w:val="bottom"/>
            <w:tcBorders>
              <w:bottom w:val="single" w:sz="8" w:color="D6F3E8"/>
            </w:tcBorders>
            <w:shd w:val="clear" w:color="auto" w:fill="D6F3E8"/>
          </w:tcPr>
          <w:p>
            <w:pPr>
              <w:spacing w:after="0"/>
              <w:rPr>
                <w:sz w:val="22"/>
                <w:szCs w:val="22"/>
                <w:color w:val="auto"/>
              </w:rPr>
            </w:pP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340" w:type="dxa"/>
            <w:vAlign w:val="bottom"/>
            <w:tcBorders>
              <w:bottom w:val="single" w:sz="8" w:color="D6F3E8"/>
            </w:tcBorders>
            <w:shd w:val="clear" w:color="auto" w:fill="D6F3E8"/>
          </w:tcPr>
          <w:p>
            <w:pPr>
              <w:spacing w:after="0"/>
              <w:rPr>
                <w:sz w:val="22"/>
                <w:szCs w:val="22"/>
                <w:color w:val="auto"/>
              </w:rPr>
            </w:pP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21,509</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71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paid during the year for income taxes</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10,654</w:t>
            </w:r>
          </w:p>
        </w:tc>
        <w:tc>
          <w:tcPr>
            <w:tcW w:w="32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4,900</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140" w:type="dxa"/>
            <w:vAlign w:val="bottom"/>
            <w:tcBorders>
              <w:top w:val="single" w:sz="8" w:color="D6F3E8"/>
            </w:tcBorders>
          </w:tcPr>
          <w:p>
            <w:pPr>
              <w:ind w:left="140"/>
              <w:spacing w:after="0"/>
              <w:rPr>
                <w:sz w:val="20"/>
                <w:szCs w:val="20"/>
                <w:color w:val="auto"/>
              </w:rPr>
            </w:pPr>
            <w:r>
              <w:rPr>
                <w:rFonts w:ascii="Arial" w:cs="Arial" w:eastAsia="Arial" w:hAnsi="Arial"/>
                <w:sz w:val="18"/>
                <w:szCs w:val="18"/>
                <w:color w:val="auto"/>
              </w:rPr>
              <w:t>Noncash investing activities:</w:t>
            </w: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Borders>
              <w:top w:val="single" w:sz="8" w:color="D6F3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D6F3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4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1,118</w:t>
            </w:r>
          </w:p>
        </w:tc>
        <w:tc>
          <w:tcPr>
            <w:tcW w:w="320" w:type="dxa"/>
            <w:vAlign w:val="bottom"/>
            <w:tcBorders>
              <w:bottom w:val="single" w:sz="8" w:color="D6F3E8"/>
            </w:tcBorders>
            <w:shd w:val="clear" w:color="auto" w:fill="D6F3E8"/>
          </w:tcPr>
          <w:p>
            <w:pPr>
              <w:spacing w:after="0"/>
              <w:rPr>
                <w:sz w:val="22"/>
                <w:szCs w:val="22"/>
                <w:color w:val="auto"/>
              </w:rPr>
            </w:pP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1,142</w:t>
            </w:r>
          </w:p>
        </w:tc>
        <w:tc>
          <w:tcPr>
            <w:tcW w:w="340" w:type="dxa"/>
            <w:vAlign w:val="bottom"/>
            <w:tcBorders>
              <w:bottom w:val="single" w:sz="8" w:color="D6F3E8"/>
            </w:tcBorders>
            <w:shd w:val="clear" w:color="auto" w:fill="D6F3E8"/>
          </w:tcPr>
          <w:p>
            <w:pPr>
              <w:spacing w:after="0"/>
              <w:rPr>
                <w:sz w:val="22"/>
                <w:szCs w:val="22"/>
                <w:color w:val="auto"/>
              </w:rPr>
            </w:pP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tcPr>
          <w:p>
            <w:pPr>
              <w:ind w:left="300"/>
              <w:spacing w:after="0" w:line="196" w:lineRule="exact"/>
              <w:rPr>
                <w:sz w:val="20"/>
                <w:szCs w:val="20"/>
                <w:color w:val="auto"/>
              </w:rPr>
            </w:pPr>
            <w:r>
              <w:rPr>
                <w:rFonts w:ascii="Arial" w:cs="Arial" w:eastAsia="Arial" w:hAnsi="Arial"/>
                <w:sz w:val="18"/>
                <w:szCs w:val="18"/>
                <w:color w:val="auto"/>
              </w:rPr>
              <w:t>Stock issued for acquisition of Trumark</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163" w:lineRule="exact"/>
        <w:rPr>
          <w:rFonts w:ascii="Arial" w:cs="Arial" w:eastAsia="Arial" w:hAnsi="Arial"/>
          <w:sz w:val="18"/>
          <w:szCs w:val="18"/>
          <w:b w:val="1"/>
          <w:bCs w:val="1"/>
          <w:color w:val="auto"/>
        </w:rPr>
      </w:pPr>
    </w:p>
    <w:p>
      <w:pPr>
        <w:ind w:left="580" w:right="2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Business</w:t>
      </w:r>
      <w:r>
        <w:rPr>
          <w:rFonts w:ascii="Arial" w:cs="Arial" w:eastAsia="Arial" w:hAnsi="Arial"/>
          <w:sz w:val="18"/>
          <w:szCs w:val="18"/>
          <w:color w:val="auto"/>
        </w:rPr>
        <w:t>—We have two reportable segments: Industrial and Water Treatment. The Industrial Group operates our Industrial segment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specializes in providing industrial chemicals, products and services to the agriculture, energy, electronics, food, chemical processing, pulp and paper, pharmaceutical, medical device and plating industries. The group also manufactures and sells certain food-grade products, including our patented Cheese Phos® liquid phosphate,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small single well to a multi-million gallon-per-day facility.</w:t>
      </w:r>
    </w:p>
    <w:p>
      <w:pPr>
        <w:spacing w:after="0" w:line="133" w:lineRule="exact"/>
        <w:rPr>
          <w:rFonts w:ascii="Arial" w:cs="Arial" w:eastAsia="Arial" w:hAnsi="Arial"/>
          <w:sz w:val="18"/>
          <w:szCs w:val="18"/>
          <w:b w:val="1"/>
          <w:bCs w:val="1"/>
          <w:color w:val="auto"/>
        </w:rPr>
      </w:pPr>
    </w:p>
    <w:p>
      <w:pPr>
        <w:ind w:left="580" w:right="1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—Our fiscal year is a 52/53-week year ending on the Sunday closest to March 31. The fiscal years ended March 28, 2010 (“fiscal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29, 2009 (“fiscal 2009”), and March 30, 2008 (“fiscal 2008”) were 52-week years. Our fiscal year ending April 3, 2011 (“fiscal 2011”) will be a 53-week year.</w:t>
      </w:r>
    </w:p>
    <w:p>
      <w:pPr>
        <w:spacing w:after="0" w:line="126" w:lineRule="exact"/>
        <w:rPr>
          <w:rFonts w:ascii="Arial" w:cs="Arial" w:eastAsia="Arial" w:hAnsi="Arial"/>
          <w:sz w:val="18"/>
          <w:szCs w:val="18"/>
          <w:b w:val="1"/>
          <w:bCs w:val="1"/>
          <w:color w:val="auto"/>
        </w:rPr>
      </w:pPr>
    </w:p>
    <w:p>
      <w:pPr>
        <w:ind w:left="580"/>
        <w:spacing w:after="0" w:line="335" w:lineRule="auto"/>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Estimates</w:t>
      </w:r>
      <w:r>
        <w:rPr>
          <w:rFonts w:ascii="Arial" w:cs="Arial" w:eastAsia="Arial" w:hAnsi="Arial"/>
          <w:sz w:val="15"/>
          <w:szCs w:val="15"/>
          <w:color w:val="auto"/>
        </w:rPr>
        <w:t>—The preparation of financial statements in conformity with U.S. generally accepted accounting principles (“GAAP”) requires management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74" w:lineRule="exact"/>
        <w:rPr>
          <w:rFonts w:ascii="Arial" w:cs="Arial" w:eastAsia="Arial" w:hAnsi="Arial"/>
          <w:sz w:val="18"/>
          <w:szCs w:val="18"/>
          <w:b w:val="1"/>
          <w:bCs w:val="1"/>
          <w:color w:val="auto"/>
        </w:rPr>
      </w:pPr>
    </w:p>
    <w:p>
      <w:pPr>
        <w:ind w:left="580" w:right="60"/>
        <w:spacing w:after="0" w:line="370" w:lineRule="auto"/>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Revenue Recognition</w:t>
      </w:r>
      <w:r>
        <w:rPr>
          <w:rFonts w:ascii="Arial" w:cs="Arial" w:eastAsia="Arial" w:hAnsi="Arial"/>
          <w:sz w:val="15"/>
          <w:szCs w:val="15"/>
          <w:color w:val="auto"/>
        </w:rPr>
        <w:t>—We recognize revenue when there is evidence that the customer has agreed to purchase the product, the price and terms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are fixed, the product has shipped and title passes to our customer, performance has occurred, and collection of the receivable is reasonably assured.</w:t>
      </w:r>
    </w:p>
    <w:p>
      <w:pPr>
        <w:spacing w:after="0" w:line="48" w:lineRule="exact"/>
        <w:rPr>
          <w:rFonts w:ascii="Arial" w:cs="Arial" w:eastAsia="Arial" w:hAnsi="Arial"/>
          <w:sz w:val="18"/>
          <w:szCs w:val="18"/>
          <w:b w:val="1"/>
          <w:bCs w:val="1"/>
          <w:color w:val="auto"/>
        </w:rPr>
      </w:pPr>
    </w:p>
    <w:p>
      <w:pPr>
        <w:ind w:left="580" w:right="28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Shipping and Handling</w:t>
      </w:r>
      <w:r>
        <w:rPr>
          <w:rFonts w:ascii="Arial" w:cs="Arial" w:eastAsia="Arial" w:hAnsi="Arial"/>
          <w:sz w:val="18"/>
          <w:szCs w:val="18"/>
          <w:color w:val="auto"/>
        </w:rPr>
        <w:t>—All shipping and handling amounts billed to customers are included in revenues. Costs incurred related to the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18" w:lineRule="exact"/>
        <w:rPr>
          <w:rFonts w:ascii="Arial" w:cs="Arial" w:eastAsia="Arial" w:hAnsi="Arial"/>
          <w:sz w:val="18"/>
          <w:szCs w:val="18"/>
          <w:b w:val="1"/>
          <w:bCs w:val="1"/>
          <w:color w:val="auto"/>
        </w:rPr>
      </w:pPr>
    </w:p>
    <w:p>
      <w:pPr>
        <w:ind w:left="580"/>
        <w:spacing w:after="0" w:line="310" w:lineRule="auto"/>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Fair Value Measurements</w:t>
      </w:r>
      <w:r>
        <w:rPr>
          <w:rFonts w:ascii="Arial" w:cs="Arial" w:eastAsia="Arial" w:hAnsi="Arial"/>
          <w:sz w:val="15"/>
          <w:szCs w:val="15"/>
          <w:color w:val="auto"/>
        </w:rPr>
        <w:t>—In September 2006, the Financial Accounting Standards Board (“FASB”) issued an accounting standard codified in ASC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820 “Fair Value Measurements and Disclosures”. This standard provides a single definition for fair value, establishes a framework for measuring fair value and expands disclosures about fair value measurements. Under this standard, fair value is defined as the exit price, or the amount that would be received to sell an asset or paid to transfer a liability in an orderly transaction between market participants as of the measurement date. This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us. Unobservable inputs are inputs that reflect our assumptions about the factors market participants would use in valuing the asset or liability developed based upon the best information available in the circumstances.</w:t>
      </w:r>
    </w:p>
    <w:p>
      <w:pPr>
        <w:spacing w:after="0" w:line="94" w:lineRule="exact"/>
        <w:rPr>
          <w:rFonts w:ascii="Arial" w:cs="Arial" w:eastAsia="Arial" w:hAnsi="Arial"/>
          <w:sz w:val="18"/>
          <w:szCs w:val="18"/>
          <w:b w:val="1"/>
          <w:bCs w:val="1"/>
          <w:color w:val="auto"/>
        </w:rPr>
      </w:pPr>
    </w:p>
    <w:p>
      <w:pPr>
        <w:ind w:left="5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adopted the standard as amended by subsequent FASB standards at the beginning of fiscal 2009 with respect to fair value measurements of financial assets and liabilities and the beginning of fiscal 2010 for nonfinancial assets and liabilities that are recognized or disclosed at fair value in our financial statements on a recurring basis (at least annually).</w:t>
      </w:r>
    </w:p>
    <w:p>
      <w:pPr>
        <w:spacing w:after="0" w:line="126" w:lineRule="exact"/>
        <w:rPr>
          <w:rFonts w:ascii="Arial" w:cs="Arial" w:eastAsia="Arial" w:hAnsi="Arial"/>
          <w:sz w:val="18"/>
          <w:szCs w:val="18"/>
          <w:b w:val="1"/>
          <w:bCs w:val="1"/>
          <w:color w:val="auto"/>
        </w:rPr>
      </w:pPr>
    </w:p>
    <w:p>
      <w:pPr>
        <w:ind w:left="58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financial assets and liabilities that are re-measured and reported at fair value for each reporting period include marketable securities. There were no fair value measurements with respect to nonfinancial assets or liabilities that are recognized or disclosed at fair value in our financial statements on a recurring basis subsequent to the effective date of this standard. The adoption did not have a material impact on our financial condition, results of operations or cash flows.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18"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1" w:lineRule="exact"/>
        <w:rPr>
          <w:sz w:val="20"/>
          <w:szCs w:val="20"/>
          <w:color w:val="auto"/>
        </w:rPr>
      </w:pPr>
    </w:p>
    <w:p>
      <w:pPr>
        <w:ind w:left="1160" w:right="620"/>
        <w:spacing w:after="0" w:line="33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on inputs such as quoted market prices for similar assets or liabilities in active markets or other inputs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observable for the asset or liability, either directly or indirectly, for substantially the full term of the financial instrument.</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158" w:lineRule="exact"/>
        <w:rPr>
          <w:sz w:val="20"/>
          <w:szCs w:val="20"/>
          <w:color w:val="auto"/>
        </w:rPr>
      </w:pPr>
    </w:p>
    <w:p>
      <w:pPr>
        <w:jc w:val="both"/>
        <w:ind w:left="580" w:right="300"/>
        <w:spacing w:after="0" w:line="259"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ind w:left="580" w:right="420"/>
        <w:spacing w:after="0" w:line="259" w:lineRule="auto"/>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—Cash equivalents include all liquid debt instruments (primarily cash funds, money market accounts and certificates of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27"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w:t>
      </w:r>
      <w:r>
        <w:rPr>
          <w:rFonts w:ascii="Arial" w:cs="Arial" w:eastAsia="Arial" w:hAnsi="Arial"/>
          <w:sz w:val="18"/>
          <w:szCs w:val="18"/>
          <w:i w:val="1"/>
          <w:iCs w:val="1"/>
          <w:color w:val="auto"/>
        </w:rPr>
        <w:t>Available-for-sale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certificates of deposit and are valued at current market value, with the resulting unrealized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130" w:lineRule="exact"/>
        <w:rPr>
          <w:sz w:val="20"/>
          <w:szCs w:val="20"/>
          <w:color w:val="auto"/>
        </w:rPr>
      </w:pPr>
    </w:p>
    <w:p>
      <w:pPr>
        <w:ind w:left="580" w:right="60"/>
        <w:spacing w:after="0" w:line="288" w:lineRule="auto"/>
        <w:rPr>
          <w:sz w:val="20"/>
          <w:szCs w:val="20"/>
          <w:color w:val="auto"/>
        </w:rPr>
      </w:pPr>
      <w:r>
        <w:rPr>
          <w:rFonts w:ascii="Arial" w:cs="Arial" w:eastAsia="Arial" w:hAnsi="Arial"/>
          <w:sz w:val="16"/>
          <w:szCs w:val="16"/>
          <w:b w:val="1"/>
          <w:bCs w:val="1"/>
          <w:i w:val="1"/>
          <w:iCs w:val="1"/>
          <w:color w:val="auto"/>
        </w:rPr>
        <w:t>Trade Receivables and Concentrations of Credit Risk</w:t>
      </w:r>
      <w:r>
        <w:rPr>
          <w:rFonts w:ascii="Arial" w:cs="Arial" w:eastAsia="Arial" w:hAnsi="Arial"/>
          <w:sz w:val="16"/>
          <w:szCs w:val="16"/>
          <w:color w:val="auto"/>
        </w:rPr>
        <w:t>—Financial instruments, which potentially subject us to a concentration of credit risk,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trade receivables. We sell our principal products to a large number of customers in many different industries. There are no concentrations of business transacted with a particular customer or sales from a particular service or geographic area that would significantly impact us in the near term. To reduce credit risk, we routinely assess the financial strength of our customers. We record an allowance for doubtful accounts; reducing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certificates of deposit and a money market account at two separate financial institutions where the cash balances may exceed federally insured limits. The institutions are two of the largest commercial banking institutions in the country and both have maintained a AA credit rating.</w:t>
      </w:r>
    </w:p>
    <w:p>
      <w:pPr>
        <w:spacing w:after="0" w:line="106" w:lineRule="exact"/>
        <w:rPr>
          <w:sz w:val="20"/>
          <w:szCs w:val="20"/>
          <w:color w:val="auto"/>
        </w:rPr>
      </w:pPr>
    </w:p>
    <w:p>
      <w:pPr>
        <w:ind w:left="580" w:right="20"/>
        <w:spacing w:after="0" w:line="306"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color w:val="auto"/>
        </w:rPr>
        <w:t>—Inventories, consisting primarily of finished goods, are primarily valued at the lower of cost or net realizable value, with cost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using the last-in, first-out (“LIFO”) method. The cost of the March 29, 2009 inventory balance of $1.9 million and classified as assets held for sale, related to the discontinued operations of the Pharmaceutical segment was determined using the first-in, first-out (“FIFO”) method.</w:t>
      </w:r>
    </w:p>
    <w:p>
      <w:pPr>
        <w:spacing w:after="0" w:line="93" w:lineRule="exact"/>
        <w:rPr>
          <w:sz w:val="20"/>
          <w:szCs w:val="20"/>
          <w:color w:val="auto"/>
        </w:rPr>
      </w:pPr>
    </w:p>
    <w:p>
      <w:pPr>
        <w:ind w:left="580" w:right="40"/>
        <w:spacing w:after="0" w:line="306" w:lineRule="auto"/>
        <w:rPr>
          <w:sz w:val="20"/>
          <w:szCs w:val="20"/>
          <w:color w:val="auto"/>
        </w:rPr>
      </w:pPr>
      <w:r>
        <w:rPr>
          <w:rFonts w:ascii="Arial" w:cs="Arial" w:eastAsia="Arial" w:hAnsi="Arial"/>
          <w:sz w:val="16"/>
          <w:szCs w:val="16"/>
          <w:b w:val="1"/>
          <w:bCs w:val="1"/>
          <w:i w:val="1"/>
          <w:iCs w:val="1"/>
          <w:color w:val="auto"/>
        </w:rPr>
        <w:t>Property, Plant and Equipment</w:t>
      </w:r>
      <w:r>
        <w:rPr>
          <w:rFonts w:ascii="Arial" w:cs="Arial" w:eastAsia="Arial" w:hAnsi="Arial"/>
          <w:sz w:val="16"/>
          <w:szCs w:val="16"/>
          <w:color w:val="auto"/>
        </w:rPr>
        <w:t>—Property is stated at cost and depreciated or amortized over the lives of the assets, using both straight-line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declining-balance methods. Estimated lives are: 10 to 40 years for buildings and improvements; 3 to 20 years for machinery and equipment; 3 to 10 years for transportation equipment; and 3 to 10 years for office furniture and equipment including computer systems.</w:t>
      </w:r>
    </w:p>
    <w:p>
      <w:pPr>
        <w:spacing w:after="0" w:line="93"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of the related operations. If these cash flows are less than the carrying value of such asset or asset group, an impairment loss would be measured by the amount the carrying value exceeds the fair value of the long-lived assets. The measurement of impairment requires us to estimate future cash flows and the fair value of long-lived assets. No material long-lived assets were determined to be impaired during fiscal 2010, 2009, or 2008.</w:t>
      </w:r>
    </w:p>
    <w:p>
      <w:pPr>
        <w:spacing w:after="0" w:line="105" w:lineRule="exact"/>
        <w:rPr>
          <w:sz w:val="20"/>
          <w:szCs w:val="20"/>
          <w:color w:val="auto"/>
        </w:rPr>
      </w:pPr>
    </w:p>
    <w:p>
      <w:pPr>
        <w:ind w:left="580"/>
        <w:spacing w:after="0" w:line="286" w:lineRule="auto"/>
        <w:rPr>
          <w:sz w:val="20"/>
          <w:szCs w:val="20"/>
          <w:color w:val="auto"/>
        </w:rPr>
      </w:pPr>
      <w:r>
        <w:rPr>
          <w:rFonts w:ascii="Arial" w:cs="Arial" w:eastAsia="Arial" w:hAnsi="Arial"/>
          <w:sz w:val="16"/>
          <w:szCs w:val="16"/>
          <w:b w:val="1"/>
          <w:bCs w:val="1"/>
          <w:i w:val="1"/>
          <w:iCs w:val="1"/>
          <w:color w:val="auto"/>
        </w:rPr>
        <w:t>Goodwill and Identifiable Intangible Assets</w:t>
      </w:r>
      <w:r>
        <w:rPr>
          <w:rFonts w:ascii="Arial" w:cs="Arial" w:eastAsia="Arial" w:hAnsi="Arial"/>
          <w:sz w:val="16"/>
          <w:szCs w:val="16"/>
          <w:color w:val="auto"/>
        </w:rPr>
        <w:t>—Goodwill represents the excess of the cost of acquired businesses over the fair value of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tangible net assets and identifiable 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327" w:lineRule="exact"/>
        <w:rPr>
          <w:sz w:val="20"/>
          <w:szCs w:val="20"/>
          <w:color w:val="auto"/>
        </w:rPr>
      </w:pPr>
    </w:p>
    <w:p>
      <w:pPr>
        <w:ind w:left="580" w:right="120"/>
        <w:spacing w:after="0" w:line="291" w:lineRule="auto"/>
        <w:rPr>
          <w:sz w:val="20"/>
          <w:szCs w:val="20"/>
          <w:color w:val="auto"/>
        </w:rPr>
      </w:pPr>
      <w:r>
        <w:rPr>
          <w:rFonts w:ascii="Arial" w:cs="Arial" w:eastAsia="Arial" w:hAnsi="Arial"/>
          <w:sz w:val="16"/>
          <w:szCs w:val="16"/>
          <w:color w:val="auto"/>
        </w:rPr>
        <w:t>Our primary identifiable intangible assets include customer lists, trade secrets, non-compete agreements, trademarks, and trade names acquired in previous business acquisitions. Identifiable intangibles with finite lives are amortized and those identifiable intangibles with indefinite lives are not amortized. The values assigned to the intangible assets with finite lives are being amortized on average over approximately 13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comparison of the fair value of the intangible asset with its carrying amount.</w:t>
      </w:r>
    </w:p>
    <w:p>
      <w:pPr>
        <w:spacing w:after="0" w:line="107"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We completed step one of our annual goodwill impairment evaluation during the fourth quarter of fiscal 2010 and determined that the reporting unit’s fair value exceeded its carrying value. Accordingly, step two of the impairment analysis was not required. We also completed an impairment test of intangible assets not subject to amortization during the fourth quarter, in which the fair value exceeded the carrying amount. Additionally, no impairment charges were required for fiscal 2009 or 2008.</w:t>
      </w:r>
    </w:p>
    <w:p>
      <w:pPr>
        <w:spacing w:after="0" w:line="130" w:lineRule="exact"/>
        <w:rPr>
          <w:sz w:val="20"/>
          <w:szCs w:val="20"/>
          <w:color w:val="auto"/>
        </w:rPr>
      </w:pPr>
    </w:p>
    <w:p>
      <w:pPr>
        <w:jc w:val="both"/>
        <w:ind w:left="580"/>
        <w:spacing w:after="0" w:line="303" w:lineRule="auto"/>
        <w:rPr>
          <w:sz w:val="20"/>
          <w:szCs w:val="20"/>
          <w:color w:val="auto"/>
        </w:rPr>
      </w:pPr>
      <w:r>
        <w:rPr>
          <w:rFonts w:ascii="Arial" w:cs="Arial" w:eastAsia="Arial" w:hAnsi="Arial"/>
          <w:sz w:val="15"/>
          <w:szCs w:val="15"/>
          <w:b w:val="1"/>
          <w:bCs w:val="1"/>
          <w:i w:val="1"/>
          <w:iCs w:val="1"/>
          <w:color w:val="auto"/>
        </w:rPr>
        <w:t>Income Taxes</w:t>
      </w:r>
      <w:r>
        <w:rPr>
          <w:rFonts w:ascii="Arial" w:cs="Arial" w:eastAsia="Arial" w:hAnsi="Arial"/>
          <w:sz w:val="15"/>
          <w:szCs w:val="15"/>
          <w:color w:val="auto"/>
        </w:rPr>
        <w:t>—In the preparation of our financial statements, management calculates income taxes based upon the estimated effective rate applicable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w:t>
      </w:r>
    </w:p>
    <w:p>
      <w:pPr>
        <w:spacing w:after="0" w:line="1" w:lineRule="exact"/>
        <w:rPr>
          <w:sz w:val="20"/>
          <w:szCs w:val="20"/>
          <w:color w:val="auto"/>
        </w:rPr>
      </w:pPr>
    </w:p>
    <w:p>
      <w:pPr>
        <w:ind w:left="580" w:right="160"/>
        <w:spacing w:after="0" w:line="323" w:lineRule="auto"/>
        <w:rPr>
          <w:sz w:val="20"/>
          <w:szCs w:val="20"/>
          <w:color w:val="auto"/>
        </w:rPr>
      </w:pPr>
      <w:r>
        <w:rPr>
          <w:rFonts w:ascii="Arial" w:cs="Arial" w:eastAsia="Arial" w:hAnsi="Arial"/>
          <w:sz w:val="16"/>
          <w:szCs w:val="16"/>
          <w:color w:val="auto"/>
        </w:rPr>
        <w:t>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79" w:lineRule="exact"/>
        <w:rPr>
          <w:sz w:val="20"/>
          <w:szCs w:val="20"/>
          <w:color w:val="auto"/>
        </w:rPr>
      </w:pPr>
    </w:p>
    <w:p>
      <w:pPr>
        <w:ind w:left="580" w:right="780"/>
        <w:spacing w:after="0" w:line="268"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right="40"/>
        <w:spacing w:after="0" w:line="256"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—We account for stock-based compensation on a fair value basis. The estimated grant date fair value of each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is recognized in expense over the requisite service period (generally the vesting period). The estimated fair value of each option is calculated using the Black-Scholes option-pricing model. Non-vested share awards are recorded as compensation expense over the requisite service periods based on the market value on the date of grant.</w:t>
      </w:r>
    </w:p>
    <w:p>
      <w:pPr>
        <w:spacing w:after="0" w:line="130"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i w:val="1"/>
          <w:iCs w:val="1"/>
          <w:color w:val="auto"/>
        </w:rPr>
        <w:t>—</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March 28, 2010</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March 29, 2009</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March 30, 2008</w:t>
            </w: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r>
      <w:tr>
        <w:trPr>
          <w:trHeight w:val="216"/>
        </w:trPr>
        <w:tc>
          <w:tcPr>
            <w:tcW w:w="650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10,250,978</w:t>
            </w:r>
          </w:p>
        </w:tc>
        <w:tc>
          <w:tcPr>
            <w:tcW w:w="20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10,243,970</w:t>
            </w: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10,213,225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32,015</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5,057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r>
      <w:tr>
        <w:trPr>
          <w:trHeight w:val="250"/>
        </w:trPr>
        <w:tc>
          <w:tcPr>
            <w:tcW w:w="65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10,282,993</w:t>
            </w:r>
          </w:p>
        </w:tc>
        <w:tc>
          <w:tcPr>
            <w:tcW w:w="200" w:type="dxa"/>
            <w:vAlign w:val="bottom"/>
            <w:tcBorders>
              <w:bottom w:val="single" w:sz="8" w:color="D6F3E8"/>
            </w:tcBorders>
            <w:shd w:val="clear" w:color="auto" w:fill="D6F3E8"/>
          </w:tcPr>
          <w:p>
            <w:pPr>
              <w:spacing w:after="0"/>
              <w:rPr>
                <w:sz w:val="21"/>
                <w:szCs w:val="21"/>
                <w:color w:val="auto"/>
              </w:rPr>
            </w:pPr>
          </w:p>
        </w:tc>
        <w:tc>
          <w:tcPr>
            <w:tcW w:w="12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10,249,027</w:t>
            </w:r>
          </w:p>
        </w:tc>
        <w:tc>
          <w:tcPr>
            <w:tcW w:w="200" w:type="dxa"/>
            <w:vAlign w:val="bottom"/>
            <w:tcBorders>
              <w:bottom w:val="single" w:sz="8" w:color="D6F3E8"/>
            </w:tcBorders>
            <w:shd w:val="clear" w:color="auto" w:fill="D6F3E8"/>
          </w:tcPr>
          <w:p>
            <w:pPr>
              <w:spacing w:after="0"/>
              <w:rPr>
                <w:sz w:val="21"/>
                <w:szCs w:val="21"/>
                <w:color w:val="auto"/>
              </w:rPr>
            </w:pPr>
          </w:p>
        </w:tc>
        <w:tc>
          <w:tcPr>
            <w:tcW w:w="12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10,214,387</w:t>
            </w:r>
          </w:p>
        </w:tc>
        <w:tc>
          <w:tcPr>
            <w:tcW w:w="10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80" w:right="500"/>
        <w:spacing w:after="0" w:line="268" w:lineRule="auto"/>
        <w:rPr>
          <w:sz w:val="20"/>
          <w:szCs w:val="20"/>
          <w:color w:val="auto"/>
        </w:rPr>
      </w:pPr>
      <w:r>
        <w:rPr>
          <w:rFonts w:ascii="Arial" w:cs="Arial" w:eastAsia="Arial" w:hAnsi="Arial"/>
          <w:sz w:val="18"/>
          <w:szCs w:val="18"/>
          <w:color w:val="auto"/>
        </w:rPr>
        <w:t>Stock options totaling 70,665 in fiscal 2010 and 61,332 in fiscal 2009 have been excluded from the calculation of diluted EPS because the effect of including the shares would be anti-dilutive. There were no stock options outstanding during fiscal 2008.</w:t>
      </w:r>
    </w:p>
    <w:p>
      <w:pPr>
        <w:spacing w:after="0" w:line="118"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b w:val="1"/>
          <w:bCs w:val="1"/>
          <w:i w:val="1"/>
          <w:iCs w:val="1"/>
          <w:color w:val="auto"/>
        </w:rPr>
        <w:t>Derivative Instruments and Hedging Activities</w:t>
      </w:r>
      <w:r>
        <w:rPr>
          <w:rFonts w:ascii="Arial" w:cs="Arial" w:eastAsia="Arial" w:hAnsi="Arial"/>
          <w:sz w:val="18"/>
          <w:szCs w:val="18"/>
          <w:color w:val="auto"/>
        </w:rPr>
        <w:t>—We do not have any freestanding or embedded derivatives and it is our policy to not enter into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contain them.</w:t>
      </w:r>
    </w:p>
    <w:p>
      <w:pPr>
        <w:spacing w:after="0" w:line="118" w:lineRule="exact"/>
        <w:rPr>
          <w:sz w:val="20"/>
          <w:szCs w:val="20"/>
          <w:color w:val="auto"/>
        </w:rPr>
      </w:pPr>
    </w:p>
    <w:p>
      <w:pPr>
        <w:ind w:left="580" w:right="60"/>
        <w:spacing w:after="0" w:line="288" w:lineRule="auto"/>
        <w:rPr>
          <w:sz w:val="20"/>
          <w:szCs w:val="20"/>
          <w:color w:val="auto"/>
        </w:rPr>
      </w:pPr>
      <w:r>
        <w:rPr>
          <w:rFonts w:ascii="Arial" w:cs="Arial" w:eastAsia="Arial" w:hAnsi="Arial"/>
          <w:sz w:val="16"/>
          <w:szCs w:val="16"/>
          <w:b w:val="1"/>
          <w:bCs w:val="1"/>
          <w:i w:val="1"/>
          <w:iCs w:val="1"/>
          <w:color w:val="auto"/>
        </w:rPr>
        <w:t>Recently Issued Accounting Pronouncements</w:t>
      </w:r>
      <w:r>
        <w:rPr>
          <w:rFonts w:ascii="Arial" w:cs="Arial" w:eastAsia="Arial" w:hAnsi="Arial"/>
          <w:sz w:val="16"/>
          <w:szCs w:val="16"/>
          <w:color w:val="auto"/>
        </w:rPr>
        <w:t>—In June 2009, the FASB issued a standard that established the FASB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Codification™ (“ASC”) and amended the hierarchy of GAAP such that the ASC became the single source of authoritative nongovernmental U.S. GAAP. The ASC did not change current U.S. GAAP, but was intended to simplify user access to all authoritative U.S. GAAP by providing all the authoritative literature related to a particular topic in one place. All previously existing accounting standard documents were superseded and all other accounting literature not included in the ASC is considered non-authoritative. New accounting standards issued subsequent to June 30, 2009 are communicated by the FASB through Accounting Standards Updates (“ASUs”). This standard was effective for us in the third quarter of fiscal 2010. This standard did not have an impact on our consolidated results of operations or financial condition. However, throughout the notes to the consolidated financial statements references that were previously made to various former authoritative U.S. GAAP pronouncements have been changed to coincide with the appropriate section of the ASC.</w:t>
      </w:r>
    </w:p>
    <w:p>
      <w:pPr>
        <w:spacing w:after="0" w:line="100"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63" w:lineRule="exact"/>
        <w:rPr>
          <w:rFonts w:ascii="Arial" w:cs="Arial" w:eastAsia="Arial" w:hAnsi="Arial"/>
          <w:sz w:val="18"/>
          <w:szCs w:val="18"/>
          <w:b w:val="1"/>
          <w:bCs w:val="1"/>
          <w:color w:val="auto"/>
        </w:rPr>
      </w:pPr>
    </w:p>
    <w:p>
      <w:pPr>
        <w:ind w:left="5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On May 22, 2009 the majority of the inventory was sold for cash of approximately $1.6 million which approximated its carrying value. The remaining inventory, with a carrying value of approximately $0.1 million, was sold during fiscal 2010. The agreement provides for annual payments based on a percentage of gross profit on future sales up to a maximum of approximately $3.7 million. We have no significant remaining obligations to fulfill under the agreement. We have recorded a receivable of approximately $1.7 million, equal to the carrying value of the assets that were related to this business. We estimate that the first year payment under the agreement due in July 2010 will be approximately $0.7 million and we have classified this portion of the receivable as current on the fiscal 2010 balance sheet. Amounts received in excess of the approximately $1.7 million will be recorded as a gain on sale of discontinued operations in future periods. The results of the Pharmaceutical segment have been reported as discontinued operations for all periods presented. The Pharmaceutical segment inventories as of March 29, 2009 were classified as held for sale.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INVESTMENTS</w:t>
      </w:r>
    </w:p>
    <w:p>
      <w:pPr>
        <w:spacing w:after="0" w:line="163" w:lineRule="exact"/>
        <w:rPr>
          <w:rFonts w:ascii="Arial" w:cs="Arial" w:eastAsia="Arial" w:hAnsi="Arial"/>
          <w:sz w:val="18"/>
          <w:szCs w:val="18"/>
          <w:b w:val="1"/>
          <w:bCs w:val="1"/>
          <w:color w:val="auto"/>
        </w:rPr>
      </w:pPr>
    </w:p>
    <w:p>
      <w:pPr>
        <w:ind w:left="58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information about our financial assets and liabilities that are measured at fair value on a recurring basis as of March 28, 2010, and indicates the fair value hierarchy of the valuation techniques utilized to determine such fair value. No available-for-sale securities existed at March 29, 2009.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2010</w:t>
            </w:r>
          </w:p>
        </w:tc>
        <w:tc>
          <w:tcPr>
            <w:tcW w:w="2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line="20" w:lineRule="exact"/>
              <w:rPr>
                <w:sz w:val="1"/>
                <w:szCs w:val="1"/>
                <w:color w:val="auto"/>
              </w:rPr>
            </w:pPr>
          </w:p>
        </w:tc>
        <w:tc>
          <w:tcPr>
            <w:tcW w:w="15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line="20" w:lineRule="exact"/>
              <w:rPr>
                <w:sz w:val="1"/>
                <w:szCs w:val="1"/>
                <w:color w:val="auto"/>
              </w:rPr>
            </w:pPr>
          </w:p>
        </w:tc>
      </w:tr>
      <w:tr>
        <w:trPr>
          <w:trHeight w:val="142"/>
        </w:trPr>
        <w:tc>
          <w:tcPr>
            <w:tcW w:w="5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0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18,661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18,661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ind w:left="8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34,900</w:t>
            </w:r>
          </w:p>
        </w:tc>
        <w:tc>
          <w:tcPr>
            <w:tcW w:w="26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34,900</w:t>
            </w:r>
          </w:p>
        </w:tc>
        <w:tc>
          <w:tcPr>
            <w:tcW w:w="26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00" w:type="dxa"/>
            <w:vAlign w:val="bottom"/>
            <w:gridSpan w:val="2"/>
          </w:tcPr>
          <w:p>
            <w:pPr>
              <w:ind w:left="300"/>
              <w:spacing w:after="0"/>
              <w:rPr>
                <w:sz w:val="20"/>
                <w:szCs w:val="20"/>
                <w:color w:val="auto"/>
              </w:rPr>
            </w:pPr>
            <w:r>
              <w:rPr>
                <w:rFonts w:ascii="Arial" w:cs="Arial" w:eastAsia="Arial" w:hAnsi="Arial"/>
                <w:sz w:val="18"/>
                <w:szCs w:val="18"/>
                <w:color w:val="auto"/>
              </w:rPr>
              <w:t>Money market securities</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right="100"/>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Balance Sheets. As of March 28, 2010, the CD’s in current assets have a fair value of $25.9 million, and in noncurrent assets, the CD’s have a fair value of $9.0 million.</w:t>
      </w:r>
    </w:p>
    <w:p>
      <w:pPr>
        <w:spacing w:after="0" w:line="130"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March 28, 2010.</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contractual maturities of available-for-sale securities at March 28, 2010 are shown in the table below.</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Unrealized</w:t>
            </w:r>
          </w:p>
        </w:tc>
      </w:tr>
      <w:tr>
        <w:trPr>
          <w:trHeight w:val="161"/>
        </w:trPr>
        <w:tc>
          <w:tcPr>
            <w:tcW w:w="5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Gains</w:t>
            </w:r>
          </w:p>
        </w:tc>
      </w:tr>
      <w:tr>
        <w:trPr>
          <w:trHeight w:val="210"/>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Within one year</w:t>
            </w: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25,890</w:t>
            </w:r>
          </w:p>
        </w:tc>
        <w:tc>
          <w:tcPr>
            <w:tcW w:w="26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25,928</w:t>
            </w:r>
          </w:p>
        </w:tc>
        <w:tc>
          <w:tcPr>
            <w:tcW w:w="26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D6F3E8"/>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8,972</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50"/>
        </w:trPr>
        <w:tc>
          <w:tcPr>
            <w:tcW w:w="5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34,790</w:t>
            </w:r>
          </w:p>
        </w:tc>
        <w:tc>
          <w:tcPr>
            <w:tcW w:w="26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34,900</w:t>
            </w:r>
          </w:p>
        </w:tc>
        <w:tc>
          <w:tcPr>
            <w:tcW w:w="26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Realized gains and losses were not material for fiscal 2010 and fiscal 2009; we recognized $0.2 million in gains during fiscal 2008.</w:t>
      </w:r>
    </w:p>
    <w:p>
      <w:pPr>
        <w:spacing w:after="0" w:line="15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6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Inventories at March 28, 2010 and March 29, 2009 consisted of the following:</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722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23,258</w:t>
            </w:r>
          </w:p>
        </w:tc>
        <w:tc>
          <w:tcPr>
            <w:tcW w:w="20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center"/>
              <w:ind w:left="277"/>
              <w:spacing w:after="0"/>
              <w:rPr>
                <w:sz w:val="20"/>
                <w:szCs w:val="20"/>
                <w:color w:val="auto"/>
              </w:rPr>
            </w:pPr>
            <w:r>
              <w:rPr>
                <w:rFonts w:ascii="Arial" w:cs="Arial" w:eastAsia="Arial" w:hAnsi="Arial"/>
                <w:sz w:val="18"/>
                <w:szCs w:val="18"/>
                <w:color w:val="auto"/>
                <w:w w:val="87"/>
              </w:rPr>
              <w:t>34,479</w:t>
            </w:r>
          </w:p>
        </w:tc>
        <w:tc>
          <w:tcPr>
            <w:tcW w:w="120" w:type="dxa"/>
            <w:vAlign w:val="bottom"/>
            <w:shd w:val="clear" w:color="auto" w:fill="D6F3E8"/>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LIFO reserve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960" w:type="dxa"/>
            <w:vAlign w:val="bottom"/>
            <w:gridSpan w:val="2"/>
          </w:tcPr>
          <w:p>
            <w:pPr>
              <w:jc w:val="center"/>
              <w:ind w:left="157"/>
              <w:spacing w:after="0"/>
              <w:rPr>
                <w:sz w:val="20"/>
                <w:szCs w:val="20"/>
                <w:color w:val="auto"/>
              </w:rPr>
            </w:pPr>
            <w:r>
              <w:rPr>
                <w:rFonts w:ascii="Arial" w:cs="Arial" w:eastAsia="Arial" w:hAnsi="Arial"/>
                <w:sz w:val="18"/>
                <w:szCs w:val="18"/>
                <w:color w:val="auto"/>
                <w:w w:val="89"/>
              </w:rPr>
              <w:t>(14,528)</w:t>
            </w:r>
          </w:p>
        </w:tc>
      </w:tr>
      <w:tr>
        <w:trPr>
          <w:trHeight w:val="250"/>
        </w:trPr>
        <w:tc>
          <w:tcPr>
            <w:tcW w:w="72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inventory</w:t>
            </w:r>
          </w:p>
        </w:tc>
        <w:tc>
          <w:tcPr>
            <w:tcW w:w="260" w:type="dxa"/>
            <w:vAlign w:val="bottom"/>
            <w:tcBorders>
              <w:top w:val="single" w:sz="8" w:color="auto"/>
              <w:bottom w:val="single" w:sz="8" w:color="auto"/>
            </w:tcBorders>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21,327</w:t>
            </w:r>
          </w:p>
        </w:tc>
        <w:tc>
          <w:tcPr>
            <w:tcW w:w="200" w:type="dxa"/>
            <w:vAlign w:val="bottom"/>
            <w:tcBorders>
              <w:bottom w:val="single" w:sz="8" w:color="D6F3E8"/>
            </w:tcBorders>
            <w:shd w:val="clear" w:color="auto" w:fill="D6F3E8"/>
          </w:tcPr>
          <w:p>
            <w:pPr>
              <w:spacing w:after="0"/>
              <w:rPr>
                <w:sz w:val="21"/>
                <w:szCs w:val="21"/>
                <w:color w:val="auto"/>
              </w:rPr>
            </w:pPr>
          </w:p>
        </w:tc>
        <w:tc>
          <w:tcPr>
            <w:tcW w:w="240" w:type="dxa"/>
            <w:vAlign w:val="bottom"/>
            <w:tcBorders>
              <w:top w:val="single" w:sz="8" w:color="auto"/>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D6F3E8"/>
          </w:tcPr>
          <w:p>
            <w:pPr>
              <w:jc w:val="center"/>
              <w:ind w:left="277"/>
              <w:spacing w:after="0"/>
              <w:rPr>
                <w:sz w:val="20"/>
                <w:szCs w:val="20"/>
                <w:color w:val="auto"/>
              </w:rPr>
            </w:pPr>
            <w:r>
              <w:rPr>
                <w:rFonts w:ascii="Arial" w:cs="Arial" w:eastAsia="Arial" w:hAnsi="Arial"/>
                <w:sz w:val="18"/>
                <w:szCs w:val="18"/>
                <w:color w:val="auto"/>
                <w:w w:val="87"/>
              </w:rPr>
              <w:t>19,951</w:t>
            </w:r>
          </w:p>
        </w:tc>
        <w:tc>
          <w:tcPr>
            <w:tcW w:w="12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80" w:right="280"/>
        <w:spacing w:after="0" w:line="268" w:lineRule="auto"/>
        <w:rPr>
          <w:sz w:val="20"/>
          <w:szCs w:val="20"/>
          <w:color w:val="auto"/>
        </w:rPr>
      </w:pPr>
      <w:r>
        <w:rPr>
          <w:rFonts w:ascii="Arial" w:cs="Arial" w:eastAsia="Arial" w:hAnsi="Arial"/>
          <w:sz w:val="18"/>
          <w:szCs w:val="18"/>
          <w:color w:val="auto"/>
        </w:rPr>
        <w:t>The FIFO value of inventories accounted for under the LIFO method were $23.1 million at March 28, 2010 and $34.3 million at March 29, 2009. The remainder of the inventory was valued and accounted for under the FIFO method.</w:t>
      </w:r>
    </w:p>
    <w:p>
      <w:pPr>
        <w:spacing w:after="0" w:line="118" w:lineRule="exact"/>
        <w:rPr>
          <w:sz w:val="20"/>
          <w:szCs w:val="20"/>
          <w:color w:val="auto"/>
        </w:rPr>
      </w:pPr>
    </w:p>
    <w:p>
      <w:pPr>
        <w:ind w:left="580" w:right="420"/>
        <w:spacing w:after="0" w:line="268" w:lineRule="auto"/>
        <w:rPr>
          <w:sz w:val="20"/>
          <w:szCs w:val="20"/>
          <w:color w:val="auto"/>
        </w:rPr>
      </w:pPr>
      <w:r>
        <w:rPr>
          <w:rFonts w:ascii="Arial" w:cs="Arial" w:eastAsia="Arial" w:hAnsi="Arial"/>
          <w:sz w:val="18"/>
          <w:szCs w:val="18"/>
          <w:color w:val="auto"/>
        </w:rPr>
        <w:t>We decreased the LIFO reserve by $12.6 million in fiscal 2010 and increased the reserve by $10.0 million in fiscal 2009 due primarily to significant changes in inventory costs in both years, as well as changes in inventory product mix.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80" w:right="5520" w:hanging="572"/>
        <w:spacing w:after="0" w:line="479" w:lineRule="auto"/>
        <w:tabs>
          <w:tab w:leader="none" w:pos="5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OTHER IDENTIFIABLE INTANGIBLE ASSETS </w:t>
      </w:r>
      <w:r>
        <w:rPr>
          <w:rFonts w:ascii="Arial" w:cs="Arial" w:eastAsia="Arial" w:hAnsi="Arial"/>
          <w:sz w:val="16"/>
          <w:szCs w:val="16"/>
          <w:color w:val="auto"/>
        </w:rPr>
        <w:t>The carrying amount of goodwill for fiscal 2010 and 2009 was $1.2 million.</w:t>
      </w:r>
    </w:p>
    <w:p>
      <w:pPr>
        <w:ind w:left="580" w:right="14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Intangible assets consist primarily of customer lists, trade secrets and non-compete agreements classified as finite life and trademarks and trade names classified as indefinite life, related to previous business acquisitions. Identifiable intangible assets with a net book value of $1.4 million at March 29, 2009 were related to the Pharmaceutical segment transaction discussed in “Note 2 – Discontinued Operations”. A summary of our intangible assets as of March 28, 2010 and March 29, 2009 were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Gross Carrying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9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2180" w:type="dxa"/>
            <w:vAlign w:val="bottom"/>
            <w:gridSpan w:val="3"/>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3,259</w:t>
            </w:r>
          </w:p>
        </w:tc>
        <w:tc>
          <w:tcPr>
            <w:tcW w:w="380" w:type="dxa"/>
            <w:vAlign w:val="bottom"/>
            <w:gridSpan w:val="2"/>
            <w:shd w:val="clear" w:color="auto" w:fill="D6F3E8"/>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color w:val="auto"/>
              </w:rPr>
              <w:t>(851)</w:t>
            </w:r>
          </w:p>
        </w:tc>
        <w:tc>
          <w:tcPr>
            <w:tcW w:w="400" w:type="dxa"/>
            <w:vAlign w:val="bottom"/>
            <w:gridSpan w:val="3"/>
            <w:shd w:val="clear" w:color="auto" w:fill="D6F3E8"/>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 assets, net</w:t>
            </w:r>
          </w:p>
        </w:tc>
        <w:tc>
          <w:tcPr>
            <w:tcW w:w="202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gridSpan w:val="2"/>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4,486</w:t>
            </w:r>
          </w:p>
        </w:tc>
        <w:tc>
          <w:tcPr>
            <w:tcW w:w="28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D6F3E8"/>
            </w:tcBorders>
            <w:shd w:val="clear" w:color="auto" w:fill="D6F3E8"/>
          </w:tcPr>
          <w:p>
            <w:pPr>
              <w:spacing w:after="0"/>
              <w:rPr>
                <w:sz w:val="21"/>
                <w:szCs w:val="21"/>
                <w:color w:val="auto"/>
              </w:rPr>
            </w:pPr>
          </w:p>
        </w:tc>
        <w:tc>
          <w:tcPr>
            <w:tcW w:w="8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4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Gross Carrying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35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218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6,565</w:t>
            </w:r>
          </w:p>
        </w:tc>
        <w:tc>
          <w:tcPr>
            <w:tcW w:w="40" w:type="dxa"/>
            <w:vAlign w:val="bottom"/>
            <w:shd w:val="clear" w:color="auto" w:fill="D6F3E8"/>
          </w:tcPr>
          <w:p>
            <w:pPr>
              <w:spacing w:after="0"/>
              <w:rPr>
                <w:sz w:val="18"/>
                <w:szCs w:val="18"/>
                <w:color w:val="auto"/>
              </w:rPr>
            </w:pPr>
          </w:p>
        </w:tc>
        <w:tc>
          <w:tcPr>
            <w:tcW w:w="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(2,556)</w:t>
            </w:r>
          </w:p>
        </w:tc>
        <w:tc>
          <w:tcPr>
            <w:tcW w:w="120" w:type="dxa"/>
            <w:vAlign w:val="bottom"/>
            <w:shd w:val="clear" w:color="auto" w:fill="D6F3E8"/>
          </w:tcPr>
          <w:p>
            <w:pPr>
              <w:spacing w:after="0"/>
              <w:rPr>
                <w:sz w:val="18"/>
                <w:szCs w:val="18"/>
                <w:color w:val="auto"/>
              </w:rPr>
            </w:pPr>
          </w:p>
        </w:tc>
        <w:tc>
          <w:tcPr>
            <w:tcW w:w="2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 assets, net</w:t>
            </w:r>
          </w:p>
        </w:tc>
        <w:tc>
          <w:tcPr>
            <w:tcW w:w="2080" w:type="dxa"/>
            <w:vAlign w:val="bottom"/>
            <w:tcBorders>
              <w:bottom w:val="single" w:sz="8" w:color="D6F3E8"/>
            </w:tcBorders>
            <w:gridSpan w:val="2"/>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w:t>
            </w:r>
          </w:p>
        </w:tc>
        <w:tc>
          <w:tcPr>
            <w:tcW w:w="4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D6F3E8"/>
            </w:tcBorders>
            <w:shd w:val="clear" w:color="auto" w:fill="D6F3E8"/>
          </w:tcPr>
          <w:p>
            <w:pPr>
              <w:spacing w:after="0"/>
              <w:rPr>
                <w:sz w:val="21"/>
                <w:szCs w:val="21"/>
                <w:color w:val="auto"/>
              </w:rPr>
            </w:pPr>
          </w:p>
        </w:tc>
        <w:tc>
          <w:tcPr>
            <w:tcW w:w="8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D6F3E8"/>
          </w:tcPr>
          <w:p>
            <w:pPr>
              <w:spacing w:after="0"/>
              <w:rPr>
                <w:sz w:val="21"/>
                <w:szCs w:val="21"/>
                <w:color w:val="auto"/>
              </w:rPr>
            </w:pPr>
          </w:p>
        </w:tc>
        <w:tc>
          <w:tcPr>
            <w:tcW w:w="7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5,236</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Intangible asset amortization expense was $0.2 million during fiscal 2010, $0.5 million during fiscal 2009, and $0.4 million during fiscal 2008.</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D6F3E8"/>
          </w:tcPr>
          <w:p>
            <w:pPr>
              <w:spacing w:after="0"/>
              <w:rPr>
                <w:sz w:val="20"/>
                <w:szCs w:val="20"/>
                <w:color w:val="auto"/>
              </w:rPr>
            </w:pPr>
            <w:r>
              <w:rPr>
                <w:rFonts w:ascii="Arial" w:cs="Arial" w:eastAsia="Arial" w:hAnsi="Arial"/>
                <w:sz w:val="18"/>
                <w:szCs w:val="18"/>
                <w:color w:val="auto"/>
              </w:rPr>
              <w:t>Estimated amortization expense</w:t>
            </w:r>
          </w:p>
        </w:tc>
        <w:tc>
          <w:tcPr>
            <w:tcW w:w="1860" w:type="dxa"/>
            <w:vAlign w:val="bottom"/>
            <w:gridSpan w:val="2"/>
            <w:shd w:val="clear" w:color="auto" w:fill="D6F3E8"/>
          </w:tcPr>
          <w:p>
            <w:pPr>
              <w:jc w:val="right"/>
              <w:ind w:right="4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6"/>
              </w:rPr>
              <w:t>242</w:t>
            </w:r>
          </w:p>
        </w:tc>
        <w:tc>
          <w:tcPr>
            <w:tcW w:w="8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6"/>
              </w:rPr>
              <w:t>242</w:t>
            </w:r>
          </w:p>
        </w:tc>
        <w:tc>
          <w:tcPr>
            <w:tcW w:w="8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6"/>
              </w:rPr>
              <w:t>220</w:t>
            </w:r>
          </w:p>
        </w:tc>
        <w:tc>
          <w:tcPr>
            <w:tcW w:w="84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215</w:t>
            </w:r>
          </w:p>
        </w:tc>
        <w:tc>
          <w:tcPr>
            <w:tcW w:w="4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Components of accumulated other comprehensive income (loss), net of tax,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shd w:val="clear" w:color="auto" w:fill="D6F3E8"/>
          </w:tcPr>
          <w:p>
            <w:pPr>
              <w:spacing w:after="0"/>
              <w:rPr>
                <w:sz w:val="20"/>
                <w:szCs w:val="20"/>
                <w:color w:val="auto"/>
              </w:rPr>
            </w:pPr>
            <w:r>
              <w:rPr>
                <w:rFonts w:ascii="Arial" w:cs="Arial" w:eastAsia="Arial" w:hAnsi="Arial"/>
                <w:sz w:val="18"/>
                <w:szCs w:val="18"/>
                <w:color w:val="auto"/>
              </w:rPr>
              <w:t>Unrealized gain (loss) on:</w:t>
            </w:r>
          </w:p>
        </w:tc>
        <w:tc>
          <w:tcPr>
            <w:tcW w:w="25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Available-for-sale investments</w:t>
            </w:r>
          </w:p>
        </w:tc>
        <w:tc>
          <w:tcPr>
            <w:tcW w:w="27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Post-retirement plan liability adjustments</w:t>
            </w:r>
          </w:p>
        </w:tc>
        <w:tc>
          <w:tcPr>
            <w:tcW w:w="25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240" w:type="dxa"/>
            <w:vAlign w:val="bottom"/>
            <w:shd w:val="clear" w:color="auto" w:fill="D6F3E8"/>
          </w:tcPr>
          <w:p>
            <w:pPr>
              <w:spacing w:after="0" w:line="20" w:lineRule="exact"/>
              <w:rPr>
                <w:sz w:val="1"/>
                <w:szCs w:val="1"/>
                <w:color w:val="auto"/>
              </w:rPr>
            </w:pPr>
          </w:p>
        </w:tc>
        <w:tc>
          <w:tcPr>
            <w:tcW w:w="25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5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40" w:type="dxa"/>
            <w:vAlign w:val="bottom"/>
            <w:vMerge w:val="restart"/>
          </w:tcPr>
          <w:p>
            <w:pPr>
              <w:jc w:val="right"/>
              <w:ind w:right="1472"/>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4240" w:type="dxa"/>
            <w:vAlign w:val="bottom"/>
            <w:tcBorders>
              <w:bottom w:val="single" w:sz="8" w:color="808080"/>
            </w:tcBorders>
          </w:tcPr>
          <w:p>
            <w:pPr>
              <w:spacing w:after="0"/>
              <w:rPr>
                <w:sz w:val="21"/>
                <w:szCs w:val="21"/>
                <w:color w:val="auto"/>
              </w:rPr>
            </w:pPr>
          </w:p>
        </w:tc>
        <w:tc>
          <w:tcPr>
            <w:tcW w:w="25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PROFIT SHARING, EMPLOYEE STOCK OWNERSHIP PLAN, AND SHARE-BASED PAYMENT AWARDS</w:t>
      </w:r>
    </w:p>
    <w:p>
      <w:pPr>
        <w:spacing w:after="0" w:line="163" w:lineRule="exact"/>
        <w:rPr>
          <w:rFonts w:ascii="Arial" w:cs="Arial" w:eastAsia="Arial" w:hAnsi="Arial"/>
          <w:sz w:val="18"/>
          <w:szCs w:val="18"/>
          <w:b w:val="1"/>
          <w:bCs w:val="1"/>
          <w:color w:val="auto"/>
        </w:rPr>
      </w:pPr>
    </w:p>
    <w:p>
      <w:pPr>
        <w:ind w:left="580" w:right="40"/>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Profit Sharing and Employee Stock Ownership Plans. </w:t>
      </w:r>
      <w:r>
        <w:rPr>
          <w:rFonts w:ascii="Arial" w:cs="Arial" w:eastAsia="Arial" w:hAnsi="Arial"/>
          <w:sz w:val="18"/>
          <w:szCs w:val="18"/>
          <w:color w:val="auto"/>
        </w:rPr>
        <w:t>Effective April 1, 2009, we converted our defined contribution pension plan covering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non-bargaining employees to a profit sharing plan. It is our policy to fund all costs accrued. Contributions are made at our discretion subject to a maximum amount allowed under the Internal Revenue Code. Our cost for the profit sharing and pension plan was 15% of each employee’s covered compensation in each of the fiscal years 2010, 2009 and 2008.</w:t>
      </w:r>
    </w:p>
    <w:p>
      <w:pPr>
        <w:spacing w:after="0" w:line="129" w:lineRule="exact"/>
        <w:rPr>
          <w:rFonts w:ascii="Arial" w:cs="Arial" w:eastAsia="Arial" w:hAnsi="Arial"/>
          <w:sz w:val="18"/>
          <w:szCs w:val="18"/>
          <w:b w:val="1"/>
          <w:bCs w:val="1"/>
          <w:color w:val="auto"/>
        </w:rPr>
      </w:pPr>
    </w:p>
    <w:p>
      <w:pPr>
        <w:ind w:left="5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an employee stock ownership plan (“ESOP”) covering substantially all of our non-bargaining employees, excluding our executive officers. Contributions are made at our discretion subject to a maximum amount allowed under the Internal Revenue Code. Our cost for the ESOP was 5% of each employee’s covered compensation in each of the fiscal years 2010, 2009 and 2008.</w:t>
      </w:r>
    </w:p>
    <w:p>
      <w:pPr>
        <w:spacing w:after="0" w:line="126" w:lineRule="exact"/>
        <w:rPr>
          <w:rFonts w:ascii="Arial" w:cs="Arial" w:eastAsia="Arial" w:hAnsi="Arial"/>
          <w:sz w:val="18"/>
          <w:szCs w:val="18"/>
          <w:b w:val="1"/>
          <w:bCs w:val="1"/>
          <w:color w:val="auto"/>
        </w:rPr>
      </w:pPr>
    </w:p>
    <w:p>
      <w:pPr>
        <w:ind w:left="58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an employee stock purchase plan (“ESPP”) covering substantially all of our employees, excluding officers. We match 75% of each employee’s contribution, up to a maximum of $375.00 per month, on a monthly basis.</w:t>
      </w:r>
    </w:p>
    <w:p>
      <w:pPr>
        <w:spacing w:after="0" w:line="11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following represents the contribution expense for the profit sharing and pension, ESOP, and ESPP plans: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Benefit Plan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142"/>
        </w:trPr>
        <w:tc>
          <w:tcPr>
            <w:tcW w:w="1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Profit sharing and pension plan</w:t>
            </w:r>
          </w:p>
        </w:tc>
        <w:tc>
          <w:tcPr>
            <w:tcW w:w="2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2,844</w:t>
            </w:r>
          </w:p>
        </w:tc>
        <w:tc>
          <w:tcPr>
            <w:tcW w:w="5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2,669</w:t>
            </w:r>
          </w:p>
        </w:tc>
        <w:tc>
          <w:tcPr>
            <w:tcW w:w="5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D6F3E8"/>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ESOP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8"/>
                <w:szCs w:val="18"/>
                <w:color w:val="auto"/>
              </w:rPr>
            </w:pPr>
          </w:p>
        </w:tc>
      </w:tr>
      <w:tr>
        <w:trPr>
          <w:trHeight w:val="216"/>
        </w:trPr>
        <w:tc>
          <w:tcPr>
            <w:tcW w:w="676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ESPP</w:t>
            </w:r>
          </w:p>
        </w:tc>
        <w:tc>
          <w:tcPr>
            <w:tcW w:w="2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7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7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7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D6F3E8"/>
            </w:tcBorders>
            <w:shd w:val="clear" w:color="auto" w:fill="D6F3E8"/>
          </w:tcPr>
          <w:p>
            <w:pPr>
              <w:spacing w:after="0"/>
              <w:rPr>
                <w:sz w:val="18"/>
                <w:szCs w:val="18"/>
                <w:color w:val="auto"/>
              </w:rPr>
            </w:pPr>
          </w:p>
        </w:tc>
      </w:tr>
      <w:tr>
        <w:trPr>
          <w:trHeight w:val="210"/>
        </w:trPr>
        <w:tc>
          <w:tcPr>
            <w:tcW w:w="6760" w:type="dxa"/>
            <w:vAlign w:val="bottom"/>
            <w:gridSpan w:val="2"/>
          </w:tcPr>
          <w:p>
            <w:pPr>
              <w:ind w:left="160"/>
              <w:spacing w:after="0"/>
              <w:rPr>
                <w:sz w:val="20"/>
                <w:szCs w:val="20"/>
                <w:color w:val="auto"/>
              </w:rPr>
            </w:pPr>
            <w:r>
              <w:rPr>
                <w:rFonts w:ascii="Arial" w:cs="Arial" w:eastAsia="Arial" w:hAnsi="Arial"/>
                <w:sz w:val="18"/>
                <w:szCs w:val="18"/>
                <w:color w:val="auto"/>
              </w:rPr>
              <w:t>Total contribution expense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4,393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220"/>
        <w:spacing w:after="0" w:line="268" w:lineRule="auto"/>
        <w:rPr>
          <w:sz w:val="20"/>
          <w:szCs w:val="20"/>
          <w:color w:val="auto"/>
        </w:rPr>
      </w:pPr>
      <w:r>
        <w:rPr>
          <w:rFonts w:ascii="Arial" w:cs="Arial" w:eastAsia="Arial" w:hAnsi="Arial"/>
          <w:sz w:val="18"/>
          <w:szCs w:val="18"/>
          <w:color w:val="auto"/>
        </w:rPr>
        <w:t>Amounts charged to pension expense and contributed to union multi-employer pension plans were $0.4 million for fiscal 2010 and fiscal 2009 and $0.3 million for fiscal 2008.</w:t>
      </w:r>
    </w:p>
    <w:p>
      <w:pPr>
        <w:spacing w:after="0" w:line="227" w:lineRule="exact"/>
        <w:rPr>
          <w:sz w:val="20"/>
          <w:szCs w:val="20"/>
          <w:color w:val="auto"/>
        </w:rPr>
      </w:pPr>
    </w:p>
    <w:p>
      <w:pPr>
        <w:ind w:left="580" w:right="40"/>
        <w:spacing w:after="0" w:line="256"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Our Board of Directors approved a long-term incentive equity compensation arrangement for our executive officers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2009. This long-term incentive arrangement provides for the grant of nonqualified stock options that vest at the end of a three-year period and expire no later than 10 years after the grant date. We used the Black-Scholes valuation model to estimate the fair value of the options at grant date based on the following assumptions: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June 10, 2009 issuance</w:t>
            </w:r>
          </w:p>
        </w:tc>
        <w:tc>
          <w:tcPr>
            <w:tcW w:w="400" w:type="dxa"/>
            <w:vAlign w:val="bottom"/>
          </w:tcPr>
          <w:p>
            <w:pPr>
              <w:spacing w:after="0"/>
              <w:rPr>
                <w:sz w:val="14"/>
                <w:szCs w:val="14"/>
                <w:color w:val="auto"/>
              </w:rPr>
            </w:pPr>
          </w:p>
        </w:tc>
        <w:tc>
          <w:tcPr>
            <w:tcW w:w="1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May 13, 2008 issuance</w:t>
            </w:r>
          </w:p>
        </w:tc>
        <w:tc>
          <w:tcPr>
            <w:tcW w:w="100" w:type="dxa"/>
            <w:vAlign w:val="bottom"/>
          </w:tcPr>
          <w:p>
            <w:pPr>
              <w:spacing w:after="0"/>
              <w:rPr>
                <w:sz w:val="14"/>
                <w:szCs w:val="14"/>
                <w:color w:val="auto"/>
              </w:rPr>
            </w:pPr>
          </w:p>
        </w:tc>
      </w:tr>
      <w:tr>
        <w:trPr>
          <w:trHeight w:val="210"/>
        </w:trPr>
        <w:tc>
          <w:tcPr>
            <w:tcW w:w="608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1860" w:type="dxa"/>
            <w:vAlign w:val="bottom"/>
            <w:shd w:val="clear" w:color="auto" w:fill="D6F3E8"/>
          </w:tcPr>
          <w:p>
            <w:pPr>
              <w:jc w:val="right"/>
              <w:ind w:right="596"/>
              <w:spacing w:after="0"/>
              <w:rPr>
                <w:sz w:val="20"/>
                <w:szCs w:val="20"/>
                <w:color w:val="auto"/>
              </w:rPr>
            </w:pPr>
            <w:r>
              <w:rPr>
                <w:rFonts w:ascii="Arial" w:cs="Arial" w:eastAsia="Arial" w:hAnsi="Arial"/>
                <w:sz w:val="18"/>
                <w:szCs w:val="18"/>
                <w:color w:val="auto"/>
              </w:rPr>
              <w:t>2.5%</w:t>
            </w:r>
          </w:p>
        </w:tc>
        <w:tc>
          <w:tcPr>
            <w:tcW w:w="400" w:type="dxa"/>
            <w:vAlign w:val="bottom"/>
            <w:shd w:val="clear" w:color="auto" w:fill="D6F3E8"/>
          </w:tcPr>
          <w:p>
            <w:pPr>
              <w:spacing w:after="0"/>
              <w:rPr>
                <w:sz w:val="18"/>
                <w:szCs w:val="18"/>
                <w:color w:val="auto"/>
              </w:rPr>
            </w:pPr>
          </w:p>
        </w:tc>
        <w:tc>
          <w:tcPr>
            <w:tcW w:w="1840" w:type="dxa"/>
            <w:vAlign w:val="bottom"/>
            <w:shd w:val="clear" w:color="auto" w:fill="D6F3E8"/>
          </w:tcPr>
          <w:p>
            <w:pPr>
              <w:jc w:val="right"/>
              <w:ind w:right="60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D6F3E8"/>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Volatility</w:t>
            </w:r>
          </w:p>
        </w:tc>
        <w:tc>
          <w:tcPr>
            <w:tcW w:w="1860" w:type="dxa"/>
            <w:vAlign w:val="bottom"/>
          </w:tcPr>
          <w:p>
            <w:pPr>
              <w:jc w:val="right"/>
              <w:ind w:right="596"/>
              <w:spacing w:after="0"/>
              <w:rPr>
                <w:sz w:val="20"/>
                <w:szCs w:val="20"/>
                <w:color w:val="auto"/>
              </w:rPr>
            </w:pPr>
            <w:r>
              <w:rPr>
                <w:rFonts w:ascii="Arial" w:cs="Arial" w:eastAsia="Arial" w:hAnsi="Arial"/>
                <w:sz w:val="18"/>
                <w:szCs w:val="18"/>
                <w:color w:val="auto"/>
              </w:rPr>
              <w:t>31.4%</w:t>
            </w:r>
          </w:p>
        </w:tc>
        <w:tc>
          <w:tcPr>
            <w:tcW w:w="2240" w:type="dxa"/>
            <w:vAlign w:val="bottom"/>
            <w:gridSpan w:val="2"/>
          </w:tcPr>
          <w:p>
            <w:pPr>
              <w:jc w:val="right"/>
              <w:ind w:right="60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16"/>
        </w:trPr>
        <w:tc>
          <w:tcPr>
            <w:tcW w:w="6080" w:type="dxa"/>
            <w:vAlign w:val="bottom"/>
            <w:shd w:val="clear" w:color="auto" w:fill="D6F3E8"/>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shd w:val="clear" w:color="auto" w:fill="D6F3E8"/>
          </w:tcPr>
          <w:p>
            <w:pPr>
              <w:jc w:val="right"/>
              <w:ind w:right="596"/>
              <w:spacing w:after="0"/>
              <w:rPr>
                <w:sz w:val="20"/>
                <w:szCs w:val="20"/>
                <w:color w:val="auto"/>
              </w:rPr>
            </w:pPr>
            <w:r>
              <w:rPr>
                <w:rFonts w:ascii="Arial" w:cs="Arial" w:eastAsia="Arial" w:hAnsi="Arial"/>
                <w:sz w:val="18"/>
                <w:szCs w:val="18"/>
                <w:color w:val="auto"/>
              </w:rPr>
              <w:t>2.1%</w:t>
            </w:r>
          </w:p>
        </w:tc>
        <w:tc>
          <w:tcPr>
            <w:tcW w:w="2240" w:type="dxa"/>
            <w:vAlign w:val="bottom"/>
            <w:gridSpan w:val="2"/>
            <w:shd w:val="clear" w:color="auto" w:fill="D6F3E8"/>
          </w:tcPr>
          <w:p>
            <w:pPr>
              <w:jc w:val="right"/>
              <w:ind w:right="60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6F3E8"/>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860" w:type="dxa"/>
            <w:vAlign w:val="bottom"/>
          </w:tcPr>
          <w:p>
            <w:pPr>
              <w:jc w:val="right"/>
              <w:ind w:right="736"/>
              <w:spacing w:after="0"/>
              <w:rPr>
                <w:sz w:val="20"/>
                <w:szCs w:val="20"/>
                <w:color w:val="auto"/>
              </w:rPr>
            </w:pPr>
            <w:r>
              <w:rPr>
                <w:rFonts w:ascii="Arial" w:cs="Arial" w:eastAsia="Arial" w:hAnsi="Arial"/>
                <w:sz w:val="18"/>
                <w:szCs w:val="18"/>
                <w:color w:val="auto"/>
              </w:rPr>
              <w:t>4</w:t>
            </w:r>
          </w:p>
        </w:tc>
        <w:tc>
          <w:tcPr>
            <w:tcW w:w="2240" w:type="dxa"/>
            <w:vAlign w:val="bottom"/>
            <w:gridSpan w:val="2"/>
          </w:tcPr>
          <w:p>
            <w:pPr>
              <w:jc w:val="right"/>
              <w:ind w:right="74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represents the stock option activity for fiscal 2010: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c>
          <w:tcPr>
            <w:tcW w:w="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c>
          <w:tcPr>
            <w:tcW w:w="60" w:type="dxa"/>
            <w:vAlign w:val="bottom"/>
          </w:tcPr>
          <w:p>
            <w:pPr>
              <w:spacing w:after="0"/>
              <w:rPr>
                <w:sz w:val="12"/>
                <w:szCs w:val="12"/>
                <w:color w:val="auto"/>
              </w:rPr>
            </w:pPr>
          </w:p>
        </w:tc>
      </w:tr>
      <w:tr>
        <w:trPr>
          <w:trHeight w:val="161"/>
        </w:trPr>
        <w:tc>
          <w:tcPr>
            <w:tcW w:w="58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(In thousand, except share data)</w:t>
            </w: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Price</w:t>
            </w: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Exercisable</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Contractual Term</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61,332</w:t>
            </w:r>
          </w:p>
        </w:tc>
        <w:tc>
          <w:tcPr>
            <w:tcW w:w="24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15.43</w:t>
            </w:r>
          </w:p>
        </w:tc>
        <w:tc>
          <w:tcPr>
            <w:tcW w:w="220" w:type="dxa"/>
            <w:vAlign w:val="bottom"/>
            <w:shd w:val="clear" w:color="auto" w:fill="D6F3E8"/>
          </w:tcPr>
          <w:p>
            <w:pPr>
              <w:spacing w:after="0"/>
              <w:rPr>
                <w:sz w:val="18"/>
                <w:szCs w:val="18"/>
                <w:color w:val="auto"/>
              </w:rPr>
            </w:pPr>
          </w:p>
        </w:tc>
        <w:tc>
          <w:tcPr>
            <w:tcW w:w="1280" w:type="dxa"/>
            <w:vAlign w:val="bottom"/>
            <w:tcBorders>
              <w:top w:val="single" w:sz="8" w:color="auto"/>
            </w:tcBorders>
            <w:shd w:val="clear" w:color="auto" w:fill="D6F3E8"/>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D6F3E8"/>
          </w:tcPr>
          <w:p>
            <w:pPr>
              <w:spacing w:after="0"/>
              <w:rPr>
                <w:sz w:val="18"/>
                <w:szCs w:val="18"/>
                <w:color w:val="auto"/>
              </w:rPr>
            </w:pPr>
          </w:p>
        </w:tc>
        <w:tc>
          <w:tcPr>
            <w:tcW w:w="1500" w:type="dxa"/>
            <w:vAlign w:val="bottom"/>
            <w:tcBorders>
              <w:top w:val="single" w:sz="8" w:color="auto"/>
            </w:tcBorders>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70,665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19.90</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6F3E8"/>
          </w:tcPr>
          <w:p>
            <w:pPr>
              <w:ind w:left="11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Forfeited or expired</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Outstanding at end of period</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131,997</w:t>
            </w:r>
          </w:p>
        </w:tc>
        <w:tc>
          <w:tcPr>
            <w:tcW w:w="2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17.82</w:t>
            </w:r>
          </w:p>
        </w:tc>
        <w:tc>
          <w:tcPr>
            <w:tcW w:w="220" w:type="dxa"/>
            <w:vAlign w:val="bottom"/>
            <w:tcBorders>
              <w:bottom w:val="single" w:sz="8" w:color="D6F3E8"/>
            </w:tcBorders>
            <w:shd w:val="clear" w:color="auto" w:fill="D6F3E8"/>
          </w:tcPr>
          <w:p>
            <w:pPr>
              <w:spacing w:after="0"/>
              <w:rPr>
                <w:sz w:val="21"/>
                <w:szCs w:val="21"/>
                <w:color w:val="auto"/>
              </w:rPr>
            </w:pPr>
          </w:p>
        </w:tc>
        <w:tc>
          <w:tcPr>
            <w:tcW w:w="1280" w:type="dxa"/>
            <w:vAlign w:val="bottom"/>
            <w:tcBorders>
              <w:top w:val="single" w:sz="8" w:color="auto"/>
              <w:bottom w:val="single" w:sz="8" w:color="auto"/>
            </w:tcBorders>
            <w:shd w:val="clear" w:color="auto" w:fill="D6F3E8"/>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D6F3E8"/>
            </w:tcBorders>
            <w:shd w:val="clear" w:color="auto" w:fill="D6F3E8"/>
          </w:tcPr>
          <w:p>
            <w:pPr>
              <w:spacing w:after="0"/>
              <w:rPr>
                <w:sz w:val="21"/>
                <w:szCs w:val="21"/>
                <w:color w:val="auto"/>
              </w:rPr>
            </w:pPr>
          </w:p>
        </w:tc>
        <w:tc>
          <w:tcPr>
            <w:tcW w:w="15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D6F3E8"/>
            </w:tcBorders>
            <w:shd w:val="clear" w:color="auto" w:fill="D6F3E8"/>
          </w:tcPr>
          <w:p>
            <w:pPr>
              <w:spacing w:after="0"/>
              <w:rPr>
                <w:sz w:val="21"/>
                <w:szCs w:val="21"/>
                <w:color w:val="auto"/>
              </w:rPr>
            </w:pPr>
          </w:p>
        </w:tc>
        <w:tc>
          <w:tcPr>
            <w:tcW w:w="60" w:type="dxa"/>
            <w:vAlign w:val="bottom"/>
          </w:tcPr>
          <w:p>
            <w:pPr>
              <w:spacing w:after="0"/>
              <w:rPr>
                <w:sz w:val="21"/>
                <w:szCs w:val="21"/>
                <w:color w:val="auto"/>
              </w:rPr>
            </w:pPr>
          </w:p>
        </w:tc>
      </w:tr>
      <w:tr>
        <w:trPr>
          <w:trHeight w:val="411"/>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6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344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2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right="460"/>
        <w:spacing w:after="0" w:line="268" w:lineRule="auto"/>
        <w:rPr>
          <w:sz w:val="20"/>
          <w:szCs w:val="20"/>
          <w:color w:val="auto"/>
        </w:rPr>
      </w:pPr>
      <w:r>
        <w:rPr>
          <w:rFonts w:ascii="Arial" w:cs="Arial" w:eastAsia="Arial" w:hAnsi="Arial"/>
          <w:sz w:val="18"/>
          <w:szCs w:val="18"/>
          <w:color w:val="auto"/>
        </w:rPr>
        <w:t>Annual expense related to the value of stock options was $0.1 million for fiscal 2010 and fiscal 2009. The weighted-average grant date fair value of options was estimated to be $4.33 and $2.95 for options granted in fiscal 2010 and fiscal 2009, respectively.</w:t>
      </w:r>
    </w:p>
    <w:p>
      <w:pPr>
        <w:spacing w:after="0" w:line="118"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approved a performance-based equity compensation arrangement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26,500 shares in the aggregate.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05" w:lineRule="exact"/>
        <w:rPr>
          <w:sz w:val="20"/>
          <w:szCs w:val="20"/>
          <w:color w:val="auto"/>
        </w:rPr>
      </w:pPr>
    </w:p>
    <w:p>
      <w:pPr>
        <w:ind w:left="580" w:right="680"/>
        <w:spacing w:after="0" w:line="268" w:lineRule="auto"/>
        <w:rPr>
          <w:sz w:val="20"/>
          <w:szCs w:val="20"/>
          <w:color w:val="auto"/>
        </w:rPr>
      </w:pPr>
      <w:r>
        <w:rPr>
          <w:rFonts w:ascii="Arial" w:cs="Arial" w:eastAsia="Arial" w:hAnsi="Arial"/>
          <w:sz w:val="18"/>
          <w:szCs w:val="18"/>
          <w:color w:val="auto"/>
        </w:rPr>
        <w:t>On June 10, 2009 and May 13, 2008, we awarded performance-based restricted stock units to our executive officers under this arrangement. The following table represents the restricted stock activity for fiscal 2010:</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4200" w:type="dxa"/>
            <w:vAlign w:val="bottom"/>
          </w:tcPr>
          <w:p>
            <w:pPr>
              <w:spacing w:after="0"/>
              <w:rPr>
                <w:sz w:val="14"/>
                <w:szCs w:val="14"/>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Date Fair Value</w:t>
            </w:r>
          </w:p>
        </w:tc>
        <w:tc>
          <w:tcPr>
            <w:tcW w:w="8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r>
      <w:tr>
        <w:trPr>
          <w:trHeight w:val="216"/>
        </w:trPr>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beginning of period</w:t>
            </w:r>
          </w:p>
        </w:tc>
        <w:tc>
          <w:tcPr>
            <w:tcW w:w="13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19.90</w:t>
            </w:r>
          </w:p>
        </w:tc>
      </w:tr>
      <w:tr>
        <w:trPr>
          <w:trHeight w:val="216"/>
        </w:trPr>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4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Outstanding at end of period</w:t>
            </w: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23,000</w:t>
            </w:r>
          </w:p>
        </w:tc>
        <w:tc>
          <w:tcPr>
            <w:tcW w:w="22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Borders>
              <w:bottom w:val="single" w:sz="8" w:color="D6F3E8"/>
            </w:tcBorders>
            <w:shd w:val="clear" w:color="auto" w:fill="D6F3E8"/>
          </w:tcPr>
          <w:p>
            <w:pPr>
              <w:spacing w:after="0"/>
              <w:rPr>
                <w:sz w:val="21"/>
                <w:szCs w:val="21"/>
                <w:color w:val="auto"/>
              </w:rPr>
            </w:pPr>
          </w:p>
        </w:tc>
      </w:tr>
    </w:tbl>
    <w:p>
      <w:pPr>
        <w:spacing w:after="0" w:line="208"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We recorded compensation expense related to the shares issued for fiscal 2009 and the potential issuance of shares for fiscal 2010 of approximately $0.4 million for fiscal 2010 and $0.1 million for fiscal 2009. 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which was $19.90 per share on June 10, 2009.</w:t>
      </w:r>
    </w:p>
    <w:p>
      <w:pPr>
        <w:spacing w:after="0" w:line="197" w:lineRule="exact"/>
        <w:rPr>
          <w:sz w:val="20"/>
          <w:szCs w:val="20"/>
          <w:color w:val="auto"/>
        </w:rPr>
      </w:pPr>
    </w:p>
    <w:p>
      <w:pPr>
        <w:jc w:val="both"/>
        <w:ind w:left="580" w:right="60"/>
        <w:spacing w:after="0" w:line="306"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the Board of Directors receives restricted stock for their Board services. The restricted stock awards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fiscal 2010:</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4200" w:type="dxa"/>
            <w:vAlign w:val="bottom"/>
          </w:tcPr>
          <w:p>
            <w:pPr>
              <w:spacing w:after="0"/>
              <w:rPr>
                <w:sz w:val="14"/>
                <w:szCs w:val="14"/>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Date Fair Value</w:t>
            </w:r>
          </w:p>
        </w:tc>
        <w:tc>
          <w:tcPr>
            <w:tcW w:w="8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r>
      <w:tr>
        <w:trPr>
          <w:trHeight w:val="216"/>
        </w:trPr>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14.53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18.68</w:t>
            </w:r>
          </w:p>
        </w:tc>
      </w:tr>
      <w:tr>
        <w:trPr>
          <w:trHeight w:val="216"/>
        </w:trPr>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14.53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4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Outstanding at end of period</w:t>
            </w: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Annual expense related to the value of restricted stock was $0.1 million for fiscal 2010, fiscal 2009 and fiscal 2008.</w:t>
      </w:r>
    </w:p>
    <w:p>
      <w:pPr>
        <w:spacing w:after="0" w:line="158"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color w:val="auto"/>
        </w:rPr>
        <w:t>On December 15, 2006, we issued 45,257 shares of restricted stock to certain employees of Hawkins. The restricted stock awards were recorded as compensation expense over the requisite vesting period, which was one year of service, based on the market value on the date of grant. The grant date fair value on December 15, 2006 was $14.09. The shares became fully vested on December 15, 2007. Restricted stock expense related to this grant was $0.5 million for fiscal 2008.</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do not currently offer any other significant post-retirement or post-employment benefits.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3" w:lineRule="exact"/>
        <w:rPr>
          <w:rFonts w:ascii="Arial" w:cs="Arial" w:eastAsia="Arial" w:hAnsi="Arial"/>
          <w:sz w:val="18"/>
          <w:szCs w:val="18"/>
          <w:b w:val="1"/>
          <w:bCs w:val="1"/>
          <w:color w:val="auto"/>
        </w:rPr>
      </w:pPr>
    </w:p>
    <w:p>
      <w:pPr>
        <w:ind w:left="580" w:right="680"/>
        <w:spacing w:after="0" w:line="33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—We have various operating leases for trucks and land and buildings on which some of our operations are located. Future minimum 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due under operating leases with an initial term of one year or more at March 28, 2010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210"/>
        </w:trPr>
        <w:tc>
          <w:tcPr>
            <w:tcW w:w="3160" w:type="dxa"/>
            <w:vAlign w:val="bottom"/>
            <w:shd w:val="clear" w:color="auto" w:fill="D6F3E8"/>
          </w:tcPr>
          <w:p>
            <w:pPr>
              <w:spacing w:after="0"/>
              <w:rPr>
                <w:sz w:val="20"/>
                <w:szCs w:val="20"/>
                <w:color w:val="auto"/>
              </w:rPr>
            </w:pPr>
            <w:r>
              <w:rPr>
                <w:rFonts w:ascii="Arial" w:cs="Arial" w:eastAsia="Arial" w:hAnsi="Arial"/>
                <w:sz w:val="18"/>
                <w:szCs w:val="18"/>
                <w:color w:val="auto"/>
              </w:rPr>
              <w:t>Minimum lease payment</w:t>
            </w: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631</w:t>
            </w:r>
          </w:p>
        </w:tc>
        <w:tc>
          <w:tcPr>
            <w:tcW w:w="34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652</w:t>
            </w:r>
          </w:p>
        </w:tc>
        <w:tc>
          <w:tcPr>
            <w:tcW w:w="340" w:type="dxa"/>
            <w:vAlign w:val="bottom"/>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D6F3E8"/>
          </w:tcPr>
          <w:p>
            <w:pPr>
              <w:spacing w:after="0"/>
              <w:rPr>
                <w:sz w:val="18"/>
                <w:szCs w:val="18"/>
                <w:color w:val="auto"/>
              </w:rPr>
            </w:pPr>
          </w:p>
        </w:tc>
        <w:tc>
          <w:tcPr>
            <w:tcW w:w="3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w w:val="93"/>
              </w:rPr>
              <w:t>661</w:t>
            </w:r>
          </w:p>
        </w:tc>
        <w:tc>
          <w:tcPr>
            <w:tcW w:w="320" w:type="dxa"/>
            <w:vAlign w:val="bottom"/>
            <w:shd w:val="clear" w:color="auto" w:fill="D6F3E8"/>
          </w:tcPr>
          <w:p>
            <w:pPr>
              <w:spacing w:after="0"/>
              <w:rPr>
                <w:sz w:val="18"/>
                <w:szCs w:val="18"/>
                <w:color w:val="auto"/>
              </w:rPr>
            </w:pPr>
          </w:p>
        </w:tc>
        <w:tc>
          <w:tcPr>
            <w:tcW w:w="360" w:type="dxa"/>
            <w:vAlign w:val="bottom"/>
            <w:tcBorders>
              <w:top w:val="single" w:sz="8" w:color="auto"/>
            </w:tcBorders>
            <w:shd w:val="clear" w:color="auto" w:fill="D6F3E8"/>
          </w:tcPr>
          <w:p>
            <w:pPr>
              <w:jc w:val="right"/>
              <w:ind w:right="1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760" w:type="dxa"/>
            <w:vAlign w:val="bottom"/>
            <w:gridSpan w:val="7"/>
          </w:tcPr>
          <w:p>
            <w:pPr>
              <w:spacing w:after="0"/>
              <w:rPr>
                <w:sz w:val="20"/>
                <w:szCs w:val="20"/>
                <w:color w:val="auto"/>
              </w:rPr>
            </w:pPr>
            <w:r>
              <w:rPr>
                <w:rFonts w:ascii="Arial" w:cs="Arial" w:eastAsia="Arial" w:hAnsi="Arial"/>
                <w:sz w:val="18"/>
                <w:szCs w:val="18"/>
                <w:color w:val="auto"/>
                <w:w w:val="92"/>
              </w:rPr>
              <w:t>Total rental expense for the fiscal years 2010, 2009 and 2008 were as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D6F3E8"/>
          </w:tcPr>
          <w:p>
            <w:pPr>
              <w:spacing w:after="0"/>
              <w:rPr>
                <w:sz w:val="20"/>
                <w:szCs w:val="20"/>
                <w:color w:val="auto"/>
              </w:rPr>
            </w:pPr>
            <w:r>
              <w:rPr>
                <w:rFonts w:ascii="Arial" w:cs="Arial" w:eastAsia="Arial" w:hAnsi="Arial"/>
                <w:sz w:val="18"/>
                <w:szCs w:val="18"/>
                <w:color w:val="auto"/>
              </w:rPr>
              <w:t>Minimum rentals</w:t>
            </w:r>
          </w:p>
        </w:tc>
        <w:tc>
          <w:tcPr>
            <w:tcW w:w="22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60" w:type="dxa"/>
            <w:vAlign w:val="bottom"/>
            <w:gridSpan w:val="2"/>
            <w:shd w:val="clear" w:color="auto" w:fill="D6F3E8"/>
          </w:tcPr>
          <w:p>
            <w:pPr>
              <w:jc w:val="right"/>
              <w:ind w:right="43"/>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577</w:t>
            </w:r>
          </w:p>
        </w:tc>
        <w:tc>
          <w:tcPr>
            <w:tcW w:w="62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Contingent rentals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rental expense</w:t>
            </w:r>
          </w:p>
        </w:tc>
        <w:tc>
          <w:tcPr>
            <w:tcW w:w="220" w:type="dxa"/>
            <w:vAlign w:val="bottom"/>
            <w:tcBorders>
              <w:bottom w:val="single" w:sz="8" w:color="D6F3E8"/>
            </w:tcBorders>
            <w:shd w:val="clear" w:color="auto" w:fill="D6F3E8"/>
          </w:tcPr>
          <w:p>
            <w:pPr>
              <w:spacing w:after="0"/>
              <w:rPr>
                <w:sz w:val="21"/>
                <w:szCs w:val="21"/>
                <w:color w:val="auto"/>
              </w:rPr>
            </w:pPr>
          </w:p>
        </w:tc>
        <w:tc>
          <w:tcPr>
            <w:tcW w:w="740" w:type="dxa"/>
            <w:vAlign w:val="bottom"/>
            <w:tcBorders>
              <w:bottom w:val="single" w:sz="8" w:color="D6F3E8"/>
            </w:tcBorders>
            <w:shd w:val="clear" w:color="auto" w:fill="D6F3E8"/>
          </w:tcPr>
          <w:p>
            <w:pPr>
              <w:spacing w:after="0"/>
              <w:rPr>
                <w:sz w:val="21"/>
                <w:szCs w:val="21"/>
                <w:color w:val="auto"/>
              </w:rPr>
            </w:pPr>
          </w:p>
        </w:tc>
        <w:tc>
          <w:tcPr>
            <w:tcW w:w="34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bottom w:val="single" w:sz="8" w:color="D6F3E8"/>
            </w:tcBorders>
            <w:shd w:val="clear" w:color="auto" w:fill="D6F3E8"/>
          </w:tcPr>
          <w:p>
            <w:pPr>
              <w:spacing w:after="0"/>
              <w:rPr>
                <w:sz w:val="21"/>
                <w:szCs w:val="21"/>
                <w:color w:val="auto"/>
              </w:rPr>
            </w:pPr>
          </w:p>
        </w:tc>
        <w:tc>
          <w:tcPr>
            <w:tcW w:w="760" w:type="dxa"/>
            <w:vAlign w:val="bottom"/>
            <w:tcBorders>
              <w:bottom w:val="single" w:sz="8" w:color="D6F3E8"/>
            </w:tcBorders>
            <w:shd w:val="clear" w:color="auto" w:fill="D6F3E8"/>
          </w:tcPr>
          <w:p>
            <w:pPr>
              <w:spacing w:after="0"/>
              <w:rPr>
                <w:sz w:val="21"/>
                <w:szCs w:val="21"/>
                <w:color w:val="auto"/>
              </w:rPr>
            </w:pPr>
          </w:p>
        </w:tc>
        <w:tc>
          <w:tcPr>
            <w:tcW w:w="32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bottom w:val="single" w:sz="8" w:color="D6F3E8"/>
            </w:tcBorders>
            <w:shd w:val="clear" w:color="auto" w:fill="D6F3E8"/>
          </w:tcPr>
          <w:p>
            <w:pPr>
              <w:spacing w:after="0"/>
              <w:rPr>
                <w:sz w:val="21"/>
                <w:szCs w:val="21"/>
                <w:color w:val="auto"/>
              </w:rPr>
            </w:pPr>
          </w:p>
        </w:tc>
        <w:tc>
          <w:tcPr>
            <w:tcW w:w="56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spacing w:after="0"/>
              <w:rPr>
                <w:sz w:val="21"/>
                <w:szCs w:val="21"/>
                <w:color w:val="auto"/>
              </w:rPr>
            </w:pPr>
          </w:p>
        </w:tc>
        <w:tc>
          <w:tcPr>
            <w:tcW w:w="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D6F3E8"/>
            </w:tcBorders>
            <w:shd w:val="clear" w:color="auto" w:fill="D6F3E8"/>
          </w:tcPr>
          <w:p>
            <w:pPr>
              <w:spacing w:after="0"/>
              <w:rPr>
                <w:sz w:val="21"/>
                <w:szCs w:val="21"/>
                <w:color w:val="auto"/>
              </w:rPr>
            </w:pPr>
          </w:p>
        </w:tc>
        <w:tc>
          <w:tcPr>
            <w:tcW w:w="400" w:type="dxa"/>
            <w:vAlign w:val="bottom"/>
            <w:tcBorders>
              <w:top w:val="single" w:sz="8" w:color="auto"/>
              <w:bottom w:val="single" w:sz="8" w:color="auto"/>
            </w:tcBorders>
            <w:gridSpan w:val="2"/>
            <w:shd w:val="clear" w:color="auto" w:fill="D6F3E8"/>
          </w:tcPr>
          <w:p>
            <w:pPr>
              <w:jc w:val="right"/>
              <w:ind w:right="32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D6F3E8"/>
          </w:tcPr>
          <w:p>
            <w:pPr>
              <w:spacing w:after="0"/>
              <w:rPr>
                <w:sz w:val="21"/>
                <w:szCs w:val="21"/>
                <w:color w:val="auto"/>
              </w:rPr>
            </w:pPr>
          </w:p>
        </w:tc>
        <w:tc>
          <w:tcPr>
            <w:tcW w:w="4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bottom w:val="single" w:sz="8" w:color="D6F3E8"/>
            </w:tcBorders>
            <w:shd w:val="clear" w:color="auto" w:fill="D6F3E8"/>
          </w:tcPr>
          <w:p>
            <w:pPr>
              <w:spacing w:after="0"/>
              <w:rPr>
                <w:sz w:val="21"/>
                <w:szCs w:val="21"/>
                <w:color w:val="auto"/>
              </w:rPr>
            </w:pPr>
          </w:p>
        </w:tc>
        <w:tc>
          <w:tcPr>
            <w:tcW w:w="80" w:type="dxa"/>
            <w:vAlign w:val="bottom"/>
            <w:tcBorders>
              <w:bottom w:val="single" w:sz="8" w:color="D6F3E8"/>
            </w:tcBorders>
            <w:shd w:val="clear" w:color="auto" w:fill="D6F3E8"/>
          </w:tcPr>
          <w:p>
            <w:pPr>
              <w:spacing w:after="0"/>
              <w:rPr>
                <w:sz w:val="21"/>
                <w:szCs w:val="21"/>
                <w:color w:val="auto"/>
              </w:rPr>
            </w:pPr>
          </w:p>
        </w:tc>
        <w:tc>
          <w:tcPr>
            <w:tcW w:w="260" w:type="dxa"/>
            <w:vAlign w:val="bottom"/>
            <w:tcBorders>
              <w:top w:val="single" w:sz="8" w:color="auto"/>
              <w:bottom w:val="single" w:sz="8" w:color="auto"/>
            </w:tcBorders>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D6F3E8"/>
          </w:tcPr>
          <w:p>
            <w:pPr>
              <w:spacing w:after="0"/>
              <w:rPr>
                <w:sz w:val="21"/>
                <w:szCs w:val="21"/>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—We are a party from time to time in various legal proceedings arising in the ordinary course of our business. None of the pending proceedings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expected to have a material effect on us.</w:t>
      </w:r>
    </w:p>
    <w:p>
      <w:pPr>
        <w:spacing w:after="0" w:line="118" w:lineRule="exact"/>
        <w:rPr>
          <w:sz w:val="20"/>
          <w:szCs w:val="20"/>
          <w:color w:val="auto"/>
        </w:rPr>
      </w:pPr>
    </w:p>
    <w:p>
      <w:pPr>
        <w:ind w:left="580" w:right="60"/>
        <w:spacing w:after="0" w:line="287" w:lineRule="auto"/>
        <w:rPr>
          <w:sz w:val="20"/>
          <w:szCs w:val="20"/>
          <w:color w:val="auto"/>
        </w:rPr>
      </w:pPr>
      <w:r>
        <w:rPr>
          <w:rFonts w:ascii="Arial" w:cs="Arial" w:eastAsia="Arial" w:hAnsi="Arial"/>
          <w:sz w:val="16"/>
          <w:szCs w:val="16"/>
          <w:b w:val="1"/>
          <w:bCs w:val="1"/>
          <w:i w:val="1"/>
          <w:iCs w:val="1"/>
          <w:color w:val="auto"/>
        </w:rPr>
        <w:t>Asset Retirement Obligations</w:t>
      </w:r>
      <w:r>
        <w:rPr>
          <w:rFonts w:ascii="Arial" w:cs="Arial" w:eastAsia="Arial" w:hAnsi="Arial"/>
          <w:sz w:val="16"/>
          <w:szCs w:val="16"/>
          <w:color w:val="auto"/>
        </w:rPr>
        <w:t>—We have two leases of land, and at the end of the lease term (currently 2018 if the leases are not renewed), we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amount of time to remove the property and buildings. At the end of the specified amount of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 and currently intend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ASC 410-20, “Asset Retirement and Environmental Obligations,” we have not recorded an asset retirement obligation as of March 28, 2010. We will continue to monitor the factors surrounding the requirement to record an asset retirement obligation and will recognize the fair value of a liability in the period in which it is incurred and a reasonable estimate can be made.</w:t>
      </w:r>
    </w:p>
    <w:p>
      <w:pPr>
        <w:spacing w:after="0" w:line="103"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provisions for income taxes for fiscal years 2010, 2009 and 2008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280" w:type="dxa"/>
            <w:vAlign w:val="bottom"/>
            <w:vMerge w:val="continue"/>
          </w:tcPr>
          <w:p>
            <w:pPr>
              <w:spacing w:after="0"/>
              <w:rPr>
                <w:sz w:val="12"/>
                <w:szCs w:val="12"/>
                <w:color w:val="auto"/>
              </w:rPr>
            </w:pP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shd w:val="clear" w:color="auto" w:fill="D6F3E8"/>
          </w:tcPr>
          <w:p>
            <w:pPr>
              <w:spacing w:after="0"/>
              <w:rPr>
                <w:sz w:val="20"/>
                <w:szCs w:val="20"/>
                <w:color w:val="auto"/>
              </w:rPr>
            </w:pPr>
            <w:r>
              <w:rPr>
                <w:rFonts w:ascii="Arial" w:cs="Arial" w:eastAsia="Arial" w:hAnsi="Arial"/>
                <w:sz w:val="18"/>
                <w:szCs w:val="18"/>
                <w:color w:val="auto"/>
              </w:rPr>
              <w:t>Federal - current</w:t>
            </w:r>
          </w:p>
        </w:tc>
        <w:tc>
          <w:tcPr>
            <w:tcW w:w="34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6,601</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8,874</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State - current</w:t>
            </w: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1,634</w:t>
            </w: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2,331</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shd w:val="clear" w:color="auto" w:fill="D6F3E8"/>
          </w:tcPr>
          <w:p>
            <w:pPr>
              <w:spacing w:after="0"/>
              <w:rPr>
                <w:sz w:val="20"/>
                <w:szCs w:val="20"/>
                <w:color w:val="auto"/>
              </w:rPr>
            </w:pPr>
            <w:r>
              <w:rPr>
                <w:rFonts w:ascii="Arial" w:cs="Arial" w:eastAsia="Arial" w:hAnsi="Arial"/>
                <w:sz w:val="18"/>
                <w:szCs w:val="18"/>
                <w:color w:val="auto"/>
              </w:rPr>
              <w:t>Deferred</w:t>
            </w:r>
          </w:p>
        </w:tc>
        <w:tc>
          <w:tcPr>
            <w:tcW w:w="318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7,152</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3,046</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shd w:val="clear" w:color="auto" w:fill="D6F3E8"/>
          </w:tcPr>
          <w:p>
            <w:pPr>
              <w:spacing w:after="0" w:line="20" w:lineRule="exact"/>
              <w:rPr>
                <w:sz w:val="1"/>
                <w:szCs w:val="1"/>
                <w:color w:val="auto"/>
              </w:rPr>
            </w:pPr>
          </w:p>
        </w:tc>
        <w:tc>
          <w:tcPr>
            <w:tcW w:w="318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280" w:type="dxa"/>
            <w:vAlign w:val="bottom"/>
          </w:tcPr>
          <w:p>
            <w:pPr>
              <w:ind w:left="460"/>
              <w:spacing w:after="0"/>
              <w:rPr>
                <w:sz w:val="20"/>
                <w:szCs w:val="20"/>
                <w:color w:val="auto"/>
              </w:rPr>
            </w:pPr>
            <w:r>
              <w:rPr>
                <w:rFonts w:ascii="Arial" w:cs="Arial" w:eastAsia="Arial" w:hAnsi="Arial"/>
                <w:sz w:val="18"/>
                <w:szCs w:val="18"/>
                <w:color w:val="auto"/>
              </w:rPr>
              <w:t>Total provision</w:t>
            </w:r>
          </w:p>
        </w:tc>
        <w:tc>
          <w:tcPr>
            <w:tcW w:w="3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15,387</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14,251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80" w:type="dxa"/>
            <w:vAlign w:val="bottom"/>
            <w:vMerge w:val="restart"/>
          </w:tcPr>
          <w:p>
            <w:pPr>
              <w:jc w:val="right"/>
              <w:ind w:right="1152"/>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3280" w:type="dxa"/>
            <w:vAlign w:val="bottom"/>
            <w:tcBorders>
              <w:bottom w:val="single" w:sz="8" w:color="808080"/>
            </w:tcBorders>
          </w:tcPr>
          <w:p>
            <w:pPr>
              <w:spacing w:after="0"/>
              <w:rPr>
                <w:sz w:val="21"/>
                <w:szCs w:val="21"/>
                <w:color w:val="auto"/>
              </w:rPr>
            </w:pPr>
          </w:p>
        </w:tc>
        <w:tc>
          <w:tcPr>
            <w:tcW w:w="318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right="300"/>
        <w:spacing w:after="0" w:line="268"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Statutory federal income tax</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13,702</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13,212</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1,908</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Tax-exempt income</w:t>
            </w: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Domestic production deduction</w:t>
            </w: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 -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15,387</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14,251</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tax effects of items comprising our net deferred tax asset (liability) as of March 28, 2010 and March 29, 2009 are as follows: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040" w:type="dxa"/>
            <w:vAlign w:val="bottom"/>
            <w:shd w:val="clear" w:color="auto" w:fill="D6F3E8"/>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8040" w:type="dxa"/>
            <w:vAlign w:val="bottom"/>
          </w:tcPr>
          <w:p>
            <w:pPr>
              <w:ind w:left="460"/>
              <w:spacing w:after="0"/>
              <w:rPr>
                <w:sz w:val="20"/>
                <w:szCs w:val="20"/>
                <w:color w:val="auto"/>
              </w:rPr>
            </w:pPr>
            <w:r>
              <w:rPr>
                <w:rFonts w:ascii="Arial" w:cs="Arial" w:eastAsia="Arial" w:hAnsi="Arial"/>
                <w:sz w:val="18"/>
                <w:szCs w:val="18"/>
                <w:color w:val="auto"/>
              </w:rPr>
              <w:t>Trade receivables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r>
      <w:tr>
        <w:trPr>
          <w:trHeight w:val="216"/>
        </w:trPr>
        <w:tc>
          <w:tcPr>
            <w:tcW w:w="80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457</w:t>
            </w:r>
          </w:p>
        </w:tc>
      </w:tr>
      <w:tr>
        <w:trPr>
          <w:trHeight w:val="216"/>
        </w:trPr>
        <w:tc>
          <w:tcPr>
            <w:tcW w:w="8040" w:type="dxa"/>
            <w:vAlign w:val="bottom"/>
          </w:tcPr>
          <w:p>
            <w:pPr>
              <w:ind w:left="460"/>
              <w:spacing w:after="0"/>
              <w:rPr>
                <w:sz w:val="20"/>
                <w:szCs w:val="20"/>
                <w:color w:val="auto"/>
              </w:rPr>
            </w:pPr>
            <w:r>
              <w:rPr>
                <w:rFonts w:ascii="Arial" w:cs="Arial" w:eastAsia="Arial" w:hAnsi="Arial"/>
                <w:sz w:val="18"/>
                <w:szCs w:val="18"/>
                <w:color w:val="auto"/>
              </w:rPr>
              <w:t>Accruals</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r>
      <w:tr>
        <w:trPr>
          <w:trHeight w:val="216"/>
        </w:trPr>
        <w:tc>
          <w:tcPr>
            <w:tcW w:w="80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39</w:t>
            </w:r>
          </w:p>
        </w:tc>
      </w:tr>
      <w:tr>
        <w:trPr>
          <w:trHeight w:val="20"/>
        </w:trPr>
        <w:tc>
          <w:tcPr>
            <w:tcW w:w="80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1,328</w:t>
            </w:r>
          </w:p>
        </w:tc>
      </w:tr>
      <w:tr>
        <w:trPr>
          <w:trHeight w:val="20"/>
        </w:trPr>
        <w:tc>
          <w:tcPr>
            <w:tcW w:w="8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8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8040" w:type="dxa"/>
            <w:vAlign w:val="bottom"/>
            <w:shd w:val="clear" w:color="auto" w:fill="D6F3E8"/>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80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(3,696)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Prepaid</w:t>
            </w:r>
          </w:p>
        </w:tc>
        <w:tc>
          <w:tcPr>
            <w:tcW w:w="28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(343)</w:t>
            </w:r>
          </w:p>
        </w:tc>
      </w:tr>
      <w:tr>
        <w:trPr>
          <w:trHeight w:val="216"/>
        </w:trPr>
        <w:tc>
          <w:tcPr>
            <w:tcW w:w="8040" w:type="dxa"/>
            <w:vAlign w:val="bottom"/>
          </w:tcPr>
          <w:p>
            <w:pPr>
              <w:ind w:left="460"/>
              <w:spacing w:after="0"/>
              <w:rPr>
                <w:sz w:val="20"/>
                <w:szCs w:val="20"/>
                <w:color w:val="auto"/>
              </w:rPr>
            </w:pPr>
            <w:r>
              <w:rPr>
                <w:rFonts w:ascii="Arial" w:cs="Arial" w:eastAsia="Arial" w:hAnsi="Arial"/>
                <w:sz w:val="18"/>
                <w:szCs w:val="18"/>
                <w:color w:val="auto"/>
              </w:rPr>
              <w:t>Excess of tax over book depreciation</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(7,743)</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(4,340)</w:t>
            </w:r>
          </w:p>
        </w:tc>
      </w:tr>
      <w:tr>
        <w:trPr>
          <w:trHeight w:val="216"/>
        </w:trPr>
        <w:tc>
          <w:tcPr>
            <w:tcW w:w="80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(82)</w:t>
            </w:r>
          </w:p>
        </w:tc>
      </w:tr>
      <w:tr>
        <w:trPr>
          <w:trHeight w:val="20"/>
        </w:trPr>
        <w:tc>
          <w:tcPr>
            <w:tcW w:w="804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(11,930)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(4,765)</w:t>
            </w:r>
          </w:p>
        </w:tc>
      </w:tr>
      <w:tr>
        <w:trPr>
          <w:trHeight w:val="20"/>
        </w:trPr>
        <w:tc>
          <w:tcPr>
            <w:tcW w:w="8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8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r>
      <w:tr>
        <w:trPr>
          <w:trHeight w:val="236"/>
        </w:trPr>
        <w:tc>
          <w:tcPr>
            <w:tcW w:w="8040" w:type="dxa"/>
            <w:vAlign w:val="bottom"/>
            <w:shd w:val="clear" w:color="auto" w:fill="D6F3E8"/>
          </w:tcPr>
          <w:p>
            <w:pPr>
              <w:spacing w:after="0"/>
              <w:rPr>
                <w:sz w:val="20"/>
                <w:szCs w:val="20"/>
                <w:color w:val="auto"/>
              </w:rPr>
            </w:pPr>
            <w:r>
              <w:rPr>
                <w:rFonts w:ascii="Arial" w:cs="Arial" w:eastAsia="Arial" w:hAnsi="Arial"/>
                <w:sz w:val="18"/>
                <w:szCs w:val="18"/>
                <w:color w:val="auto"/>
              </w:rPr>
              <w:t>Net deferred tax liabilities</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(10,918)</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(3,437)</w:t>
            </w:r>
          </w:p>
        </w:tc>
      </w:tr>
      <w:tr>
        <w:trPr>
          <w:trHeight w:val="20"/>
        </w:trPr>
        <w:tc>
          <w:tcPr>
            <w:tcW w:w="8040" w:type="dxa"/>
            <w:vAlign w:val="bottom"/>
            <w:tcBorders>
              <w:top w:val="single" w:sz="8" w:color="D6F3E8"/>
            </w:tcBorders>
            <w:shd w:val="clear" w:color="auto" w:fill="D6F3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bl>
    <w:p>
      <w:pPr>
        <w:spacing w:after="0" w:line="248"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As of March 28, 2010, the Company has determined that it is more likely than not that the deferred tax assets at March 28, 2010 will be realized either through future taxable income or reversals of taxable temporary differences.</w:t>
      </w:r>
    </w:p>
    <w:p>
      <w:pPr>
        <w:spacing w:after="0" w:line="118" w:lineRule="exact"/>
        <w:rPr>
          <w:sz w:val="20"/>
          <w:szCs w:val="20"/>
          <w:color w:val="auto"/>
        </w:rPr>
      </w:pPr>
    </w:p>
    <w:p>
      <w:pPr>
        <w:ind w:left="580" w:right="420"/>
        <w:spacing w:after="0" w:line="268" w:lineRule="auto"/>
        <w:rPr>
          <w:sz w:val="20"/>
          <w:szCs w:val="20"/>
          <w:color w:val="auto"/>
        </w:rPr>
      </w:pPr>
      <w:r>
        <w:rPr>
          <w:rFonts w:ascii="Arial" w:cs="Arial" w:eastAsia="Arial" w:hAnsi="Arial"/>
          <w:sz w:val="18"/>
          <w:szCs w:val="18"/>
          <w:color w:val="auto"/>
        </w:rPr>
        <w:t>As of March 28, 2010 and March 29, 2009, there were no unrecognized tax benefits. Accordingly, a tabular reconciliation from beginning to ending periods is not provided.</w:t>
      </w:r>
    </w:p>
    <w:p>
      <w:pPr>
        <w:spacing w:after="0" w:line="118" w:lineRule="exact"/>
        <w:rPr>
          <w:sz w:val="20"/>
          <w:szCs w:val="20"/>
          <w:color w:val="auto"/>
        </w:rPr>
      </w:pPr>
    </w:p>
    <w:p>
      <w:pPr>
        <w:ind w:left="580" w:right="620"/>
        <w:spacing w:after="0" w:line="332" w:lineRule="auto"/>
        <w:rPr>
          <w:sz w:val="20"/>
          <w:szCs w:val="20"/>
          <w:color w:val="auto"/>
        </w:rPr>
      </w:pPr>
      <w:r>
        <w:rPr>
          <w:rFonts w:ascii="Arial" w:cs="Arial" w:eastAsia="Arial" w:hAnsi="Arial"/>
          <w:sz w:val="16"/>
          <w:szCs w:val="16"/>
          <w:color w:val="auto"/>
        </w:rPr>
        <w:t>We are subject to U.S. federal income tax as well as income tax of multiple state jurisdictions. The tax years beginning with 2006 remain open to examination by the Internal Revenue Service, and with few exceptions, state and local income tax jurisdictions.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63" w:lineRule="exact"/>
        <w:rPr>
          <w:rFonts w:ascii="Arial" w:cs="Arial" w:eastAsia="Arial" w:hAnsi="Arial"/>
          <w:sz w:val="18"/>
          <w:szCs w:val="18"/>
          <w:b w:val="1"/>
          <w:bCs w:val="1"/>
          <w:color w:val="auto"/>
        </w:rPr>
      </w:pPr>
    </w:p>
    <w:p>
      <w:pPr>
        <w:ind w:left="580" w:right="4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 to 10% or more of our revenue. No single customer represents 10% or more of either of our segments’ sales. Sales are primarily within the United States and all assets are located within the United States.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Water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632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Industrial</w:t>
            </w:r>
          </w:p>
        </w:tc>
        <w:tc>
          <w:tcPr>
            <w:tcW w:w="2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Treatment</w:t>
            </w:r>
          </w:p>
        </w:tc>
        <w:tc>
          <w:tcPr>
            <w:tcW w:w="3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142"/>
        </w:trPr>
        <w:tc>
          <w:tcPr>
            <w:tcW w:w="6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20" w:type="dxa"/>
            <w:vAlign w:val="bottom"/>
            <w:shd w:val="clear" w:color="auto" w:fill="D6F3E8"/>
          </w:tcPr>
          <w:p>
            <w:pPr>
              <w:spacing w:after="0"/>
              <w:rPr>
                <w:sz w:val="20"/>
                <w:szCs w:val="20"/>
                <w:color w:val="auto"/>
              </w:rPr>
            </w:pPr>
            <w:r>
              <w:rPr>
                <w:rFonts w:ascii="Arial" w:cs="Arial" w:eastAsia="Arial" w:hAnsi="Arial"/>
                <w:sz w:val="18"/>
                <w:szCs w:val="18"/>
                <w:color w:val="auto"/>
              </w:rPr>
              <w:t>Fiscal Year Ended March 28, 2010:</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6320" w:type="dxa"/>
            <w:vAlign w:val="bottom"/>
          </w:tcPr>
          <w:p>
            <w:pPr>
              <w:ind w:left="300"/>
              <w:spacing w:after="0"/>
              <w:rPr>
                <w:sz w:val="20"/>
                <w:szCs w:val="20"/>
                <w:color w:val="auto"/>
              </w:rPr>
            </w:pPr>
            <w:r>
              <w:rPr>
                <w:rFonts w:ascii="Arial" w:cs="Arial" w:eastAsia="Arial" w:hAnsi="Arial"/>
                <w:sz w:val="18"/>
                <w:szCs w:val="18"/>
                <w:color w:val="auto"/>
              </w:rPr>
              <w:t>Sales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174,901</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82,198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257,099</w:t>
            </w:r>
          </w:p>
        </w:tc>
      </w:tr>
      <w:tr>
        <w:trPr>
          <w:trHeight w:val="216"/>
        </w:trPr>
        <w:tc>
          <w:tcPr>
            <w:tcW w:w="6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37,288</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27,157</w:t>
            </w:r>
          </w:p>
        </w:tc>
        <w:tc>
          <w:tcPr>
            <w:tcW w:w="30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64,445</w:t>
            </w:r>
          </w:p>
        </w:tc>
      </w:tr>
      <w:tr>
        <w:trPr>
          <w:trHeight w:val="216"/>
        </w:trPr>
        <w:tc>
          <w:tcPr>
            <w:tcW w:w="632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17,903</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38,840</w:t>
            </w: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32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256"/>
        </w:trPr>
        <w:tc>
          <w:tcPr>
            <w:tcW w:w="6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Identifiable assets*</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79,602</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19,152</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98,754</w:t>
            </w:r>
          </w:p>
        </w:tc>
      </w:tr>
      <w:tr>
        <w:trPr>
          <w:trHeight w:val="344"/>
        </w:trPr>
        <w:tc>
          <w:tcPr>
            <w:tcW w:w="632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Fiscal Year Ended March 29, 2009:</w:t>
            </w:r>
          </w:p>
        </w:tc>
        <w:tc>
          <w:tcPr>
            <w:tcW w:w="220" w:type="dxa"/>
            <w:vAlign w:val="bottom"/>
            <w:tcBorders>
              <w:top w:val="single" w:sz="8" w:color="D6F3E8"/>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D6F3E8"/>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D6F3E8"/>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r>
      <w:tr>
        <w:trPr>
          <w:trHeight w:val="217"/>
        </w:trPr>
        <w:tc>
          <w:tcPr>
            <w:tcW w:w="6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Sales</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201,596</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82,760</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284,356</w:t>
            </w:r>
          </w:p>
        </w:tc>
      </w:tr>
      <w:tr>
        <w:trPr>
          <w:trHeight w:val="216"/>
        </w:trPr>
        <w:tc>
          <w:tcPr>
            <w:tcW w:w="632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20,954</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62,420</w:t>
            </w:r>
          </w:p>
        </w:tc>
      </w:tr>
      <w:tr>
        <w:trPr>
          <w:trHeight w:val="236"/>
        </w:trPr>
        <w:tc>
          <w:tcPr>
            <w:tcW w:w="6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25,520</w:t>
            </w:r>
          </w:p>
        </w:tc>
        <w:tc>
          <w:tcPr>
            <w:tcW w:w="2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11,817</w:t>
            </w:r>
          </w:p>
        </w:tc>
        <w:tc>
          <w:tcPr>
            <w:tcW w:w="300" w:type="dxa"/>
            <w:vAlign w:val="bottom"/>
            <w:shd w:val="clear" w:color="auto" w:fill="D6F3E8"/>
          </w:tcPr>
          <w:p>
            <w:pPr>
              <w:spacing w:after="0"/>
              <w:rPr>
                <w:sz w:val="20"/>
                <w:szCs w:val="20"/>
                <w:color w:val="auto"/>
              </w:rPr>
            </w:pP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37,337</w:t>
            </w:r>
          </w:p>
        </w:tc>
      </w:tr>
      <w:tr>
        <w:trPr>
          <w:trHeight w:val="20"/>
        </w:trPr>
        <w:tc>
          <w:tcPr>
            <w:tcW w:w="632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r>
        <w:trPr>
          <w:trHeight w:val="344"/>
        </w:trPr>
        <w:tc>
          <w:tcPr>
            <w:tcW w:w="6320" w:type="dxa"/>
            <w:vAlign w:val="bottom"/>
          </w:tcPr>
          <w:p>
            <w:pPr>
              <w:ind w:left="300"/>
              <w:spacing w:after="0"/>
              <w:rPr>
                <w:sz w:val="20"/>
                <w:szCs w:val="20"/>
                <w:color w:val="auto"/>
              </w:rPr>
            </w:pPr>
            <w:r>
              <w:rPr>
                <w:rFonts w:ascii="Arial" w:cs="Arial" w:eastAsia="Arial" w:hAnsi="Arial"/>
                <w:sz w:val="18"/>
                <w:szCs w:val="18"/>
                <w:color w:val="auto"/>
              </w:rPr>
              <w:t>Identifiable assets*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78,083</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20,896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98,979</w:t>
            </w: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0"/>
        </w:trPr>
        <w:tc>
          <w:tcPr>
            <w:tcW w:w="6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320" w:type="dxa"/>
            <w:vAlign w:val="bottom"/>
            <w:shd w:val="clear" w:color="auto" w:fill="D6F3E8"/>
          </w:tcPr>
          <w:p>
            <w:pPr>
              <w:spacing w:after="0"/>
              <w:rPr>
                <w:sz w:val="20"/>
                <w:szCs w:val="20"/>
                <w:color w:val="auto"/>
              </w:rPr>
            </w:pPr>
            <w:r>
              <w:rPr>
                <w:rFonts w:ascii="Arial" w:cs="Arial" w:eastAsia="Arial" w:hAnsi="Arial"/>
                <w:sz w:val="18"/>
                <w:szCs w:val="18"/>
                <w:color w:val="auto"/>
              </w:rPr>
              <w:t>Fiscal Year Ended March 30, 2008:</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6320" w:type="dxa"/>
            <w:vAlign w:val="bottom"/>
          </w:tcPr>
          <w:p>
            <w:pPr>
              <w:ind w:left="300"/>
              <w:spacing w:after="0"/>
              <w:rPr>
                <w:sz w:val="20"/>
                <w:szCs w:val="20"/>
                <w:color w:val="auto"/>
              </w:rPr>
            </w:pPr>
            <w:r>
              <w:rPr>
                <w:rFonts w:ascii="Arial" w:cs="Arial" w:eastAsia="Arial" w:hAnsi="Arial"/>
                <w:sz w:val="18"/>
                <w:szCs w:val="18"/>
                <w:color w:val="auto"/>
              </w:rPr>
              <w:t>Sales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124,597</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62,067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186,664</w:t>
            </w:r>
          </w:p>
        </w:tc>
      </w:tr>
      <w:tr>
        <w:trPr>
          <w:trHeight w:val="216"/>
        </w:trPr>
        <w:tc>
          <w:tcPr>
            <w:tcW w:w="6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19,796</w:t>
            </w:r>
          </w:p>
        </w:tc>
        <w:tc>
          <w:tcPr>
            <w:tcW w:w="2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18,732</w:t>
            </w:r>
          </w:p>
        </w:tc>
        <w:tc>
          <w:tcPr>
            <w:tcW w:w="30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38,528</w:t>
            </w:r>
          </w:p>
        </w:tc>
      </w:tr>
      <w:tr>
        <w:trPr>
          <w:trHeight w:val="216"/>
        </w:trPr>
        <w:tc>
          <w:tcPr>
            <w:tcW w:w="632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9,686</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12,004</w:t>
            </w: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32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236"/>
        </w:trPr>
        <w:tc>
          <w:tcPr>
            <w:tcW w:w="63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Identifiable assets*</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56,199</w:t>
            </w:r>
          </w:p>
        </w:tc>
        <w:tc>
          <w:tcPr>
            <w:tcW w:w="220" w:type="dxa"/>
            <w:vAlign w:val="bottom"/>
            <w:shd w:val="clear" w:color="auto" w:fill="D6F3E8"/>
          </w:tcPr>
          <w:p>
            <w:pPr>
              <w:spacing w:after="0"/>
              <w:rPr>
                <w:sz w:val="20"/>
                <w:szCs w:val="20"/>
                <w:color w:val="auto"/>
              </w:rPr>
            </w:pP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19,173</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75,372</w:t>
            </w:r>
          </w:p>
        </w:tc>
      </w:tr>
      <w:tr>
        <w:trPr>
          <w:trHeight w:val="20"/>
        </w:trPr>
        <w:tc>
          <w:tcPr>
            <w:tcW w:w="632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bl>
    <w:p>
      <w:pPr>
        <w:spacing w:after="0" w:line="248" w:lineRule="exact"/>
        <w:rPr>
          <w:sz w:val="20"/>
          <w:szCs w:val="20"/>
          <w:color w:val="auto"/>
        </w:rPr>
      </w:pPr>
    </w:p>
    <w:p>
      <w:pPr>
        <w:ind w:left="920" w:right="20" w:hanging="341"/>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Unallocated assets consisting primarily of cash and cash equivalents, investments and prepaid expenses were $60.5 million at March 28, 2010, $33.4 million at March 29, 2009 and $28.1 million at March 30, 2008. Additionally, assets associated with the discontinued operations of the Pharmaceutical segment were $1.0 million at March 28, 2010 and $3.9 million at March 29, 2009.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0" w:right="6020" w:hanging="572"/>
        <w:spacing w:after="0" w:line="406" w:lineRule="auto"/>
        <w:tabs>
          <w:tab w:leader="none" w:pos="59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 (In thousands, except per share data)</w:t>
      </w: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63"/>
              <w:spacing w:after="0" w:line="151" w:lineRule="exact"/>
              <w:rPr>
                <w:sz w:val="20"/>
                <w:szCs w:val="20"/>
                <w:color w:val="auto"/>
              </w:rPr>
            </w:pPr>
            <w:r>
              <w:rPr>
                <w:rFonts w:ascii="Arial" w:cs="Arial" w:eastAsia="Arial" w:hAnsi="Arial"/>
                <w:sz w:val="14"/>
                <w:szCs w:val="14"/>
                <w:b w:val="1"/>
                <w:bCs w:val="1"/>
                <w:color w:val="auto"/>
              </w:rPr>
              <w:t>Fiscal 2010</w:t>
            </w: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First</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820" w:type="dxa"/>
            <w:vAlign w:val="bottom"/>
            <w:shd w:val="clear" w:color="auto" w:fill="D6F3E8"/>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7"/>
              </w:rPr>
              <w:t>73,586</w:t>
            </w:r>
          </w:p>
        </w:tc>
        <w:tc>
          <w:tcPr>
            <w:tcW w:w="20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64,976</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60,627</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57,910</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15,856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17,416</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15,855</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15,318</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9,501</w:t>
            </w:r>
          </w:p>
        </w:tc>
        <w:tc>
          <w:tcPr>
            <w:tcW w:w="2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10,848</w:t>
            </w:r>
          </w:p>
        </w:tc>
        <w:tc>
          <w:tcPr>
            <w:tcW w:w="36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9,408</w:t>
            </w:r>
          </w:p>
        </w:tc>
        <w:tc>
          <w:tcPr>
            <w:tcW w:w="28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9,083</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6,665</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5,595</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shd w:val="clear" w:color="auto" w:fill="D6F3E8"/>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6,053</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6,665</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5,595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800" w:type="dxa"/>
            <w:vAlign w:val="bottom"/>
            <w:tcBorders>
              <w:bottom w:val="single" w:sz="8" w:color="D6F3E8"/>
            </w:tcBorders>
            <w:shd w:val="clear" w:color="auto" w:fill="D6F3E8"/>
          </w:tcPr>
          <w:p>
            <w:pPr>
              <w:spacing w:after="0" w:line="196" w:lineRule="exact"/>
              <w:rPr>
                <w:sz w:val="20"/>
                <w:szCs w:val="20"/>
                <w:color w:val="auto"/>
              </w:rPr>
            </w:pPr>
            <w:r>
              <w:rPr>
                <w:rFonts w:ascii="Arial" w:cs="Arial" w:eastAsia="Arial" w:hAnsi="Arial"/>
                <w:sz w:val="18"/>
                <w:szCs w:val="18"/>
                <w:color w:val="auto"/>
              </w:rPr>
              <w:t>Basic net income per share</w:t>
            </w:r>
          </w:p>
        </w:tc>
        <w:tc>
          <w:tcPr>
            <w:tcW w:w="820" w:type="dxa"/>
            <w:vAlign w:val="bottom"/>
            <w:tcBorders>
              <w:bottom w:val="single" w:sz="8" w:color="auto"/>
            </w:tcBorders>
            <w:shd w:val="clear" w:color="auto" w:fill="D6F3E8"/>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0.59</w:t>
            </w:r>
          </w:p>
        </w:tc>
        <w:tc>
          <w:tcPr>
            <w:tcW w:w="20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auto"/>
            </w:tcBorders>
            <w:shd w:val="clear" w:color="auto" w:fill="D6F3E8"/>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0.65</w:t>
            </w:r>
          </w:p>
        </w:tc>
        <w:tc>
          <w:tcPr>
            <w:tcW w:w="220" w:type="dxa"/>
            <w:vAlign w:val="bottom"/>
            <w:tcBorders>
              <w:bottom w:val="single" w:sz="8" w:color="D6F3E8"/>
            </w:tcBorders>
            <w:shd w:val="clear" w:color="auto" w:fill="D6F3E8"/>
          </w:tcPr>
          <w:p>
            <w:pPr>
              <w:spacing w:after="0"/>
              <w:rPr>
                <w:sz w:val="20"/>
                <w:szCs w:val="20"/>
                <w:color w:val="auto"/>
              </w:rPr>
            </w:pPr>
          </w:p>
        </w:tc>
        <w:tc>
          <w:tcPr>
            <w:tcW w:w="360" w:type="dxa"/>
            <w:vAlign w:val="bottom"/>
            <w:tcBorders>
              <w:bottom w:val="single" w:sz="8" w:color="auto"/>
            </w:tcBorders>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0.55</w:t>
            </w:r>
          </w:p>
        </w:tc>
        <w:tc>
          <w:tcPr>
            <w:tcW w:w="22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auto"/>
            </w:tcBorders>
            <w:shd w:val="clear" w:color="auto" w:fill="D6F3E8"/>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0.54</w:t>
            </w:r>
          </w:p>
        </w:tc>
        <w:tc>
          <w:tcPr>
            <w:tcW w:w="120" w:type="dxa"/>
            <w:vAlign w:val="bottom"/>
            <w:tcBorders>
              <w:bottom w:val="single" w:sz="8" w:color="D6F3E8"/>
            </w:tcBorders>
            <w:shd w:val="clear" w:color="auto" w:fill="D6F3E8"/>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580" w:type="dxa"/>
            <w:vAlign w:val="bottom"/>
          </w:tcPr>
          <w:p>
            <w:pPr>
              <w:spacing w:after="0"/>
              <w:rPr>
                <w:sz w:val="17"/>
                <w:szCs w:val="17"/>
                <w:color w:val="auto"/>
              </w:rPr>
            </w:pPr>
          </w:p>
        </w:tc>
        <w:tc>
          <w:tcPr>
            <w:tcW w:w="4800" w:type="dxa"/>
            <w:vAlign w:val="bottom"/>
          </w:tcPr>
          <w:p>
            <w:pPr>
              <w:spacing w:after="0" w:line="196" w:lineRule="exact"/>
              <w:rPr>
                <w:sz w:val="20"/>
                <w:szCs w:val="20"/>
                <w:color w:val="auto"/>
              </w:rPr>
            </w:pPr>
            <w:r>
              <w:rPr>
                <w:rFonts w:ascii="Arial" w:cs="Arial" w:eastAsia="Arial" w:hAnsi="Arial"/>
                <w:sz w:val="18"/>
                <w:szCs w:val="18"/>
                <w:color w:val="auto"/>
              </w:rPr>
              <w:t>Diluted net income per share</w:t>
            </w:r>
          </w:p>
        </w:tc>
        <w:tc>
          <w:tcPr>
            <w:tcW w:w="820" w:type="dxa"/>
            <w:vAlign w:val="bottom"/>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0.59</w:t>
            </w:r>
          </w:p>
        </w:tc>
        <w:tc>
          <w:tcPr>
            <w:tcW w:w="200" w:type="dxa"/>
            <w:vAlign w:val="bottom"/>
          </w:tcPr>
          <w:p>
            <w:pPr>
              <w:spacing w:after="0"/>
              <w:rPr>
                <w:sz w:val="17"/>
                <w:szCs w:val="17"/>
                <w:color w:val="auto"/>
              </w:rPr>
            </w:pPr>
          </w:p>
        </w:tc>
        <w:tc>
          <w:tcPr>
            <w:tcW w:w="280" w:type="dxa"/>
            <w:vAlign w:val="bottom"/>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0.65</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0.54</w:t>
            </w:r>
          </w:p>
        </w:tc>
        <w:tc>
          <w:tcPr>
            <w:tcW w:w="280" w:type="dxa"/>
            <w:vAlign w:val="bottom"/>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0.54</w:t>
            </w:r>
          </w:p>
        </w:tc>
        <w:tc>
          <w:tcPr>
            <w:tcW w:w="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Fiscal 2009</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First</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820" w:type="dxa"/>
            <w:vAlign w:val="bottom"/>
            <w:shd w:val="clear" w:color="auto" w:fill="D6F3E8"/>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7"/>
              </w:rPr>
              <w:t>62,554</w:t>
            </w:r>
          </w:p>
        </w:tc>
        <w:tc>
          <w:tcPr>
            <w:tcW w:w="20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78,463</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75,555</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67,784</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17,320</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18,102</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13,557</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7,408</w:t>
            </w:r>
          </w:p>
        </w:tc>
        <w:tc>
          <w:tcPr>
            <w:tcW w:w="2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11,254</w:t>
            </w:r>
          </w:p>
        </w:tc>
        <w:tc>
          <w:tcPr>
            <w:tcW w:w="36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11,196</w:t>
            </w:r>
          </w:p>
        </w:tc>
        <w:tc>
          <w:tcPr>
            <w:tcW w:w="28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7,479</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6,923</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4,885</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D6F3E8"/>
          </w:tcPr>
          <w:p>
            <w:pPr>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shd w:val="clear" w:color="auto" w:fill="D6F3E8"/>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4,876</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6,823</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6,973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5,092</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800" w:type="dxa"/>
            <w:vAlign w:val="bottom"/>
            <w:tcBorders>
              <w:bottom w:val="single" w:sz="8" w:color="D6F3E8"/>
            </w:tcBorders>
            <w:shd w:val="clear" w:color="auto" w:fill="D6F3E8"/>
          </w:tcPr>
          <w:p>
            <w:pPr>
              <w:spacing w:after="0" w:line="196" w:lineRule="exact"/>
              <w:rPr>
                <w:sz w:val="20"/>
                <w:szCs w:val="20"/>
                <w:color w:val="auto"/>
              </w:rPr>
            </w:pPr>
            <w:r>
              <w:rPr>
                <w:rFonts w:ascii="Arial" w:cs="Arial" w:eastAsia="Arial" w:hAnsi="Arial"/>
                <w:sz w:val="18"/>
                <w:szCs w:val="18"/>
                <w:color w:val="auto"/>
              </w:rPr>
              <w:t>Basic net income per share</w:t>
            </w:r>
          </w:p>
        </w:tc>
        <w:tc>
          <w:tcPr>
            <w:tcW w:w="820" w:type="dxa"/>
            <w:vAlign w:val="bottom"/>
            <w:tcBorders>
              <w:bottom w:val="single" w:sz="8" w:color="auto"/>
            </w:tcBorders>
            <w:shd w:val="clear" w:color="auto" w:fill="D6F3E8"/>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auto"/>
            </w:tcBorders>
            <w:shd w:val="clear" w:color="auto" w:fill="D6F3E8"/>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0.67</w:t>
            </w:r>
          </w:p>
        </w:tc>
        <w:tc>
          <w:tcPr>
            <w:tcW w:w="220" w:type="dxa"/>
            <w:vAlign w:val="bottom"/>
            <w:tcBorders>
              <w:bottom w:val="single" w:sz="8" w:color="D6F3E8"/>
            </w:tcBorders>
            <w:shd w:val="clear" w:color="auto" w:fill="D6F3E8"/>
          </w:tcPr>
          <w:p>
            <w:pPr>
              <w:spacing w:after="0"/>
              <w:rPr>
                <w:sz w:val="20"/>
                <w:szCs w:val="20"/>
                <w:color w:val="auto"/>
              </w:rPr>
            </w:pPr>
          </w:p>
        </w:tc>
        <w:tc>
          <w:tcPr>
            <w:tcW w:w="360" w:type="dxa"/>
            <w:vAlign w:val="bottom"/>
            <w:tcBorders>
              <w:bottom w:val="single" w:sz="8" w:color="auto"/>
            </w:tcBorders>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0.68</w:t>
            </w:r>
          </w:p>
        </w:tc>
        <w:tc>
          <w:tcPr>
            <w:tcW w:w="22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auto"/>
            </w:tcBorders>
            <w:shd w:val="clear" w:color="auto" w:fill="D6F3E8"/>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0.50</w:t>
            </w:r>
          </w:p>
        </w:tc>
        <w:tc>
          <w:tcPr>
            <w:tcW w:w="120" w:type="dxa"/>
            <w:vAlign w:val="bottom"/>
            <w:tcBorders>
              <w:bottom w:val="single" w:sz="8" w:color="D6F3E8"/>
            </w:tcBorders>
            <w:shd w:val="clear" w:color="auto" w:fill="D6F3E8"/>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580" w:type="dxa"/>
            <w:vAlign w:val="bottom"/>
          </w:tcPr>
          <w:p>
            <w:pPr>
              <w:spacing w:after="0"/>
              <w:rPr>
                <w:sz w:val="17"/>
                <w:szCs w:val="17"/>
                <w:color w:val="auto"/>
              </w:rPr>
            </w:pPr>
          </w:p>
        </w:tc>
        <w:tc>
          <w:tcPr>
            <w:tcW w:w="4800" w:type="dxa"/>
            <w:vAlign w:val="bottom"/>
          </w:tcPr>
          <w:p>
            <w:pPr>
              <w:spacing w:after="0" w:line="196" w:lineRule="exact"/>
              <w:rPr>
                <w:sz w:val="20"/>
                <w:szCs w:val="20"/>
                <w:color w:val="auto"/>
              </w:rPr>
            </w:pPr>
            <w:r>
              <w:rPr>
                <w:rFonts w:ascii="Arial" w:cs="Arial" w:eastAsia="Arial" w:hAnsi="Arial"/>
                <w:sz w:val="18"/>
                <w:szCs w:val="18"/>
                <w:color w:val="auto"/>
              </w:rPr>
              <w:t>Diluted net income per share</w:t>
            </w:r>
          </w:p>
        </w:tc>
        <w:tc>
          <w:tcPr>
            <w:tcW w:w="820" w:type="dxa"/>
            <w:vAlign w:val="bottom"/>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Pr>
          <w:p>
            <w:pPr>
              <w:spacing w:after="0"/>
              <w:rPr>
                <w:sz w:val="17"/>
                <w:szCs w:val="17"/>
                <w:color w:val="auto"/>
              </w:rPr>
            </w:pPr>
          </w:p>
        </w:tc>
        <w:tc>
          <w:tcPr>
            <w:tcW w:w="280" w:type="dxa"/>
            <w:vAlign w:val="bottom"/>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0.67</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0.68</w:t>
            </w:r>
          </w:p>
        </w:tc>
        <w:tc>
          <w:tcPr>
            <w:tcW w:w="280" w:type="dxa"/>
            <w:vAlign w:val="bottom"/>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0.50</w:t>
            </w:r>
          </w:p>
        </w:tc>
        <w:tc>
          <w:tcPr>
            <w:tcW w:w="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20" w:type="dxa"/>
            <w:vAlign w:val="bottom"/>
          </w:tcPr>
          <w:p>
            <w:pPr>
              <w:jc w:val="right"/>
              <w:ind w:right="316"/>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480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380" w:right="540" w:hanging="1377"/>
        <w:spacing w:after="0" w:line="251" w:lineRule="auto"/>
        <w:tabs>
          <w:tab w:leader="none" w:pos="136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22"/>
          <w:szCs w:val="22"/>
          <w:color w:val="auto"/>
        </w:rPr>
        <w:t>CHANGES IN AND DISAGREEMENTS WITH ACCOUNTANTS ON ACCOUNTING AND FINANCIAL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9A.</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March 28, 2010, based on the criteria described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(“COSO”) of the Treadway Commission. Based on this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believes that our internal control over financial reporting was effective as of March 28, 2010.</w:t>
      </w:r>
    </w:p>
    <w:p>
      <w:pPr>
        <w:spacing w:after="0" w:line="16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28, 2010. That attestation report is set forth immediately following this management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c>
          <w:tcPr>
            <w:tcW w:w="234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P. Pepski</w:t>
            </w:r>
          </w:p>
        </w:tc>
        <w:tc>
          <w:tcPr>
            <w:tcW w:w="2280" w:type="dxa"/>
            <w:vAlign w:val="bottom"/>
          </w:tcPr>
          <w:p>
            <w:pPr>
              <w:spacing w:after="0"/>
              <w:rPr>
                <w:sz w:val="19"/>
                <w:szCs w:val="19"/>
                <w:color w:val="auto"/>
              </w:rPr>
            </w:pPr>
          </w:p>
        </w:tc>
      </w:tr>
      <w:tr>
        <w:trPr>
          <w:trHeight w:val="351"/>
        </w:trPr>
        <w:tc>
          <w:tcPr>
            <w:tcW w:w="3040" w:type="dxa"/>
            <w:vAlign w:val="bottom"/>
          </w:tcPr>
          <w:p>
            <w:pPr>
              <w:spacing w:after="0"/>
              <w:rPr>
                <w:sz w:val="20"/>
                <w:szCs w:val="20"/>
                <w:color w:val="auto"/>
              </w:rPr>
            </w:pPr>
            <w:r>
              <w:rPr>
                <w:rFonts w:ascii="Arial" w:cs="Arial" w:eastAsia="Arial" w:hAnsi="Arial"/>
                <w:sz w:val="18"/>
                <w:szCs w:val="18"/>
                <w:color w:val="auto"/>
              </w:rPr>
              <w:t>John R. Hawkins</w:t>
            </w:r>
          </w:p>
        </w:tc>
        <w:tc>
          <w:tcPr>
            <w:tcW w:w="23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Kathleen P. Pepski</w:t>
            </w:r>
          </w:p>
        </w:tc>
        <w:tc>
          <w:tcPr>
            <w:tcW w:w="2280" w:type="dxa"/>
            <w:vAlign w:val="bottom"/>
          </w:tcPr>
          <w:p>
            <w:pPr>
              <w:spacing w:after="0"/>
              <w:rPr>
                <w:sz w:val="24"/>
                <w:szCs w:val="24"/>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3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88"/>
              </w:rPr>
              <w:t>Vice President, Chief Financial Officer, and Treasurer</w:t>
            </w:r>
          </w:p>
        </w:tc>
        <w:tc>
          <w:tcPr>
            <w:tcW w:w="2280" w:type="dxa"/>
            <w:vAlign w:val="bottom"/>
          </w:tcPr>
          <w:p>
            <w:pPr>
              <w:spacing w:after="0"/>
              <w:rPr>
                <w:sz w:val="18"/>
                <w:szCs w:val="18"/>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June 4, 2010</w:t>
            </w:r>
          </w:p>
        </w:tc>
        <w:tc>
          <w:tcPr>
            <w:tcW w:w="23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June 4, 2010</w:t>
            </w:r>
          </w:p>
        </w:tc>
        <w:tc>
          <w:tcPr>
            <w:tcW w:w="2280" w:type="dxa"/>
            <w:vAlign w:val="bottom"/>
          </w:tcPr>
          <w:p>
            <w:pPr>
              <w:spacing w:after="0"/>
              <w:rPr>
                <w:sz w:val="19"/>
                <w:szCs w:val="19"/>
                <w:color w:val="auto"/>
              </w:rPr>
            </w:pPr>
          </w:p>
        </w:tc>
      </w:tr>
      <w:tr>
        <w:trPr>
          <w:trHeight w:val="432"/>
        </w:trPr>
        <w:tc>
          <w:tcPr>
            <w:tcW w:w="3040" w:type="dxa"/>
            <w:vAlign w:val="bottom"/>
          </w:tcPr>
          <w:p>
            <w:pPr>
              <w:spacing w:after="0"/>
              <w:rPr>
                <w:sz w:val="24"/>
                <w:szCs w:val="24"/>
                <w:color w:val="auto"/>
              </w:rPr>
            </w:pPr>
          </w:p>
        </w:tc>
        <w:tc>
          <w:tcPr>
            <w:tcW w:w="6140" w:type="dxa"/>
            <w:vAlign w:val="bottom"/>
            <w:gridSpan w:val="2"/>
          </w:tcPr>
          <w:p>
            <w:pPr>
              <w:jc w:val="right"/>
              <w:ind w:right="3292"/>
              <w:spacing w:after="0"/>
              <w:rPr>
                <w:sz w:val="20"/>
                <w:szCs w:val="20"/>
                <w:color w:val="auto"/>
              </w:rPr>
            </w:pPr>
            <w:r>
              <w:rPr>
                <w:rFonts w:ascii="Arial" w:cs="Arial" w:eastAsia="Arial" w:hAnsi="Arial"/>
                <w:sz w:val="18"/>
                <w:szCs w:val="18"/>
                <w:color w:val="auto"/>
              </w:rPr>
              <w:t>39</w:t>
            </w:r>
          </w:p>
        </w:tc>
        <w:tc>
          <w:tcPr>
            <w:tcW w:w="2280" w:type="dxa"/>
            <w:vAlign w:val="bottom"/>
          </w:tcPr>
          <w:p>
            <w:pPr>
              <w:spacing w:after="0"/>
              <w:rPr>
                <w:sz w:val="24"/>
                <w:szCs w:val="24"/>
                <w:color w:val="auto"/>
              </w:rPr>
            </w:pPr>
          </w:p>
        </w:tc>
      </w:tr>
      <w:tr>
        <w:trPr>
          <w:trHeight w:val="242"/>
        </w:trPr>
        <w:tc>
          <w:tcPr>
            <w:tcW w:w="3040" w:type="dxa"/>
            <w:vAlign w:val="bottom"/>
            <w:tcBorders>
              <w:bottom w:val="single" w:sz="8" w:color="808080"/>
            </w:tcBorders>
          </w:tcPr>
          <w:p>
            <w:pPr>
              <w:spacing w:after="0"/>
              <w:rPr>
                <w:sz w:val="21"/>
                <w:szCs w:val="21"/>
                <w:color w:val="auto"/>
              </w:rPr>
            </w:pPr>
          </w:p>
        </w:tc>
        <w:tc>
          <w:tcPr>
            <w:tcW w:w="2340" w:type="dxa"/>
            <w:vAlign w:val="bottom"/>
            <w:tcBorders>
              <w:bottom w:val="single" w:sz="8" w:color="808080"/>
            </w:tcBorders>
          </w:tcPr>
          <w:p>
            <w:pPr>
              <w:spacing w:after="0"/>
              <w:rPr>
                <w:sz w:val="21"/>
                <w:szCs w:val="21"/>
                <w:color w:val="auto"/>
              </w:rPr>
            </w:pPr>
          </w:p>
        </w:tc>
        <w:tc>
          <w:tcPr>
            <w:tcW w:w="380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2010 that has materially affected, or is reasonably likely to materially affect, our internal control over financial reporting.</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9B.</w:t>
      </w:r>
      <w:r>
        <w:rPr>
          <w:sz w:val="20"/>
          <w:szCs w:val="20"/>
          <w:color w:val="auto"/>
        </w:rPr>
        <w:tab/>
      </w:r>
      <w:r>
        <w:rPr>
          <w:rFonts w:ascii="Arial" w:cs="Arial" w:eastAsia="Arial" w:hAnsi="Arial"/>
          <w:sz w:val="19"/>
          <w:szCs w:val="19"/>
          <w:color w:val="auto"/>
        </w:rPr>
        <w:t>OTHER INFORMATION</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June 2, 2010, we entered into a Retention Bonus Agreement with John R. Hawkins, our Chief Executive Officer. The Retention Bonus Agreement provides that we will pay to Mr. Hawkins a retention bonus in the amount of $680,000 so long as: (1) Mr. Hawkins remains actively employed with the Company from the date of the agreement through June 2, 2013, (2) Mr. Hawkins’s separation from service occurs thereafter for any reason other than for Cause; and (3) Mr. Hawkins signs and does not rescind a release of claims in a form prescribed by the Company.</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“Cause” is defined in the Retention Bonus Agreement as Mr. Hawkins’s: (1) willful and material failure or refusal to carry out any reasonable directive of the Board, (2) any willful and material failure during his employment to comply with any material policy, rule or code of conduct generally applicable to employees of the Company or to management employees of the Company, which failure is materially and demonstratively injurious to the financial condition or business reputation of the Company, (3) embezzlement or misappropriation of Company funds or any other willful act or omission which is materially injurious to the financial condition or business reputation of the Company, or (4) conviction or confession of an act or acts constituting a felony related to the business of the Company or which is materially injurious to the financial condition or business reputation of the Company. The circumstances in items (1) or (2) will only constitute Cause if the Company provides written notice to Mr. Hawkins and he does not cure within 30 days following the notice.</w:t>
      </w:r>
    </w:p>
    <w:p>
      <w:pPr>
        <w:spacing w:after="0" w:line="172"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the event Mr. Hawkins’s employment terminates prior to June 2, 2013 due to termination initiated by the Company without Cause or due to Mr. Hawkins’s death, the retention bonus will become fully vested and payable, provided the release condition set forth above has been satisfied. The retention bonus will be paid in substantially equal installments over a period of three years.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PART III</w:t>
      </w:r>
    </w:p>
    <w:p>
      <w:pPr>
        <w:spacing w:after="0" w:line="219"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Certain information required by Part III is incorporated by reference from Hawkins’ definitive Proxy Statement for the Annual Meeting of Shareholders to be held on July 28, 2010 (the “2010 Proxy Statement”). Except for those portions specifically incorporated in this Form 10-K by reference to Hawkins’ Proxy Statement, no other portions of the 2010 Proxy Statement are deemed to be filed as part of this Form 10-K.</w:t>
      </w:r>
    </w:p>
    <w:p>
      <w:pPr>
        <w:spacing w:after="0" w:line="16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DIRECTORS, EXECUTIVE OFFICERS, AND CORPORATE GOVERNANCE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their ages and offices held, as of May 31, 2010 are set forth below:</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1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53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Office</w:t>
            </w:r>
          </w:p>
        </w:tc>
      </w:tr>
      <w:tr>
        <w:trPr>
          <w:trHeight w:val="142"/>
        </w:trPr>
        <w:tc>
          <w:tcPr>
            <w:tcW w:w="2120" w:type="dxa"/>
            <w:vAlign w:val="bottom"/>
          </w:tcPr>
          <w:p>
            <w:pPr>
              <w:spacing w:after="0"/>
              <w:rPr>
                <w:sz w:val="12"/>
                <w:szCs w:val="12"/>
                <w:color w:val="auto"/>
              </w:rPr>
            </w:pPr>
          </w:p>
        </w:tc>
        <w:tc>
          <w:tcPr>
            <w:tcW w:w="19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5380" w:type="dxa"/>
            <w:vAlign w:val="bottom"/>
          </w:tcPr>
          <w:p>
            <w:pPr>
              <w:spacing w:after="0"/>
              <w:rPr>
                <w:sz w:val="12"/>
                <w:szCs w:val="12"/>
                <w:color w:val="auto"/>
              </w:rPr>
            </w:pPr>
          </w:p>
        </w:tc>
      </w:tr>
      <w:tr>
        <w:trPr>
          <w:trHeight w:val="216"/>
        </w:trPr>
        <w:tc>
          <w:tcPr>
            <w:tcW w:w="2120" w:type="dxa"/>
            <w:vAlign w:val="bottom"/>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1980" w:type="dxa"/>
            <w:vAlign w:val="bottom"/>
            <w:gridSpan w:val="2"/>
            <w:shd w:val="clear" w:color="auto" w:fill="D6F3E8"/>
          </w:tcPr>
          <w:p>
            <w:pPr>
              <w:jc w:val="center"/>
              <w:ind w:left="1132"/>
              <w:spacing w:after="0"/>
              <w:rPr>
                <w:sz w:val="20"/>
                <w:szCs w:val="20"/>
                <w:color w:val="auto"/>
              </w:rPr>
            </w:pPr>
            <w:r>
              <w:rPr>
                <w:rFonts w:ascii="Arial" w:cs="Arial" w:eastAsia="Arial" w:hAnsi="Arial"/>
                <w:sz w:val="18"/>
                <w:szCs w:val="18"/>
                <w:color w:val="auto"/>
                <w:w w:val="79"/>
              </w:rPr>
              <w:t>58</w:t>
            </w:r>
          </w:p>
        </w:tc>
        <w:tc>
          <w:tcPr>
            <w:tcW w:w="220" w:type="dxa"/>
            <w:vAlign w:val="bottom"/>
            <w:shd w:val="clear" w:color="auto" w:fill="D6F3E8"/>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Chief Executive Officer</w:t>
            </w:r>
          </w:p>
        </w:tc>
      </w:tr>
      <w:tr>
        <w:trPr>
          <w:trHeight w:val="363"/>
        </w:trPr>
        <w:tc>
          <w:tcPr>
            <w:tcW w:w="2120" w:type="dxa"/>
            <w:vAlign w:val="bottom"/>
          </w:tcPr>
          <w:p>
            <w:pPr>
              <w:spacing w:after="0"/>
              <w:rPr>
                <w:sz w:val="20"/>
                <w:szCs w:val="20"/>
                <w:color w:val="auto"/>
              </w:rPr>
            </w:pPr>
            <w:r>
              <w:rPr>
                <w:rFonts w:ascii="Arial" w:cs="Arial" w:eastAsia="Arial" w:hAnsi="Arial"/>
                <w:sz w:val="18"/>
                <w:szCs w:val="18"/>
                <w:color w:val="auto"/>
              </w:rPr>
              <w:t>Patrick H. Hawkins</w:t>
            </w:r>
          </w:p>
        </w:tc>
        <w:tc>
          <w:tcPr>
            <w:tcW w:w="198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39</w:t>
            </w:r>
          </w:p>
        </w:tc>
        <w:tc>
          <w:tcPr>
            <w:tcW w:w="2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President</w:t>
            </w:r>
          </w:p>
        </w:tc>
      </w:tr>
      <w:tr>
        <w:trPr>
          <w:trHeight w:val="151"/>
        </w:trPr>
        <w:tc>
          <w:tcPr>
            <w:tcW w:w="2120" w:type="dxa"/>
            <w:vAlign w:val="bottom"/>
          </w:tcPr>
          <w:p>
            <w:pPr>
              <w:spacing w:after="0"/>
              <w:rPr>
                <w:sz w:val="13"/>
                <w:szCs w:val="13"/>
                <w:color w:val="auto"/>
              </w:rPr>
            </w:pPr>
          </w:p>
        </w:tc>
        <w:tc>
          <w:tcPr>
            <w:tcW w:w="19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5380" w:type="dxa"/>
            <w:vAlign w:val="bottom"/>
          </w:tcPr>
          <w:p>
            <w:pPr>
              <w:spacing w:after="0"/>
              <w:rPr>
                <w:sz w:val="13"/>
                <w:szCs w:val="13"/>
                <w:color w:val="auto"/>
              </w:rPr>
            </w:pPr>
          </w:p>
        </w:tc>
      </w:tr>
      <w:tr>
        <w:trPr>
          <w:trHeight w:val="216"/>
        </w:trPr>
        <w:tc>
          <w:tcPr>
            <w:tcW w:w="2120" w:type="dxa"/>
            <w:vAlign w:val="bottom"/>
            <w:shd w:val="clear" w:color="auto" w:fill="D6F3E8"/>
          </w:tcPr>
          <w:p>
            <w:pPr>
              <w:spacing w:after="0"/>
              <w:rPr>
                <w:sz w:val="20"/>
                <w:szCs w:val="20"/>
                <w:color w:val="auto"/>
              </w:rPr>
            </w:pPr>
            <w:r>
              <w:rPr>
                <w:rFonts w:ascii="Arial" w:cs="Arial" w:eastAsia="Arial" w:hAnsi="Arial"/>
                <w:sz w:val="18"/>
                <w:szCs w:val="18"/>
                <w:color w:val="auto"/>
              </w:rPr>
              <w:t>Kathleen P. Pepski</w:t>
            </w:r>
          </w:p>
        </w:tc>
        <w:tc>
          <w:tcPr>
            <w:tcW w:w="1980" w:type="dxa"/>
            <w:vAlign w:val="bottom"/>
            <w:gridSpan w:val="2"/>
            <w:shd w:val="clear" w:color="auto" w:fill="D6F3E8"/>
          </w:tcPr>
          <w:p>
            <w:pPr>
              <w:jc w:val="center"/>
              <w:ind w:left="1132"/>
              <w:spacing w:after="0"/>
              <w:rPr>
                <w:sz w:val="20"/>
                <w:szCs w:val="20"/>
                <w:color w:val="auto"/>
              </w:rPr>
            </w:pPr>
            <w:r>
              <w:rPr>
                <w:rFonts w:ascii="Arial" w:cs="Arial" w:eastAsia="Arial" w:hAnsi="Arial"/>
                <w:sz w:val="18"/>
                <w:szCs w:val="18"/>
                <w:color w:val="auto"/>
                <w:w w:val="79"/>
              </w:rPr>
              <w:t>55</w:t>
            </w:r>
          </w:p>
        </w:tc>
        <w:tc>
          <w:tcPr>
            <w:tcW w:w="220" w:type="dxa"/>
            <w:vAlign w:val="bottom"/>
            <w:shd w:val="clear" w:color="auto" w:fill="D6F3E8"/>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Vice President, Chief Financial Officer, and Treasurer</w:t>
            </w:r>
          </w:p>
        </w:tc>
      </w:tr>
      <w:tr>
        <w:trPr>
          <w:trHeight w:val="363"/>
        </w:trPr>
        <w:tc>
          <w:tcPr>
            <w:tcW w:w="2120" w:type="dxa"/>
            <w:vAlign w:val="bottom"/>
          </w:tcPr>
          <w:p>
            <w:pPr>
              <w:spacing w:after="0"/>
              <w:rPr>
                <w:sz w:val="20"/>
                <w:szCs w:val="20"/>
                <w:color w:val="auto"/>
              </w:rPr>
            </w:pPr>
            <w:r>
              <w:rPr>
                <w:rFonts w:ascii="Arial" w:cs="Arial" w:eastAsia="Arial" w:hAnsi="Arial"/>
                <w:sz w:val="18"/>
                <w:szCs w:val="18"/>
                <w:color w:val="auto"/>
              </w:rPr>
              <w:t>Mark A. Beyer</w:t>
            </w:r>
          </w:p>
        </w:tc>
        <w:tc>
          <w:tcPr>
            <w:tcW w:w="198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48</w:t>
            </w:r>
          </w:p>
        </w:tc>
        <w:tc>
          <w:tcPr>
            <w:tcW w:w="2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Vice President – Operations</w:t>
            </w:r>
          </w:p>
        </w:tc>
      </w:tr>
      <w:tr>
        <w:trPr>
          <w:trHeight w:val="151"/>
        </w:trPr>
        <w:tc>
          <w:tcPr>
            <w:tcW w:w="2120" w:type="dxa"/>
            <w:vAlign w:val="bottom"/>
          </w:tcPr>
          <w:p>
            <w:pPr>
              <w:spacing w:after="0"/>
              <w:rPr>
                <w:sz w:val="13"/>
                <w:szCs w:val="13"/>
                <w:color w:val="auto"/>
              </w:rPr>
            </w:pPr>
          </w:p>
        </w:tc>
        <w:tc>
          <w:tcPr>
            <w:tcW w:w="19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5380" w:type="dxa"/>
            <w:vAlign w:val="bottom"/>
          </w:tcPr>
          <w:p>
            <w:pPr>
              <w:spacing w:after="0"/>
              <w:rPr>
                <w:sz w:val="13"/>
                <w:szCs w:val="13"/>
                <w:color w:val="auto"/>
              </w:rPr>
            </w:pPr>
          </w:p>
        </w:tc>
      </w:tr>
      <w:tr>
        <w:trPr>
          <w:trHeight w:val="216"/>
        </w:trPr>
        <w:tc>
          <w:tcPr>
            <w:tcW w:w="2120" w:type="dxa"/>
            <w:vAlign w:val="bottom"/>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1980" w:type="dxa"/>
            <w:vAlign w:val="bottom"/>
            <w:gridSpan w:val="2"/>
            <w:shd w:val="clear" w:color="auto" w:fill="D6F3E8"/>
          </w:tcPr>
          <w:p>
            <w:pPr>
              <w:jc w:val="center"/>
              <w:ind w:left="1132"/>
              <w:spacing w:after="0"/>
              <w:rPr>
                <w:sz w:val="20"/>
                <w:szCs w:val="20"/>
                <w:color w:val="auto"/>
              </w:rPr>
            </w:pPr>
            <w:r>
              <w:rPr>
                <w:rFonts w:ascii="Arial" w:cs="Arial" w:eastAsia="Arial" w:hAnsi="Arial"/>
                <w:sz w:val="18"/>
                <w:szCs w:val="18"/>
                <w:color w:val="auto"/>
                <w:w w:val="79"/>
              </w:rPr>
              <w:t>46</w:t>
            </w:r>
          </w:p>
        </w:tc>
        <w:tc>
          <w:tcPr>
            <w:tcW w:w="220" w:type="dxa"/>
            <w:vAlign w:val="bottom"/>
            <w:shd w:val="clear" w:color="auto" w:fill="D6F3E8"/>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363"/>
        </w:trPr>
        <w:tc>
          <w:tcPr>
            <w:tcW w:w="2120" w:type="dxa"/>
            <w:vAlign w:val="bottom"/>
          </w:tcPr>
          <w:p>
            <w:pPr>
              <w:spacing w:after="0"/>
              <w:rPr>
                <w:sz w:val="20"/>
                <w:szCs w:val="20"/>
                <w:color w:val="auto"/>
              </w:rPr>
            </w:pPr>
            <w:r>
              <w:rPr>
                <w:rFonts w:ascii="Arial" w:cs="Arial" w:eastAsia="Arial" w:hAnsi="Arial"/>
                <w:sz w:val="18"/>
                <w:szCs w:val="18"/>
                <w:color w:val="auto"/>
              </w:rPr>
              <w:t>Theresa R. Moran</w:t>
            </w:r>
          </w:p>
        </w:tc>
        <w:tc>
          <w:tcPr>
            <w:tcW w:w="198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47</w:t>
            </w:r>
          </w:p>
        </w:tc>
        <w:tc>
          <w:tcPr>
            <w:tcW w:w="2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Vice President – Quality and Support</w:t>
            </w:r>
          </w:p>
        </w:tc>
      </w:tr>
      <w:tr>
        <w:trPr>
          <w:trHeight w:val="151"/>
        </w:trPr>
        <w:tc>
          <w:tcPr>
            <w:tcW w:w="2120" w:type="dxa"/>
            <w:vAlign w:val="bottom"/>
          </w:tcPr>
          <w:p>
            <w:pPr>
              <w:spacing w:after="0"/>
              <w:rPr>
                <w:sz w:val="13"/>
                <w:szCs w:val="13"/>
                <w:color w:val="auto"/>
              </w:rPr>
            </w:pPr>
          </w:p>
        </w:tc>
        <w:tc>
          <w:tcPr>
            <w:tcW w:w="19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5380" w:type="dxa"/>
            <w:vAlign w:val="bottom"/>
          </w:tcPr>
          <w:p>
            <w:pPr>
              <w:spacing w:after="0"/>
              <w:rPr>
                <w:sz w:val="13"/>
                <w:szCs w:val="13"/>
                <w:color w:val="auto"/>
              </w:rPr>
            </w:pPr>
          </w:p>
        </w:tc>
      </w:tr>
      <w:tr>
        <w:trPr>
          <w:trHeight w:val="216"/>
        </w:trPr>
        <w:tc>
          <w:tcPr>
            <w:tcW w:w="2120" w:type="dxa"/>
            <w:vAlign w:val="bottom"/>
            <w:shd w:val="clear" w:color="auto" w:fill="D6F3E8"/>
          </w:tcPr>
          <w:p>
            <w:pPr>
              <w:spacing w:after="0"/>
              <w:rPr>
                <w:sz w:val="20"/>
                <w:szCs w:val="20"/>
                <w:color w:val="auto"/>
              </w:rPr>
            </w:pPr>
            <w:r>
              <w:rPr>
                <w:rFonts w:ascii="Arial" w:cs="Arial" w:eastAsia="Arial" w:hAnsi="Arial"/>
                <w:sz w:val="18"/>
                <w:szCs w:val="18"/>
                <w:color w:val="auto"/>
              </w:rPr>
              <w:t>Keenan A. Paulson</w:t>
            </w:r>
          </w:p>
        </w:tc>
        <w:tc>
          <w:tcPr>
            <w:tcW w:w="1980" w:type="dxa"/>
            <w:vAlign w:val="bottom"/>
            <w:gridSpan w:val="2"/>
            <w:shd w:val="clear" w:color="auto" w:fill="D6F3E8"/>
          </w:tcPr>
          <w:p>
            <w:pPr>
              <w:jc w:val="center"/>
              <w:ind w:left="1132"/>
              <w:spacing w:after="0"/>
              <w:rPr>
                <w:sz w:val="20"/>
                <w:szCs w:val="20"/>
                <w:color w:val="auto"/>
              </w:rPr>
            </w:pPr>
            <w:r>
              <w:rPr>
                <w:rFonts w:ascii="Arial" w:cs="Arial" w:eastAsia="Arial" w:hAnsi="Arial"/>
                <w:sz w:val="18"/>
                <w:szCs w:val="18"/>
                <w:color w:val="auto"/>
                <w:w w:val="79"/>
              </w:rPr>
              <w:t>60</w:t>
            </w:r>
          </w:p>
        </w:tc>
        <w:tc>
          <w:tcPr>
            <w:tcW w:w="220" w:type="dxa"/>
            <w:vAlign w:val="bottom"/>
            <w:shd w:val="clear" w:color="auto" w:fill="D6F3E8"/>
          </w:tcPr>
          <w:p>
            <w:pPr>
              <w:spacing w:after="0"/>
              <w:rPr>
                <w:sz w:val="18"/>
                <w:szCs w:val="18"/>
                <w:color w:val="auto"/>
              </w:rPr>
            </w:pPr>
          </w:p>
        </w:tc>
        <w:tc>
          <w:tcPr>
            <w:tcW w:w="5380" w:type="dxa"/>
            <w:vAlign w:val="bottom"/>
            <w:shd w:val="clear" w:color="auto" w:fill="D6F3E8"/>
          </w:tcPr>
          <w:p>
            <w:pPr>
              <w:spacing w:after="0"/>
              <w:rPr>
                <w:sz w:val="20"/>
                <w:szCs w:val="20"/>
                <w:color w:val="auto"/>
              </w:rPr>
            </w:pPr>
            <w:r>
              <w:rPr>
                <w:rFonts w:ascii="Arial" w:cs="Arial" w:eastAsia="Arial" w:hAnsi="Arial"/>
                <w:sz w:val="18"/>
                <w:szCs w:val="18"/>
                <w:color w:val="auto"/>
              </w:rPr>
              <w:t>Vice President – Water Treatment Group</w:t>
            </w:r>
          </w:p>
        </w:tc>
      </w:tr>
      <w:tr>
        <w:trPr>
          <w:trHeight w:val="363"/>
        </w:trPr>
        <w:tc>
          <w:tcPr>
            <w:tcW w:w="2120" w:type="dxa"/>
            <w:vAlign w:val="bottom"/>
          </w:tcPr>
          <w:p>
            <w:pPr>
              <w:spacing w:after="0"/>
              <w:rPr>
                <w:sz w:val="20"/>
                <w:szCs w:val="20"/>
                <w:color w:val="auto"/>
              </w:rPr>
            </w:pPr>
            <w:r>
              <w:rPr>
                <w:rFonts w:ascii="Arial" w:cs="Arial" w:eastAsia="Arial" w:hAnsi="Arial"/>
                <w:sz w:val="18"/>
                <w:szCs w:val="18"/>
                <w:color w:val="auto"/>
              </w:rPr>
              <w:t>John R. Sevenich</w:t>
            </w:r>
          </w:p>
        </w:tc>
        <w:tc>
          <w:tcPr>
            <w:tcW w:w="198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52</w:t>
            </w:r>
          </w:p>
        </w:tc>
        <w:tc>
          <w:tcPr>
            <w:tcW w:w="2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Vice President – Industrial Group</w:t>
            </w:r>
          </w:p>
        </w:tc>
      </w:tr>
    </w:tbl>
    <w:p>
      <w:pPr>
        <w:spacing w:after="0" w:line="2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John R. Hawkins </w:t>
      </w:r>
      <w:r>
        <w:rPr>
          <w:rFonts w:ascii="Arial" w:cs="Arial" w:eastAsia="Arial" w:hAnsi="Arial"/>
          <w:sz w:val="18"/>
          <w:szCs w:val="18"/>
          <w:color w:val="auto"/>
        </w:rPr>
        <w:t>has been the Company’s Chief Executive Officer since 2000 and was Chairman of the Board from 2000 to 2005. He was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from 1998 to 2000 and was Secretary from 1991 to 1999. He was an Executive Vice President from 1997 to 1998 and Vice President of Sales from 1987 to 1997.</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was appointed to the newly created position of President of the Company effective with the beginning of our fiscal year 2011. He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1992 and served most recently as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Kathleen P. Pepski </w:t>
      </w:r>
      <w:r>
        <w:rPr>
          <w:rFonts w:ascii="Arial" w:cs="Arial" w:eastAsia="Arial" w:hAnsi="Arial"/>
          <w:sz w:val="16"/>
          <w:szCs w:val="16"/>
          <w:color w:val="auto"/>
        </w:rPr>
        <w:t>has been the Company’s Vice President, Chief Financial Officer and Treasurer since February 2008 and was Secretary from February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Mark A. Beyer </w:t>
      </w:r>
      <w:r>
        <w:rPr>
          <w:rFonts w:ascii="Arial" w:cs="Arial" w:eastAsia="Arial" w:hAnsi="Arial"/>
          <w:sz w:val="18"/>
          <w:szCs w:val="18"/>
          <w:color w:val="auto"/>
        </w:rPr>
        <w:t>has been the Company’s Vice President of Operations since September 2009. Mr. Beyer previously held operations leadership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Boston Scientific Corporation, a medical device manufacturer, and General Mills, Inc., a diversified food company. He was self-employed as a consultant from January 2005 to September 2009.</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Richard G. Erstad </w:t>
      </w:r>
      <w:r>
        <w:rPr>
          <w:rFonts w:ascii="Arial" w:cs="Arial" w:eastAsia="Arial" w:hAnsi="Arial"/>
          <w:sz w:val="16"/>
          <w:szCs w:val="16"/>
          <w:color w:val="auto"/>
        </w:rPr>
        <w:t>has been the Company’s Vice President, General Counsel and Secretary since November 2008. He was General Counsel and Secretary of</w:t>
      </w:r>
      <w:r>
        <w:rPr>
          <w:rFonts w:ascii="Arial" w:cs="Arial" w:eastAsia="Arial" w:hAnsi="Arial"/>
          <w:sz w:val="16"/>
          <w:szCs w:val="16"/>
          <w:i w:val="1"/>
          <w:iCs w:val="1"/>
          <w:color w:val="auto"/>
        </w:rPr>
        <w:t xml:space="preserve"> </w:t>
      </w:r>
      <w:r>
        <w:rPr>
          <w:rFonts w:ascii="Arial" w:cs="Arial" w:eastAsia="Arial" w:hAnsi="Arial"/>
          <w:sz w:val="16"/>
          <w:szCs w:val="16"/>
          <w:color w:val="auto"/>
        </w:rPr>
        <w:t>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the Company’s Vice President—Quality and Support since February 2010. Since joining the Company in 1981, Ms. Moran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a variety of positions, including Administration Operations Manager from 1999 to 2007 and most recently as Director—Process Improvement, a position she held from 2007 until the time of her promotion.</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Keenan A. Paulson </w:t>
      </w:r>
      <w:r>
        <w:rPr>
          <w:rFonts w:ascii="Arial" w:cs="Arial" w:eastAsia="Arial" w:hAnsi="Arial"/>
          <w:sz w:val="18"/>
          <w:szCs w:val="18"/>
          <w:color w:val="auto"/>
        </w:rPr>
        <w:t>has been the Company’s Vice President—Water Treatment Group since May 2000. Prior to attaining this position, Ms. Paulson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during her 37-year career with the Company, most recently as its Water Treatment General Manager.</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the Company’s Vice President—Industrial Group since May 2000. He was the Business Unit Manager of Manufacturing from 1998 to</w:t>
      </w:r>
      <w:r>
        <w:rPr>
          <w:rFonts w:ascii="Arial" w:cs="Arial" w:eastAsia="Arial" w:hAnsi="Arial"/>
          <w:sz w:val="18"/>
          <w:szCs w:val="18"/>
          <w:i w:val="1"/>
          <w:iCs w:val="1"/>
          <w:color w:val="auto"/>
        </w:rPr>
        <w:t xml:space="preserve"> </w:t>
      </w:r>
      <w:r>
        <w:rPr>
          <w:rFonts w:ascii="Arial" w:cs="Arial" w:eastAsia="Arial" w:hAnsi="Arial"/>
          <w:sz w:val="18"/>
          <w:szCs w:val="18"/>
          <w:color w:val="auto"/>
        </w:rPr>
        <w:t>2000 and was a Sales Representative with the Company from 1989 to 1998.</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2010 Proxy Statement are incorporated herein by reference.</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7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11.</w:t>
      </w:r>
      <w:r>
        <w:rPr>
          <w:sz w:val="20"/>
          <w:szCs w:val="20"/>
          <w:color w:val="auto"/>
        </w:rPr>
        <w:tab/>
      </w:r>
      <w:r>
        <w:rPr>
          <w:rFonts w:ascii="Arial" w:cs="Arial" w:eastAsia="Arial" w:hAnsi="Arial"/>
          <w:sz w:val="19"/>
          <w:szCs w:val="19"/>
          <w:color w:val="auto"/>
        </w:rPr>
        <w:t>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2010 Proxy Statement is incorporated herein by this reference.</w:t>
      </w:r>
    </w:p>
    <w:p>
      <w:pPr>
        <w:spacing w:after="0" w:line="226" w:lineRule="exact"/>
        <w:rPr>
          <w:sz w:val="20"/>
          <w:szCs w:val="20"/>
          <w:color w:val="auto"/>
        </w:rPr>
      </w:pPr>
    </w:p>
    <w:p>
      <w:pPr>
        <w:ind w:left="1380" w:right="420" w:hanging="1377"/>
        <w:spacing w:after="0" w:line="251" w:lineRule="auto"/>
        <w:tabs>
          <w:tab w:leader="none" w:pos="1360" w:val="left"/>
        </w:tabs>
        <w:rPr>
          <w:sz w:val="20"/>
          <w:szCs w:val="20"/>
          <w:color w:val="auto"/>
        </w:rPr>
      </w:pPr>
      <w:r>
        <w:rPr>
          <w:rFonts w:ascii="Arial" w:cs="Arial" w:eastAsia="Arial" w:hAnsi="Arial"/>
          <w:sz w:val="22"/>
          <w:szCs w:val="22"/>
          <w:color w:val="auto"/>
        </w:rPr>
        <w:t>ITEM 12.</w:t>
      </w:r>
      <w:r>
        <w:rPr>
          <w:sz w:val="20"/>
          <w:szCs w:val="20"/>
          <w:color w:val="auto"/>
        </w:rPr>
        <w:tab/>
      </w:r>
      <w:r>
        <w:rPr>
          <w:rFonts w:ascii="Arial" w:cs="Arial" w:eastAsia="Arial" w:hAnsi="Arial"/>
          <w:sz w:val="22"/>
          <w:szCs w:val="22"/>
          <w:color w:val="auto"/>
        </w:rPr>
        <w:t>SECURITY OWNERSHIP OF CERTAIN BENEFICIAL OWNERS AND MANAGEMENT AND RELATED STOCKHOLDER MATTERS</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2010 Proxy Statement are incorporated herein by this reference.</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13.</w:t>
      </w:r>
      <w:r>
        <w:rPr>
          <w:sz w:val="20"/>
          <w:szCs w:val="20"/>
          <w:color w:val="auto"/>
        </w:rPr>
        <w:tab/>
      </w:r>
      <w:r>
        <w:rPr>
          <w:rFonts w:ascii="Arial" w:cs="Arial" w:eastAsia="Arial" w:hAnsi="Arial"/>
          <w:sz w:val="19"/>
          <w:szCs w:val="19"/>
          <w:color w:val="auto"/>
        </w:rPr>
        <w:t>CERTAIN RELATIONSHIPS AND RELATED TRANSACTIONS, AND DIRECTOR INDEPENDENCE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 and “Related Party Transactions” of the 2010 Proxy Statement are incorporated herein by this reference.</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14.</w:t>
      </w:r>
      <w:r>
        <w:rPr>
          <w:sz w:val="20"/>
          <w:szCs w:val="20"/>
          <w:color w:val="auto"/>
        </w:rPr>
        <w:tab/>
      </w:r>
      <w:r>
        <w:rPr>
          <w:rFonts w:ascii="Arial" w:cs="Arial" w:eastAsia="Arial" w:hAnsi="Arial"/>
          <w:sz w:val="19"/>
          <w:szCs w:val="19"/>
          <w:color w:val="auto"/>
        </w:rPr>
        <w:t>PRINCIPAL ACCOUNTANT FEES AND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Firm’s Fees” of the 2010 Proxy Statement is incorporated herein by this reference.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PART IV</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15.</w:t>
      </w:r>
      <w:r>
        <w:rPr>
          <w:sz w:val="20"/>
          <w:szCs w:val="20"/>
          <w:color w:val="auto"/>
        </w:rPr>
        <w:tab/>
      </w:r>
      <w:r>
        <w:rPr>
          <w:rFonts w:ascii="Arial" w:cs="Arial" w:eastAsia="Arial" w:hAnsi="Arial"/>
          <w:sz w:val="21"/>
          <w:szCs w:val="21"/>
          <w:color w:val="auto"/>
        </w:rPr>
        <w:t>EXHIBITS AND FINANCIAL STATEMENT SCHEDULES</w:t>
      </w:r>
    </w:p>
    <w:p>
      <w:pPr>
        <w:spacing w:after="0" w:line="2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Sheets at March 28, 2010 and March 29, 2009.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Statements of Income for the fiscal years ended March 28, 2010, March 29, 2009, and March 30,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Statements of Shareholders’ Equity for the fiscal years ended March 28, 2010, March 29, 2009, and March 30,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Statements of Cash Flows for the fiscal years ended March 28, 2010, March 29, 2009, and March 30,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58"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financial statement schedule for the fiscal years 2010, 2009 and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II - Valuation and Qualifying Accounts.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SIGNATURES</w:t>
      </w:r>
    </w:p>
    <w:p>
      <w:pPr>
        <w:spacing w:after="0" w:line="219"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99" w:lineRule="exact"/>
        <w:rPr>
          <w:sz w:val="20"/>
          <w:szCs w:val="20"/>
          <w:color w:val="auto"/>
        </w:rPr>
      </w:pPr>
    </w:p>
    <w:p>
      <w:pPr>
        <w:spacing w:after="0"/>
        <w:tabs>
          <w:tab w:leader="none" w:pos="94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4, 2010</w:t>
      </w:r>
      <w:r>
        <w:rPr>
          <w:sz w:val="20"/>
          <w:szCs w:val="20"/>
          <w:color w:val="auto"/>
        </w:rPr>
        <w:tab/>
      </w: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10795</wp:posOffset>
            </wp:positionV>
            <wp:extent cx="2263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51" w:lineRule="exact"/>
        <w:rPr>
          <w:sz w:val="20"/>
          <w:szCs w:val="20"/>
          <w:color w:val="auto"/>
        </w:rPr>
      </w:pPr>
    </w:p>
    <w:p>
      <w:pPr>
        <w:ind w:left="628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R. Hawkins, Chief Executive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60" w:firstLine="439"/>
        <w:spacing w:after="0" w:line="291" w:lineRule="auto"/>
        <w:rPr>
          <w:sz w:val="20"/>
          <w:szCs w:val="20"/>
          <w:color w:val="auto"/>
        </w:rPr>
      </w:pPr>
      <w:r>
        <w:rPr>
          <w:rFonts w:ascii="Arial" w:cs="Arial" w:eastAsia="Arial" w:hAnsi="Arial"/>
          <w:sz w:val="16"/>
          <w:szCs w:val="16"/>
          <w:color w:val="auto"/>
        </w:rPr>
        <w:t>Each of the undersigned directors of the Company, does hereby make, constitute and appoint John R. Hawkins and Kathleen P. Pepski, and either of them, the undersigned’s true and lawful attorney-in-fact and agent, acting alone, with full power of substitution, for the undersigned and in the undersigned’s name, place and stead, to sign and affix the undersigned’s name as such director of the Company, in any and all capacities, to any and all amendments to this Annual Report on Form 10-K and to file the same, with all exhibits thereto, and other documents in connection wherewith, with the Securities and Exchange Commission, granting unto said attorney-in-fact, and either of them, full power and authority to do and perform each and every act necessary or incidental to the performance and execution of the powers herein expressly granted.</w:t>
      </w:r>
    </w:p>
    <w:p>
      <w:pPr>
        <w:spacing w:after="0" w:line="174" w:lineRule="exact"/>
        <w:rPr>
          <w:sz w:val="20"/>
          <w:szCs w:val="20"/>
          <w:color w:val="auto"/>
        </w:rPr>
      </w:pPr>
    </w:p>
    <w:p>
      <w:pPr>
        <w:ind w:right="50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0" w:type="dxa"/>
            <w:vAlign w:val="bottom"/>
          </w:tcPr>
          <w:p>
            <w:pPr>
              <w:spacing w:after="0"/>
              <w:rPr>
                <w:sz w:val="19"/>
                <w:szCs w:val="19"/>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19"/>
                <w:szCs w:val="19"/>
                <w:color w:val="auto"/>
              </w:rPr>
            </w:pPr>
          </w:p>
        </w:tc>
      </w:tr>
      <w:tr>
        <w:trPr>
          <w:trHeight w:val="201"/>
        </w:trPr>
        <w:tc>
          <w:tcPr>
            <w:tcW w:w="68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7"/>
              </w:rPr>
              <w:t>John R. Hawkins, Chief Executive Officer (Principal Executive</w:t>
            </w:r>
          </w:p>
        </w:tc>
        <w:tc>
          <w:tcPr>
            <w:tcW w:w="26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6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Officer) and Director</w:t>
            </w:r>
          </w:p>
        </w:tc>
        <w:tc>
          <w:tcPr>
            <w:tcW w:w="26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7"/>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P. Pepski</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01"/>
        </w:trPr>
        <w:tc>
          <w:tcPr>
            <w:tcW w:w="68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5"/>
              </w:rPr>
              <w:t>Kathleen P. Pepski, Vice President, Chief Financial Officer and</w:t>
            </w:r>
          </w:p>
        </w:tc>
        <w:tc>
          <w:tcPr>
            <w:tcW w:w="26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6"/>
              </w:rPr>
              <w:t>Treasurer (Principal Financial Officer and Principal Accounting</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Officer)</w:t>
            </w:r>
          </w:p>
        </w:tc>
        <w:tc>
          <w:tcPr>
            <w:tcW w:w="26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7"/>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McKeon</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John S. McKeon, Director, Chairman of the Board</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Duane M. Jergenson</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Duane M. Jergenson, Director</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I. Skaar</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Daryl I. Skaar, Director</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Faulconbridge</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James A. Faulconbridge, Director</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 Thompson</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James T. Thompson, Director</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8"/>
        </w:trPr>
        <w:tc>
          <w:tcPr>
            <w:tcW w:w="6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L. Wright</w:t>
            </w:r>
          </w:p>
        </w:tc>
        <w:tc>
          <w:tcPr>
            <w:tcW w:w="2660" w:type="dxa"/>
            <w:vAlign w:val="bottom"/>
          </w:tcPr>
          <w:p>
            <w:pPr>
              <w:ind w:left="1900"/>
              <w:spacing w:after="0"/>
              <w:rPr>
                <w:sz w:val="20"/>
                <w:szCs w:val="20"/>
                <w:color w:val="auto"/>
              </w:rPr>
            </w:pPr>
            <w:r>
              <w:rPr>
                <w:rFonts w:ascii="Arial" w:cs="Arial" w:eastAsia="Arial" w:hAnsi="Arial"/>
                <w:sz w:val="18"/>
                <w:szCs w:val="18"/>
                <w:color w:val="auto"/>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2010</w:t>
            </w:r>
          </w:p>
        </w:tc>
        <w:tc>
          <w:tcPr>
            <w:tcW w:w="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Jeffrey L. Wright, Director</w:t>
            </w:r>
          </w:p>
        </w:tc>
        <w:tc>
          <w:tcPr>
            <w:tcW w:w="2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24"/>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44</w:t>
            </w: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680" w:type="dxa"/>
            <w:vAlign w:val="bottom"/>
            <w:tcBorders>
              <w:bottom w:val="single" w:sz="8" w:color="808080"/>
            </w:tcBorders>
          </w:tcPr>
          <w:p>
            <w:pPr>
              <w:spacing w:after="0"/>
              <w:rPr>
                <w:sz w:val="21"/>
                <w:szCs w:val="21"/>
                <w:color w:val="auto"/>
              </w:rPr>
            </w:pPr>
          </w:p>
        </w:tc>
        <w:tc>
          <w:tcPr>
            <w:tcW w:w="4800" w:type="dxa"/>
            <w:vAlign w:val="bottom"/>
            <w:tcBorders>
              <w:bottom w:val="single" w:sz="8" w:color="808080"/>
            </w:tcBorders>
          </w:tcPr>
          <w:p>
            <w:pPr>
              <w:spacing w:after="0"/>
              <w:rPr>
                <w:sz w:val="21"/>
                <w:szCs w:val="21"/>
                <w:color w:val="auto"/>
              </w:rPr>
            </w:pPr>
          </w:p>
        </w:tc>
        <w:tc>
          <w:tcPr>
            <w:tcW w:w="2660" w:type="dxa"/>
            <w:vAlign w:val="bottom"/>
            <w:tcBorders>
              <w:bottom w:val="single" w:sz="8" w:color="808080"/>
            </w:tcBorders>
          </w:tcPr>
          <w:p>
            <w:pPr>
              <w:spacing w:after="0"/>
              <w:rPr>
                <w:sz w:val="21"/>
                <w:szCs w:val="21"/>
                <w:color w:val="auto"/>
              </w:rPr>
            </w:pPr>
          </w:p>
        </w:tc>
        <w:tc>
          <w:tcPr>
            <w:tcW w:w="32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SCHEDULE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ind w:right="4020"/>
        <w:spacing w:after="0" w:line="261" w:lineRule="auto"/>
        <w:rPr>
          <w:sz w:val="20"/>
          <w:szCs w:val="20"/>
          <w:color w:val="auto"/>
        </w:rPr>
      </w:pPr>
      <w:r>
        <w:rPr>
          <w:rFonts w:ascii="Arial" w:cs="Arial" w:eastAsia="Arial" w:hAnsi="Arial"/>
          <w:sz w:val="18"/>
          <w:szCs w:val="18"/>
          <w:b w:val="1"/>
          <w:bCs w:val="1"/>
          <w:color w:val="auto"/>
        </w:rPr>
        <w:t>FOR THE FISCAL YEARS ENDED MARCH 28, 2010, MARCH 29, 2009, AND MARCH 30, 2008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6"/>
              </w:rPr>
              <w:t>Charged to</w:t>
            </w:r>
          </w:p>
        </w:tc>
        <w:tc>
          <w:tcPr>
            <w:tcW w:w="1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Charged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Costs and</w:t>
            </w:r>
          </w:p>
        </w:tc>
        <w:tc>
          <w:tcPr>
            <w:tcW w:w="140" w:type="dxa"/>
            <w:vAlign w:val="bottom"/>
          </w:tcPr>
          <w:p>
            <w:pPr>
              <w:spacing w:after="0"/>
              <w:rPr>
                <w:sz w:val="12"/>
                <w:szCs w:val="12"/>
                <w:color w:val="auto"/>
              </w:rPr>
            </w:pPr>
          </w:p>
        </w:tc>
        <w:tc>
          <w:tcPr>
            <w:tcW w:w="7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To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218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of 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Expenses</w:t>
            </w:r>
          </w:p>
        </w:tc>
        <w:tc>
          <w:tcPr>
            <w:tcW w:w="1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Accounts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w w:val="97"/>
              </w:rPr>
              <w:t>Write-Offs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End of Year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D6F3E8"/>
          </w:tcPr>
          <w:p>
            <w:pPr>
              <w:spacing w:after="0"/>
              <w:rPr>
                <w:sz w:val="20"/>
                <w:szCs w:val="20"/>
                <w:color w:val="auto"/>
              </w:rPr>
            </w:pPr>
            <w:r>
              <w:rPr>
                <w:rFonts w:ascii="Arial" w:cs="Arial" w:eastAsia="Arial" w:hAnsi="Arial"/>
                <w:sz w:val="18"/>
                <w:szCs w:val="18"/>
                <w:color w:val="auto"/>
              </w:rPr>
              <w:t>Reserve deducted from asset to which it applies:</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5080" w:type="dxa"/>
            <w:vAlign w:val="bottom"/>
            <w:gridSpan w:val="2"/>
          </w:tcPr>
          <w:p>
            <w:pPr>
              <w:spacing w:after="0"/>
              <w:rPr>
                <w:sz w:val="20"/>
                <w:szCs w:val="20"/>
                <w:color w:val="auto"/>
              </w:rPr>
            </w:pPr>
            <w:r>
              <w:rPr>
                <w:rFonts w:ascii="Arial" w:cs="Arial" w:eastAsia="Arial" w:hAnsi="Arial"/>
                <w:sz w:val="18"/>
                <w:szCs w:val="18"/>
                <w:color w:val="auto"/>
              </w:rPr>
              <w:t>Year Ended March 28, 2010: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80"/>
              <w:spacing w:after="0"/>
              <w:rPr>
                <w:sz w:val="20"/>
                <w:szCs w:val="20"/>
                <w:color w:val="auto"/>
              </w:rPr>
            </w:pPr>
            <w:r>
              <w:rPr>
                <w:rFonts w:ascii="Arial" w:cs="Arial" w:eastAsia="Arial" w:hAnsi="Arial"/>
                <w:sz w:val="18"/>
                <w:szCs w:val="18"/>
                <w:color w:val="auto"/>
                <w:w w:val="77"/>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60" w:type="dxa"/>
            <w:vAlign w:val="bottom"/>
            <w:shd w:val="clear" w:color="auto" w:fill="D6F3E8"/>
          </w:tcPr>
          <w:p>
            <w:pPr>
              <w:spacing w:after="0"/>
              <w:rPr>
                <w:sz w:val="20"/>
                <w:szCs w:val="20"/>
                <w:color w:val="auto"/>
              </w:rPr>
            </w:pPr>
            <w:r>
              <w:rPr>
                <w:rFonts w:ascii="Arial" w:cs="Arial" w:eastAsia="Arial" w:hAnsi="Arial"/>
                <w:sz w:val="18"/>
                <w:szCs w:val="18"/>
                <w:color w:val="auto"/>
              </w:rPr>
              <w:t>Year Ended March 29, 2009:</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225</w:t>
            </w:r>
          </w:p>
        </w:tc>
        <w:tc>
          <w:tcPr>
            <w:tcW w:w="2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6F3E8"/>
          </w:tcPr>
          <w:p>
            <w:pPr>
              <w:ind w:left="580"/>
              <w:spacing w:after="0"/>
              <w:rPr>
                <w:sz w:val="20"/>
                <w:szCs w:val="20"/>
                <w:color w:val="auto"/>
              </w:rPr>
            </w:pPr>
            <w:r>
              <w:rPr>
                <w:rFonts w:ascii="Arial" w:cs="Arial" w:eastAsia="Arial" w:hAnsi="Arial"/>
                <w:sz w:val="18"/>
                <w:szCs w:val="18"/>
                <w:color w:val="auto"/>
                <w:w w:val="77"/>
              </w:rPr>
              <w:t>—</w:t>
            </w:r>
          </w:p>
        </w:tc>
        <w:tc>
          <w:tcPr>
            <w:tcW w:w="3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080" w:type="dxa"/>
            <w:vAlign w:val="bottom"/>
            <w:gridSpan w:val="2"/>
          </w:tcPr>
          <w:p>
            <w:pPr>
              <w:spacing w:after="0"/>
              <w:rPr>
                <w:sz w:val="20"/>
                <w:szCs w:val="20"/>
                <w:color w:val="auto"/>
              </w:rPr>
            </w:pPr>
            <w:r>
              <w:rPr>
                <w:rFonts w:ascii="Arial" w:cs="Arial" w:eastAsia="Arial" w:hAnsi="Arial"/>
                <w:sz w:val="18"/>
                <w:szCs w:val="18"/>
                <w:color w:val="auto"/>
              </w:rPr>
              <w:t>Year Ended March 30, 2008: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80"/>
              <w:spacing w:after="0"/>
              <w:rPr>
                <w:sz w:val="20"/>
                <w:szCs w:val="20"/>
                <w:color w:val="auto"/>
              </w:rPr>
            </w:pPr>
            <w:r>
              <w:rPr>
                <w:rFonts w:ascii="Arial" w:cs="Arial" w:eastAsia="Arial" w:hAnsi="Arial"/>
                <w:sz w:val="18"/>
                <w:szCs w:val="18"/>
                <w:color w:val="auto"/>
                <w:w w:val="77"/>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2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50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500" w:type="dxa"/>
            <w:vAlign w:val="bottom"/>
            <w:gridSpan w:val="2"/>
          </w:tcPr>
          <w:p>
            <w:pPr>
              <w:ind w:left="1140"/>
              <w:spacing w:after="0"/>
              <w:rPr>
                <w:sz w:val="20"/>
                <w:szCs w:val="20"/>
                <w:color w:val="auto"/>
              </w:rPr>
            </w:pPr>
            <w:r>
              <w:rPr>
                <w:rFonts w:ascii="Arial" w:cs="Arial" w:eastAsia="Arial" w:hAnsi="Arial"/>
                <w:sz w:val="18"/>
                <w:szCs w:val="18"/>
                <w:color w:val="auto"/>
              </w:rPr>
              <w:t>Exhibit Index</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Exhibit</w:t>
            </w:r>
          </w:p>
        </w:tc>
        <w:tc>
          <w:tcPr>
            <w:tcW w:w="3400" w:type="dxa"/>
            <w:vAlign w:val="bottom"/>
          </w:tcPr>
          <w:p>
            <w:pPr>
              <w:spacing w:after="0"/>
              <w:rPr>
                <w:sz w:val="24"/>
                <w:szCs w:val="24"/>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Description</w:t>
            </w:r>
          </w:p>
        </w:tc>
        <w:tc>
          <w:tcPr>
            <w:tcW w:w="560" w:type="dxa"/>
            <w:vAlign w:val="bottom"/>
          </w:tcPr>
          <w:p>
            <w:pPr>
              <w:spacing w:after="0"/>
              <w:rPr>
                <w:sz w:val="24"/>
                <w:szCs w:val="24"/>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0" w:type="dxa"/>
            <w:vAlign w:val="bottom"/>
            <w:vMerge w:val="restart"/>
          </w:tcPr>
          <w:p>
            <w:pPr>
              <w:ind w:left="340"/>
              <w:spacing w:after="0"/>
              <w:rPr>
                <w:sz w:val="20"/>
                <w:szCs w:val="20"/>
                <w:color w:val="auto"/>
              </w:rPr>
            </w:pPr>
            <w:r>
              <w:rPr>
                <w:rFonts w:ascii="Arial" w:cs="Arial" w:eastAsia="Arial" w:hAnsi="Arial"/>
                <w:sz w:val="18"/>
                <w:szCs w:val="18"/>
                <w:color w:val="auto"/>
                <w:w w:val="89"/>
              </w:rPr>
              <w:t>Amended and Second Restated Articles of</w:t>
            </w:r>
          </w:p>
        </w:tc>
        <w:tc>
          <w:tcPr>
            <w:tcW w:w="1280" w:type="dxa"/>
            <w:vAlign w:val="bottom"/>
            <w:shd w:val="clear" w:color="auto" w:fill="000000"/>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8"/>
                <w:szCs w:val="18"/>
                <w:color w:val="auto"/>
                <w:w w:val="98"/>
              </w:rPr>
              <w:t>amended through February 27, 2001. (1)</w:t>
            </w:r>
          </w:p>
        </w:tc>
        <w:tc>
          <w:tcPr>
            <w:tcW w:w="5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3400" w:type="dxa"/>
            <w:vAlign w:val="bottom"/>
            <w:vMerge w:val="continue"/>
          </w:tcPr>
          <w:p>
            <w:pPr>
              <w:spacing w:after="0"/>
              <w:rPr>
                <w:sz w:val="17"/>
                <w:szCs w:val="17"/>
                <w:color w:val="auto"/>
              </w:rPr>
            </w:pPr>
          </w:p>
        </w:tc>
        <w:tc>
          <w:tcPr>
            <w:tcW w:w="1280" w:type="dxa"/>
            <w:vAlign w:val="bottom"/>
          </w:tcPr>
          <w:p>
            <w:pPr>
              <w:spacing w:after="0" w:line="203" w:lineRule="exact"/>
              <w:rPr>
                <w:sz w:val="20"/>
                <w:szCs w:val="20"/>
                <w:color w:val="auto"/>
              </w:rPr>
            </w:pPr>
            <w:r>
              <w:rPr>
                <w:rFonts w:ascii="Arial" w:cs="Arial" w:eastAsia="Arial" w:hAnsi="Arial"/>
                <w:sz w:val="18"/>
                <w:szCs w:val="18"/>
                <w:color w:val="auto"/>
                <w:w w:val="97"/>
              </w:rPr>
              <w:t>Incorporation as</w:t>
            </w:r>
          </w:p>
        </w:tc>
        <w:tc>
          <w:tcPr>
            <w:tcW w:w="3220" w:type="dxa"/>
            <w:vAlign w:val="bottom"/>
            <w:vMerge w:val="continue"/>
          </w:tcPr>
          <w:p>
            <w:pPr>
              <w:spacing w:after="0"/>
              <w:rPr>
                <w:sz w:val="17"/>
                <w:szCs w:val="17"/>
                <w:color w:val="auto"/>
              </w:rPr>
            </w:pPr>
          </w:p>
        </w:tc>
        <w:tc>
          <w:tcPr>
            <w:tcW w:w="2100" w:type="dxa"/>
            <w:vAlign w:val="bottom"/>
            <w:gridSpan w:val="2"/>
          </w:tcPr>
          <w:p>
            <w:pPr>
              <w:ind w:left="220"/>
              <w:spacing w:after="0" w:line="203" w:lineRule="exact"/>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Amended and Restated By-Laws. (2)</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Retention Bonus Agreement with John R. Hawkins</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Description of Consulting Arrangement with John S. McKeon. (3)</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Hawkins, Inc. 2004 Omnibus Stock Plan. (4)</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Form of Restricted Stock Agreement under the Company’s 2004 Omnibus Stock Plan. (5)</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w w:val="94"/>
              </w:rPr>
              <w:t>Form of Restricted Stock Agreement (Directors) under the Company’s 2004 Omnibus Stock Plan. (6)</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w w:val="94"/>
              </w:rPr>
              <w:t>Form of Non-Statutory Stock Option Agreement under the Company’s 2004 Omnibus Stock Plan. (7)</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w w:val="91"/>
              </w:rPr>
              <w:t>Form of Performance-Based Restricted Stock Unit Award Notice and Restricted Stock Agreement under</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87"/>
              </w:rPr>
              <w:t>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the Company’s 2004 Omnibus Stock Plan. (8)</w:t>
            </w: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Section 1350 Certification by Chief Executive Officer.</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r>
        <w:trPr>
          <w:trHeight w:val="222"/>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Section 1350 Certification by Chief Financial Officer.</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40" w:hanging="548"/>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 w:lineRule="exact"/>
        <w:rPr>
          <w:rFonts w:ascii="Arial" w:cs="Arial" w:eastAsia="Arial" w:hAnsi="Arial"/>
          <w:sz w:val="18"/>
          <w:szCs w:val="18"/>
          <w:color w:val="auto"/>
        </w:rPr>
      </w:pPr>
    </w:p>
    <w:p>
      <w:pPr>
        <w:ind w:left="1040" w:hanging="548"/>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32" w:lineRule="exact"/>
        <w:rPr>
          <w:rFonts w:ascii="Arial" w:cs="Arial" w:eastAsia="Arial" w:hAnsi="Arial"/>
          <w:sz w:val="16"/>
          <w:szCs w:val="16"/>
          <w:color w:val="auto"/>
        </w:rPr>
      </w:pPr>
    </w:p>
    <w:p>
      <w:pPr>
        <w:ind w:left="1040" w:hanging="548"/>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Item 1.01 of the Company’s Current Report on Form 8-K dated August 5, 2009 and filed August 11, 2009.</w:t>
      </w:r>
    </w:p>
    <w:p>
      <w:pPr>
        <w:spacing w:after="0" w:line="32" w:lineRule="exact"/>
        <w:rPr>
          <w:rFonts w:ascii="Arial" w:cs="Arial" w:eastAsia="Arial" w:hAnsi="Arial"/>
          <w:sz w:val="16"/>
          <w:szCs w:val="16"/>
          <w:color w:val="auto"/>
        </w:rPr>
      </w:pPr>
    </w:p>
    <w:p>
      <w:pPr>
        <w:ind w:left="1040" w:hanging="548"/>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32" w:lineRule="exact"/>
        <w:rPr>
          <w:rFonts w:ascii="Arial" w:cs="Arial" w:eastAsia="Arial" w:hAnsi="Arial"/>
          <w:sz w:val="16"/>
          <w:szCs w:val="16"/>
          <w:color w:val="auto"/>
        </w:rPr>
      </w:pPr>
    </w:p>
    <w:p>
      <w:pPr>
        <w:ind w:left="1040" w:hanging="548"/>
        <w:spacing w:after="0" w:line="25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for the quarterly period ended September 30, 2004 and filed November 9, 2004.</w:t>
      </w:r>
    </w:p>
    <w:p>
      <w:pPr>
        <w:ind w:left="1040" w:hanging="548"/>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September 30, 2008.</w:t>
      </w:r>
    </w:p>
    <w:p>
      <w:pPr>
        <w:spacing w:after="0" w:line="32" w:lineRule="exact"/>
        <w:rPr>
          <w:rFonts w:ascii="Arial" w:cs="Arial" w:eastAsia="Arial" w:hAnsi="Arial"/>
          <w:sz w:val="16"/>
          <w:szCs w:val="16"/>
          <w:color w:val="auto"/>
        </w:rPr>
      </w:pPr>
    </w:p>
    <w:p>
      <w:pPr>
        <w:ind w:left="1040" w:hanging="548"/>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June 30, 2008.</w:t>
      </w:r>
    </w:p>
    <w:p>
      <w:pPr>
        <w:spacing w:after="0" w:line="32" w:lineRule="exact"/>
        <w:rPr>
          <w:rFonts w:ascii="Arial" w:cs="Arial" w:eastAsia="Arial" w:hAnsi="Arial"/>
          <w:sz w:val="16"/>
          <w:szCs w:val="16"/>
          <w:color w:val="auto"/>
        </w:rPr>
      </w:pPr>
    </w:p>
    <w:p>
      <w:pPr>
        <w:ind w:left="1040" w:hanging="548"/>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Quarterly Report on Form 10-Q for the quarterly period ended June 30, 2008.</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RETENTION BONUS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RETENTION BONUS AGREEMENT (the “Agreement”) is made and entered into effective as of June 2, 2010, by and between Hawkins,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John R. Hawkins (“Executive”).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Executive currently serves as Chief Executive Officer of the Company;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recently appointed a new President of the Company as part of succession planning efforts of the Board of Directors of the Company (the “Board”);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have Executive play a significant role in the succession planning process over the next several years and desires to provide an incentive to Executive to continue employment with the Company for a period of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is willing to provide a retention bonus to Executive under the terms and subject to the considerations set forth herein.</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in consideration of the foregoing and the covenants set forth below, and other good and valuable consideration, the receipt and adequacy of which is specifically acknowledged, the Company and Executive hereby agree as follows:</w:t>
      </w:r>
    </w:p>
    <w:p>
      <w:pPr>
        <w:spacing w:after="0" w:line="166" w:lineRule="exact"/>
        <w:rPr>
          <w:sz w:val="20"/>
          <w:szCs w:val="20"/>
          <w:color w:val="auto"/>
        </w:rPr>
      </w:pPr>
    </w:p>
    <w:p>
      <w:pPr>
        <w:ind w:right="120" w:firstLine="656"/>
        <w:spacing w:after="0" w:line="282" w:lineRule="auto"/>
        <w:tabs>
          <w:tab w:leader="none" w:pos="138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Retention Bonus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pay Executive a retention bonus in the amount of $680,000 (the “Retention Bonus”),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w:t>
      </w:r>
    </w:p>
    <w:p>
      <w:pPr>
        <w:spacing w:after="0" w:line="165" w:lineRule="exact"/>
        <w:rPr>
          <w:rFonts w:ascii="Arial" w:cs="Arial" w:eastAsia="Arial" w:hAnsi="Arial"/>
          <w:sz w:val="18"/>
          <w:szCs w:val="18"/>
          <w:b w:val="1"/>
          <w:bCs w:val="1"/>
          <w:color w:val="auto"/>
        </w:rPr>
      </w:pPr>
    </w:p>
    <w:p>
      <w:pPr>
        <w:ind w:left="1640" w:hanging="335"/>
        <w:spacing w:after="0"/>
        <w:tabs>
          <w:tab w:leader="none" w:pos="1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Executive remains actively employed with the Company from the date of this Agreement through June 2, 2013 (the “Vesting Date”);</w:t>
      </w:r>
    </w:p>
    <w:p>
      <w:pPr>
        <w:spacing w:after="0" w:line="248" w:lineRule="exact"/>
        <w:rPr>
          <w:rFonts w:ascii="Arial" w:cs="Arial" w:eastAsia="Arial" w:hAnsi="Arial"/>
          <w:sz w:val="16"/>
          <w:szCs w:val="16"/>
          <w:color w:val="auto"/>
        </w:rPr>
      </w:pPr>
    </w:p>
    <w:p>
      <w:pPr>
        <w:ind w:left="1660" w:hanging="355"/>
        <w:spacing w:after="0"/>
        <w:tabs>
          <w:tab w:leader="none" w:pos="1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Executive’s Termination Date occurs thereafter for any reason other than termination by the Company for Cause; and</w:t>
      </w:r>
    </w:p>
    <w:p>
      <w:pPr>
        <w:spacing w:after="0" w:line="225" w:lineRule="exact"/>
        <w:rPr>
          <w:rFonts w:ascii="Arial" w:cs="Arial" w:eastAsia="Arial" w:hAnsi="Arial"/>
          <w:sz w:val="18"/>
          <w:szCs w:val="18"/>
          <w:color w:val="auto"/>
        </w:rPr>
      </w:pPr>
    </w:p>
    <w:p>
      <w:pPr>
        <w:ind w:left="1620" w:right="540" w:hanging="315"/>
        <w:spacing w:after="0" w:line="277" w:lineRule="auto"/>
        <w:tabs>
          <w:tab w:leader="none" w:pos="1673"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 signs and does not rescind a release of claims in a form prescribed by the Company. Such release will be provided to Executive on or before the Termination Date.</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Any Retention Bonus that becomes due under this Agreement shall be paid to Executive in substantially equal installments commencing on the first regular payroll date of the Company following the Termination Date and continuing in accordance with the Company’s regular payroll schedule for a period of three</w:t>
      </w: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years.</w:t>
      </w:r>
    </w:p>
    <w:p>
      <w:pPr>
        <w:spacing w:after="0" w:line="206" w:lineRule="exact"/>
        <w:rPr>
          <w:rFonts w:ascii="Arial" w:cs="Arial" w:eastAsia="Arial" w:hAnsi="Arial"/>
          <w:sz w:val="18"/>
          <w:szCs w:val="18"/>
          <w:color w:val="auto"/>
        </w:rPr>
      </w:pPr>
    </w:p>
    <w:p>
      <w:pPr>
        <w:ind w:left="1300" w:right="2040" w:hanging="644"/>
        <w:spacing w:after="0" w:line="532" w:lineRule="auto"/>
        <w:tabs>
          <w:tab w:leader="none" w:pos="1372"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 the following terms shall have the meanings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a. “Cause” shall mean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7" w:name="page48"/>
    <w:bookmarkEnd w:id="47"/>
    <w:p>
      <w:pPr>
        <w:ind w:left="2400" w:right="620" w:hanging="467"/>
        <w:spacing w:after="0" w:line="277" w:lineRule="auto"/>
        <w:tabs>
          <w:tab w:leader="none" w:pos="2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Executive’s willful and material failure or refusal during his employment to carry out any reasonable directive of the Board;</w:t>
      </w:r>
    </w:p>
    <w:p>
      <w:pPr>
        <w:spacing w:after="0" w:line="197" w:lineRule="exact"/>
        <w:rPr>
          <w:rFonts w:ascii="Arial" w:cs="Arial" w:eastAsia="Arial" w:hAnsi="Arial"/>
          <w:sz w:val="18"/>
          <w:szCs w:val="18"/>
          <w:color w:val="auto"/>
        </w:rPr>
      </w:pPr>
    </w:p>
    <w:p>
      <w:pPr>
        <w:ind w:left="2400" w:right="500" w:hanging="467"/>
        <w:spacing w:after="0" w:line="312" w:lineRule="auto"/>
        <w:tabs>
          <w:tab w:leader="none" w:pos="2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willful and material failure by Executive during his employment to comply with any material policy, rule or code of conduct generally applicable to employees of the Company or to management employees of the Company, which failure is materially and demonstratively injurious to the financial condition or business reputation of the Company;</w:t>
      </w:r>
    </w:p>
    <w:p>
      <w:pPr>
        <w:spacing w:after="0" w:line="173" w:lineRule="exact"/>
        <w:rPr>
          <w:rFonts w:ascii="Arial" w:cs="Arial" w:eastAsia="Arial" w:hAnsi="Arial"/>
          <w:sz w:val="16"/>
          <w:szCs w:val="16"/>
          <w:color w:val="auto"/>
        </w:rPr>
      </w:pPr>
    </w:p>
    <w:p>
      <w:pPr>
        <w:ind w:left="2400" w:right="960" w:hanging="467"/>
        <w:spacing w:after="0" w:line="342" w:lineRule="auto"/>
        <w:tabs>
          <w:tab w:leader="none" w:pos="2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Executive’s embezzlement or misappropriation of funds of the Company or any other willful act or omission by Executive which is materially injurious to the financial condition or business reputation of the Company; or</w:t>
      </w:r>
    </w:p>
    <w:p>
      <w:pPr>
        <w:spacing w:after="0" w:line="150" w:lineRule="exact"/>
        <w:rPr>
          <w:rFonts w:ascii="Arial" w:cs="Arial" w:eastAsia="Arial" w:hAnsi="Arial"/>
          <w:sz w:val="16"/>
          <w:szCs w:val="16"/>
          <w:color w:val="auto"/>
        </w:rPr>
      </w:pPr>
    </w:p>
    <w:p>
      <w:pPr>
        <w:ind w:left="2400" w:right="580" w:hanging="467"/>
        <w:spacing w:after="0" w:line="264" w:lineRule="auto"/>
        <w:tabs>
          <w:tab w:leader="none" w:pos="2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Executive’s conviction or confession of an act or acts constituting a felony under the laws of the United States or any state thereof related to the business of the Company or which is materially injurious to the financial condition or business reputation of the Company.</w:t>
      </w:r>
    </w:p>
    <w:p>
      <w:pPr>
        <w:spacing w:after="0" w:line="181" w:lineRule="exact"/>
        <w:rPr>
          <w:sz w:val="20"/>
          <w:szCs w:val="20"/>
          <w:color w:val="auto"/>
        </w:rPr>
      </w:pPr>
    </w:p>
    <w:p>
      <w:pPr>
        <w:ind w:left="1600" w:right="160"/>
        <w:spacing w:after="0" w:line="259" w:lineRule="auto"/>
        <w:rPr>
          <w:sz w:val="20"/>
          <w:szCs w:val="20"/>
          <w:color w:val="auto"/>
        </w:rPr>
      </w:pPr>
      <w:r>
        <w:rPr>
          <w:rFonts w:ascii="Arial" w:cs="Arial" w:eastAsia="Arial" w:hAnsi="Arial"/>
          <w:sz w:val="18"/>
          <w:szCs w:val="18"/>
          <w:color w:val="auto"/>
        </w:rPr>
        <w:t>Provided, however, that the circumstances set forth in parts (i) or (ii) above shall constitute Cause under this Agreement only if the Company provides Executive written notice of the act(s) or omission(s) that the Company believes constitutes Cause, provides Executive the opportunity to cure the consequences of such act(s) or omission(s) within 30 days following such notice, and Executive does not so cure.</w:t>
      </w:r>
    </w:p>
    <w:p>
      <w:pPr>
        <w:spacing w:after="0" w:line="187" w:lineRule="exact"/>
        <w:rPr>
          <w:sz w:val="20"/>
          <w:szCs w:val="20"/>
          <w:color w:val="auto"/>
        </w:rPr>
      </w:pPr>
    </w:p>
    <w:p>
      <w:pPr>
        <w:ind w:left="1600" w:hanging="315"/>
        <w:spacing w:after="0" w:line="308" w:lineRule="auto"/>
        <w:tabs>
          <w:tab w:leader="none" w:pos="1726" w:val="left"/>
        </w:tabs>
        <w:numPr>
          <w:ilvl w:val="1"/>
          <w:numId w:val="20"/>
        </w:numPr>
        <w:rPr>
          <w:rFonts w:ascii="Arial" w:cs="Arial" w:eastAsia="Arial" w:hAnsi="Arial"/>
          <w:sz w:val="17"/>
          <w:szCs w:val="17"/>
          <w:color w:val="auto"/>
        </w:rPr>
      </w:pPr>
      <w:r>
        <w:rPr>
          <w:rFonts w:ascii="Arial" w:cs="Arial" w:eastAsia="Arial" w:hAnsi="Arial"/>
          <w:sz w:val="17"/>
          <w:szCs w:val="17"/>
          <w:color w:val="auto"/>
        </w:rPr>
        <w:t>“Termination Date” shall mean the date of Executive’s “separation from service” with the Company within the meaning of Section 409A(a)(2)(A)(i) of the Internal Revenue Code of 1986, as amended, and the regulations and guidances thereunder.</w:t>
      </w:r>
    </w:p>
    <w:p>
      <w:pPr>
        <w:spacing w:after="0" w:line="142" w:lineRule="exact"/>
        <w:rPr>
          <w:rFonts w:ascii="Arial" w:cs="Arial" w:eastAsia="Arial" w:hAnsi="Arial"/>
          <w:sz w:val="17"/>
          <w:szCs w:val="17"/>
          <w:color w:val="auto"/>
        </w:rPr>
      </w:pPr>
    </w:p>
    <w:p>
      <w:pPr>
        <w:ind w:left="-20" w:right="80" w:firstLine="656"/>
        <w:spacing w:after="0" w:line="261" w:lineRule="auto"/>
        <w:tabs>
          <w:tab w:leader="none" w:pos="134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Payment upon Death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Executive’s death prior to the Vesting Date, the Retention Bonus shall become fully vested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Executive’s estate, provided the release condition set forth in Section 1(c) has been satisfied by the estate. The Retention Bonus will be paid in substantially equal installments commencing on the first regular payroll date of the Company following the date of Executive’s death and continuing in accordance with the Company’s regular payroll schedule for a period of three (3) years.</w:t>
      </w:r>
    </w:p>
    <w:p>
      <w:pPr>
        <w:spacing w:after="0" w:line="180" w:lineRule="exact"/>
        <w:rPr>
          <w:rFonts w:ascii="Arial" w:cs="Arial" w:eastAsia="Arial" w:hAnsi="Arial"/>
          <w:sz w:val="18"/>
          <w:szCs w:val="18"/>
          <w:b w:val="1"/>
          <w:bCs w:val="1"/>
          <w:color w:val="auto"/>
        </w:rPr>
      </w:pPr>
    </w:p>
    <w:p>
      <w:pPr>
        <w:ind w:left="-20" w:right="80" w:firstLine="656"/>
        <w:spacing w:after="0" w:line="298" w:lineRule="auto"/>
        <w:tabs>
          <w:tab w:leader="none" w:pos="134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or communication contemplated by or required to be given under this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duly given when personally delivered or when mailed by U.S. registered or certified mail, return receipt requested and postage prepaid. In the case of notice to the Executive, mailed notices shall be addressed to the Executive at the home address which he most recently communicated to the Company in writing. In the case of notice to the Company, mailed notices shall be addressed to its corporate headquarters, and all notices shall be directed to the attention of its General Counsel. Notices sent by mail are deemed to have been given upon the date of mailing in accordance with this Section 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368" w:right="239" w:bottom="1440" w:gutter="0" w:footer="0" w:header="0"/>
        </w:sectPr>
      </w:pPr>
    </w:p>
    <w:bookmarkStart w:id="48" w:name="page49"/>
    <w:bookmarkEnd w:id="48"/>
    <w:p>
      <w:pPr>
        <w:ind w:left="-20" w:right="60" w:firstLine="656"/>
        <w:spacing w:after="0" w:line="266" w:lineRule="auto"/>
        <w:tabs>
          <w:tab w:leader="none" w:pos="134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Promise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constitute a promise of continued employment of Executive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Executive’s employment is at-will, meaning that either Executive or the Company may terminate the employment relationship at any time for any or no reason.</w:t>
      </w:r>
    </w:p>
    <w:p>
      <w:pPr>
        <w:spacing w:after="0" w:line="176" w:lineRule="exact"/>
        <w:rPr>
          <w:rFonts w:ascii="Arial" w:cs="Arial" w:eastAsia="Arial" w:hAnsi="Arial"/>
          <w:sz w:val="18"/>
          <w:szCs w:val="18"/>
          <w:b w:val="1"/>
          <w:bCs w:val="1"/>
          <w:color w:val="auto"/>
        </w:rPr>
      </w:pPr>
    </w:p>
    <w:p>
      <w:pPr>
        <w:ind w:left="-20" w:right="40" w:firstLine="656"/>
        <w:spacing w:after="0" w:line="303" w:lineRule="auto"/>
        <w:tabs>
          <w:tab w:leader="none" w:pos="1348"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withhold from any amounts payable under this Agreement such federal, state and local income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taxes as the Company shall determine are required to be withheld pursuant to any applicable law or regulation. The Company makes no assurances to Executive as to the tax treatment of any payments hereunder and, except with respect to tax amounts withheld by the Company, Executive will be responsible for payment and remittance of all taxes due with respect to compensation received or imputed under this Agreement.</w:t>
      </w:r>
    </w:p>
    <w:p>
      <w:pPr>
        <w:spacing w:after="0" w:line="151" w:lineRule="exact"/>
        <w:rPr>
          <w:rFonts w:ascii="Arial" w:cs="Arial" w:eastAsia="Arial" w:hAnsi="Arial"/>
          <w:sz w:val="16"/>
          <w:szCs w:val="16"/>
          <w:b w:val="1"/>
          <w:bCs w:val="1"/>
          <w:color w:val="auto"/>
        </w:rPr>
      </w:pPr>
    </w:p>
    <w:p>
      <w:pPr>
        <w:ind w:left="-20" w:firstLine="656"/>
        <w:spacing w:after="0" w:line="268" w:lineRule="auto"/>
        <w:tabs>
          <w:tab w:leader="none" w:pos="134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payments hereunder are intended to be exempt from or to satisfy the requirements of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409A(a)(2), (3) and (4) of the Internal Revenue Code of 1986, as amended, including current and future guidance and regulations interpreting such provisions (the “Code”), including the exceptions for short-term deferrals, separation pay arrangements, reimbursements, and in-kind distributions, and shall be interpreted and administered accordingly. Each payment under this Agreement is intended to be treated as one of a series of separate payments for purposes of Code Section 409A and Treasury Regulation §1.409A-2(b)(2)(iii) (or any similar or successor provisions). To the extent that payments under this Agreement are subject to Code Section 409A and are on account of a Separation from Service and the Executive is a “Specified Employee” (as defined in Section 409A) as of the date of termination, distributions to the Executive may not be made before the date that is six (6) months after the date of Separation from Service or, if earlier, the date of the Executive’s death. Payments to which the Executive would otherwise be entitled during the first six (6) months following the date of termination will be accumulated and paid on the first day of the seventh month following the Termination Date (or the Executive’s death, if earlier). To the extent that payments under this Agreement are payments under a “reimbursement plan” subject to Code Section 409A, the right to reimbursement may not be exchanged for cash or any other benefit, the amount of expenses eligible for reimbursement in one calendar year shall not affect the expenses eligible for reimbursement in any other calendar year, and the reimbursement of any eligible expense shall be made pursuant to the Company’s normal policies and procedures for expense reimbursement, which shall be in any event no later than the last day of the calendar year following the calendar year in which the expense was incurred.</w:t>
      </w:r>
    </w:p>
    <w:p>
      <w:pPr>
        <w:spacing w:after="0" w:line="185" w:lineRule="exact"/>
        <w:rPr>
          <w:rFonts w:ascii="Arial" w:cs="Arial" w:eastAsia="Arial" w:hAnsi="Arial"/>
          <w:sz w:val="17"/>
          <w:szCs w:val="17"/>
          <w:b w:val="1"/>
          <w:bCs w:val="1"/>
          <w:color w:val="auto"/>
        </w:rPr>
      </w:pPr>
    </w:p>
    <w:p>
      <w:pPr>
        <w:jc w:val="both"/>
        <w:ind w:left="-20" w:right="160" w:firstLine="656"/>
        <w:spacing w:after="0" w:line="289" w:lineRule="auto"/>
        <w:tabs>
          <w:tab w:leader="none" w:pos="134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All matters relating to the interpretation, construction, application, validity, and enforcement of this Agreement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the laws of the State of Minnesota without giving effect to any choice or conflict of law provision or rule, whether of the State of Minnesota or any other jurisdiction, that would cause the application of laws of any jurisdiction other than the State of Minnesota.</w:t>
      </w:r>
    </w:p>
    <w:p>
      <w:pPr>
        <w:spacing w:after="0" w:line="158" w:lineRule="exact"/>
        <w:rPr>
          <w:rFonts w:ascii="Arial" w:cs="Arial" w:eastAsia="Arial" w:hAnsi="Arial"/>
          <w:sz w:val="17"/>
          <w:szCs w:val="17"/>
          <w:b w:val="1"/>
          <w:bCs w:val="1"/>
          <w:color w:val="auto"/>
        </w:rPr>
      </w:pPr>
    </w:p>
    <w:p>
      <w:pPr>
        <w:ind w:left="-20" w:right="20" w:firstLine="656"/>
        <w:spacing w:after="0" w:line="281" w:lineRule="auto"/>
        <w:tabs>
          <w:tab w:leader="none" w:pos="134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Jurisdiction and Venue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and the Company consent to jurisdiction of the courts of the State of Minnesota and/or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District Court, District of Minnesota, for the purpose of resolving all issues of law, equity, or fact arising out of or in connection with this Agreement. Any action involving claims of a breach of this Agreement must be brought exclusively in such courts. Each party consents to personal jurisdiction over such party in the state and/or federal courts of Minnesota and hereby waives any defense of lack of personal jurisdiction.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364" w:right="259" w:bottom="1440" w:gutter="0" w:footer="0" w:header="0"/>
        </w:sectPr>
      </w:pPr>
    </w:p>
    <w:bookmarkStart w:id="49" w:name="page50"/>
    <w:bookmarkEnd w:id="49"/>
    <w:p>
      <w:pPr>
        <w:ind w:right="280" w:firstLine="656"/>
        <w:spacing w:after="0" w:line="282" w:lineRule="auto"/>
        <w:tabs>
          <w:tab w:leader="none" w:pos="132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LAW, EXECUTIVE AND THE COMPANY WAIVE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TO A JURY TRIAL WITH RESPECT TO ANY DISPUTE ARISING OUT OF OR RELATING TO THIS AGREEMENT.</w:t>
      </w:r>
    </w:p>
    <w:p>
      <w:pPr>
        <w:spacing w:after="0" w:line="188" w:lineRule="exact"/>
        <w:rPr>
          <w:rFonts w:ascii="Arial" w:cs="Arial" w:eastAsia="Arial" w:hAnsi="Arial"/>
          <w:sz w:val="18"/>
          <w:szCs w:val="18"/>
          <w:b w:val="1"/>
          <w:bCs w:val="1"/>
          <w:color w:val="auto"/>
        </w:rPr>
      </w:pPr>
    </w:p>
    <w:p>
      <w:pPr>
        <w:jc w:val="both"/>
        <w:ind w:right="20" w:firstLine="656"/>
        <w:spacing w:after="0" w:line="314" w:lineRule="auto"/>
        <w:tabs>
          <w:tab w:leader="none" w:pos="1313"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agreement and understanding between the parties with respect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This Agreement may not be modified or amended or any terms or provisions waived or discharged except in a written addendum signed by Executive and the Company. This Agreement supersedes and replaces any prior agreement between the Company and Executive relating to the subject matter hereof.</w:t>
      </w:r>
    </w:p>
    <w:p>
      <w:pPr>
        <w:spacing w:after="0" w:line="169" w:lineRule="exact"/>
        <w:rPr>
          <w:rFonts w:ascii="Arial" w:cs="Arial" w:eastAsia="Arial" w:hAnsi="Arial"/>
          <w:sz w:val="16"/>
          <w:szCs w:val="16"/>
          <w:b w:val="1"/>
          <w:bCs w:val="1"/>
          <w:color w:val="auto"/>
        </w:rPr>
      </w:pPr>
    </w:p>
    <w:p>
      <w:pPr>
        <w:ind w:right="20" w:firstLine="656"/>
        <w:spacing w:after="0" w:line="282" w:lineRule="auto"/>
        <w:tabs>
          <w:tab w:leader="none" w:pos="133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88" w:lineRule="exact"/>
        <w:rPr>
          <w:rFonts w:ascii="Arial" w:cs="Arial" w:eastAsia="Arial" w:hAnsi="Arial"/>
          <w:sz w:val="18"/>
          <w:szCs w:val="18"/>
          <w:b w:val="1"/>
          <w:bCs w:val="1"/>
          <w:color w:val="auto"/>
        </w:rPr>
      </w:pPr>
    </w:p>
    <w:p>
      <w:pPr>
        <w:jc w:val="both"/>
        <w:ind w:firstLine="656"/>
        <w:spacing w:after="0" w:line="254" w:lineRule="auto"/>
        <w:tabs>
          <w:tab w:leader="none" w:pos="136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binding on and inures to the benefit of Executive and Executive’s heirs,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 and on the Company and its successors and permitted assigns. No rights or obligations of Executive or the Company hereunder may be assigned, pledged, disposed of or transferred by such party to any other person or entity without the prior written consent of the other party, except that the Company may, without the consent of Executive, assign or delegate all or any portion of its rights and obligations under this Agreement to any corporation or other business entity (i) with which the Company may merge or consolidate, (ii) to which the Company may sell or transfer all or substantially all of its assets or capital stock, or (iii) of which 50% or more of the capital stock or the voting control is owned, directly or indirectly, by the Company or which is under common ownership or control with the Company. Upon any such assignment or delegation by the Company, the Company shall be discharged from all further liability hereunder and such assignee or delegate shall thereafter be deemed to be the “Company” for purposes of such rights or obligations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stated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HAWKINS, INC.</w:t>
            </w:r>
          </w:p>
        </w:tc>
      </w:tr>
      <w:tr>
        <w:trPr>
          <w:trHeight w:val="736"/>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c>
          <w:tcPr>
            <w:tcW w:w="4460" w:type="dxa"/>
            <w:vAlign w:val="bottom"/>
          </w:tcPr>
          <w:p>
            <w:pPr>
              <w:spacing w:after="0"/>
              <w:rPr>
                <w:sz w:val="24"/>
                <w:szCs w:val="24"/>
                <w:color w:val="auto"/>
              </w:rPr>
            </w:pPr>
          </w:p>
        </w:tc>
        <w:tc>
          <w:tcPr>
            <w:tcW w:w="3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Patrick H. Hawkins</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John R. Hawkins</w:t>
            </w:r>
          </w:p>
        </w:tc>
        <w:tc>
          <w:tcPr>
            <w:tcW w:w="44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By: Patrick H. Hawkins</w:t>
            </w:r>
          </w:p>
        </w:tc>
      </w:tr>
      <w:tr>
        <w:trPr>
          <w:trHeight w:val="223"/>
        </w:trPr>
        <w:tc>
          <w:tcPr>
            <w:tcW w:w="32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Its: President</w:t>
            </w:r>
          </w:p>
        </w:tc>
      </w:tr>
      <w:tr>
        <w:trPr>
          <w:trHeight w:val="20"/>
        </w:trPr>
        <w:tc>
          <w:tcPr>
            <w:tcW w:w="3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23.1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No. 333-87582 on Form S-8 relating to the Hawkins, Inc. Employee Stock Purchase Plan, as Amended and Restated, and 333-123080 on Form S-8 relating to the Hawkins, Inc. 2004 Omnibus Stock Plan of our reports dated June 4, 2010, with respect to the balance sheet of Hawkins, Inc. as of March 28, 2010, the related statements of income, shareholders’ equity, and cash flows for the year ended March 28, 2010, the related financial statement schedule, and the effectiveness of internal control over financial reporting as of March 28, 2010, which report appears in the March 28, 2010 annual report on Form 10-K of Hawkins,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23.2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333-87582 and 333-123080, on Form S-8 of our reports dated June 5, 2009, relating to the financial statements and financial statement schedule of Hawkins, Inc., appearing in this Annual Report on Form 10-K of Hawkins, Inc. for the year ended March 28,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ind w:right="-19"/>
        <w:spacing w:after="0"/>
        <w:rPr>
          <w:sz w:val="20"/>
          <w:szCs w:val="20"/>
          <w:color w:val="auto"/>
        </w:rPr>
      </w:pPr>
      <w:r>
        <w:rPr>
          <w:rFonts w:ascii="Arial" w:cs="Arial" w:eastAsia="Arial" w:hAnsi="Arial"/>
          <w:sz w:val="22"/>
          <w:szCs w:val="22"/>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158" w:lineRule="exact"/>
        <w:rPr>
          <w:sz w:val="20"/>
          <w:szCs w:val="20"/>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57" w:lineRule="exact"/>
        <w:rPr>
          <w:rFonts w:ascii="Arial" w:cs="Arial" w:eastAsia="Arial" w:hAnsi="Arial"/>
          <w:sz w:val="18"/>
          <w:szCs w:val="18"/>
          <w:color w:val="auto"/>
        </w:rPr>
      </w:pPr>
    </w:p>
    <w:p>
      <w:pPr>
        <w:jc w:val="both"/>
        <w:ind w:left="1160" w:right="40" w:hanging="571"/>
        <w:spacing w:after="0" w:line="259"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1160" w:right="40" w:hanging="571"/>
        <w:spacing w:after="0" w:line="259"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6" w:lineRule="exact"/>
        <w:rPr>
          <w:rFonts w:ascii="Arial" w:cs="Arial" w:eastAsia="Arial" w:hAnsi="Arial"/>
          <w:sz w:val="18"/>
          <w:szCs w:val="18"/>
          <w:color w:val="auto"/>
        </w:rPr>
      </w:pPr>
    </w:p>
    <w:p>
      <w:pPr>
        <w:ind w:left="1720" w:right="120" w:hanging="564"/>
        <w:spacing w:after="0" w:line="306" w:lineRule="auto"/>
        <w:tabs>
          <w:tab w:leader="none" w:pos="1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40" w:hanging="564"/>
        <w:spacing w:after="0" w:line="306" w:lineRule="auto"/>
        <w:tabs>
          <w:tab w:leader="none" w:pos="1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1720" w:right="200" w:hanging="564"/>
        <w:spacing w:after="0" w:line="370" w:lineRule="auto"/>
        <w:tabs>
          <w:tab w:leader="none" w:pos="17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720" w:right="240" w:hanging="564"/>
        <w:spacing w:after="0" w:line="259" w:lineRule="auto"/>
        <w:tabs>
          <w:tab w:leader="none" w:pos="1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0" w:hanging="571"/>
        <w:spacing w:after="0" w:line="332"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500" w:hanging="564"/>
        <w:spacing w:after="0" w:line="332" w:lineRule="auto"/>
        <w:tabs>
          <w:tab w:leader="none" w:pos="1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200" w:hanging="564"/>
        <w:spacing w:after="0" w:line="268" w:lineRule="auto"/>
        <w:tabs>
          <w:tab w:leader="none" w:pos="1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6985</wp:posOffset>
            </wp:positionV>
            <wp:extent cx="1089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ind w:right="-19"/>
        <w:spacing w:after="0"/>
        <w:rPr>
          <w:sz w:val="20"/>
          <w:szCs w:val="20"/>
          <w:color w:val="auto"/>
        </w:rPr>
      </w:pPr>
      <w:r>
        <w:rPr>
          <w:rFonts w:ascii="Arial" w:cs="Arial" w:eastAsia="Arial" w:hAnsi="Arial"/>
          <w:sz w:val="22"/>
          <w:szCs w:val="22"/>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57" w:lineRule="exact"/>
        <w:rPr>
          <w:rFonts w:ascii="Arial" w:cs="Arial" w:eastAsia="Arial" w:hAnsi="Arial"/>
          <w:sz w:val="18"/>
          <w:szCs w:val="18"/>
          <w:color w:val="auto"/>
        </w:rPr>
      </w:pPr>
    </w:p>
    <w:p>
      <w:pPr>
        <w:jc w:val="both"/>
        <w:ind w:left="1160" w:right="40" w:hanging="571"/>
        <w:spacing w:after="0" w:line="259"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1160" w:right="40" w:hanging="571"/>
        <w:spacing w:after="0" w:line="259"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6" w:lineRule="exact"/>
        <w:rPr>
          <w:rFonts w:ascii="Arial" w:cs="Arial" w:eastAsia="Arial" w:hAnsi="Arial"/>
          <w:sz w:val="18"/>
          <w:szCs w:val="18"/>
          <w:color w:val="auto"/>
        </w:rPr>
      </w:pPr>
    </w:p>
    <w:p>
      <w:pPr>
        <w:ind w:left="1720" w:right="120" w:hanging="564"/>
        <w:spacing w:after="0" w:line="306" w:lineRule="auto"/>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40" w:hanging="564"/>
        <w:spacing w:after="0" w:line="306" w:lineRule="auto"/>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1720" w:right="200" w:hanging="564"/>
        <w:spacing w:after="0" w:line="370" w:lineRule="auto"/>
        <w:tabs>
          <w:tab w:leader="none" w:pos="17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720" w:right="240" w:hanging="564"/>
        <w:spacing w:after="0" w:line="259"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0" w:hanging="571"/>
        <w:spacing w:after="0" w:line="332"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500" w:hanging="564"/>
        <w:spacing w:after="0" w:line="332" w:lineRule="auto"/>
        <w:tabs>
          <w:tab w:leader="none" w:pos="1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200" w:hanging="564"/>
        <w:spacing w:after="0" w:line="268"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6985</wp:posOffset>
            </wp:positionV>
            <wp:extent cx="11664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28, 2010,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890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28, 2010,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664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decimal"/>
      <w:start w:val="3"/>
    </w:lvl>
    <w:lvl w:ilvl="1">
      <w:lvlJc w:val="left"/>
      <w:lvlText w:val="%2."/>
      <w:numFmt w:val="decimal"/>
      <w:start w:val="2"/>
    </w:lvl>
    <w:lvl w:ilvl="2">
      <w:lvlJc w:val="left"/>
      <w:lvlText w:val="%3"/>
      <w:numFmt w:val="lowerLetter"/>
      <w:start w:val="1"/>
    </w:lvl>
  </w:abstractNum>
  <w:abstractNum w:abstractNumId="18">
    <w:nsid w:val="2D1D5AE9"/>
    <w:multiLevelType w:val="hybridMultilevel"/>
    <w:lvl w:ilvl="0">
      <w:lvlJc w:val="left"/>
      <w:lvlText w:val="(%1)"/>
      <w:numFmt w:val="lowerRoman"/>
      <w:start w:val="1"/>
    </w:lvl>
  </w:abstractNum>
  <w:abstractNum w:abstractNumId="19">
    <w:nsid w:val="6763845E"/>
    <w:multiLevelType w:val="hybridMultilevel"/>
    <w:lvl w:ilvl="0">
      <w:lvlJc w:val="left"/>
      <w:lvlText w:val="%1"/>
      <w:numFmt w:val="decimal"/>
      <w:start w:val="1"/>
    </w:lvl>
    <w:lvl w:ilvl="1">
      <w:lvlJc w:val="left"/>
      <w:lvlText w:val="%2."/>
      <w:numFmt w:val="lowerLetter"/>
      <w:start w:val="2"/>
    </w:lvl>
  </w:abstractNum>
  <w:abstractNum w:abstractNumId="20">
    <w:nsid w:val="75A2A8D4"/>
    <w:multiLevelType w:val="hybridMultilevel"/>
    <w:lvl w:ilvl="0">
      <w:lvlJc w:val="left"/>
      <w:lvlText w:val="%1."/>
      <w:numFmt w:val="decimal"/>
      <w:start w:val="3"/>
    </w:lvl>
    <w:lvl w:ilvl="1">
      <w:lvlJc w:val="left"/>
      <w:lvlText w:val="%2"/>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2019-12-09T23:34:26Z</dcterms:created>
  <dcterms:modified xsi:type="dcterms:W3CDTF">2019-12-09T23:34:26Z</dcterms:modified>
</cp:coreProperties>
</file>