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286438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286438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286438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2.70%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286438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286438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286438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2.70%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 , 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HAWKINS INC</w:t>
      </w:r>
    </w:p>
    <w:p>
      <w:pPr>
        <w:spacing w:after="0" w:line="237" w:lineRule="exact"/>
        <w:rPr>
          <w:rFonts w:ascii="Arial" w:cs="Arial" w:eastAsia="Arial" w:hAnsi="Arial"/>
          <w:sz w:val="18"/>
          <w:szCs w:val="18"/>
          <w:color w:val="auto"/>
        </w:rPr>
      </w:pPr>
    </w:p>
    <w:p>
      <w:pPr>
        <w:ind w:left="1300" w:right="648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 HENNEPIN AVE MINNEAPOLIS 55413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Name of Person Filing Neuberger Berman Group LLC Neuberger Berman LLC</w:t>
      </w:r>
    </w:p>
    <w:p>
      <w:pPr>
        <w:spacing w:after="0" w:line="192" w:lineRule="exact"/>
        <w:rPr>
          <w:rFonts w:ascii="Arial" w:cs="Arial" w:eastAsia="Arial" w:hAnsi="Arial"/>
          <w:sz w:val="17"/>
          <w:szCs w:val="17"/>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286,438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2.70%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286,438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286,438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60"/>
          </w:cols>
          <w:pgMar w:left="240" w:top="756" w:right="2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LLC</w:t>
      </w:r>
    </w:p>
    <w:p>
      <w:pPr>
        <w:sectPr>
          <w:pgSz w:w="11900" w:h="16838" w:orient="portrait"/>
          <w:cols w:equalWidth="0" w:num="1">
            <w:col w:w="11360"/>
          </w:cols>
          <w:pgMar w:left="240" w:top="756" w:right="2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10, 2015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spacing w:after="0" w:line="290" w:lineRule="auto"/>
        <w:rPr>
          <w:sz w:val="20"/>
          <w:szCs w:val="20"/>
          <w:color w:val="auto"/>
        </w:rPr>
      </w:pPr>
      <w:r>
        <w:rPr>
          <w:rFonts w:ascii="Arial" w:cs="Arial" w:eastAsia="Arial" w:hAnsi="Arial"/>
          <w:sz w:val="16"/>
          <w:szCs w:val="16"/>
          <w:color w:val="auto"/>
        </w:rPr>
        <w:t>Neuberger Berman LLC, Neuberger Berman Management LLC, Neuberger Berman Trust Co N.A., Neuberger Berman Trust Co of Delaware N.A., NB Alternatives Advisers LLC, Neuberger Berman Fixed Income LLC and NB Alternative Investment Management and certain affiliated persons may be deemed to beneficially own the securities covered by this report in their various fiduciary capacities by virtue of the provisions of Exchange Act Rule 13d-3. Neuberger Berman Group LLC, through its subsidiary Neuberger Berman Holdings LLC, controls Neuberger Berman LLC, Neuberger Berman Management LLC, Neuberger Berman Trust Co N.A., Neuberger Berman Trust Co of Delaware N.A., NB Alternatives Advisers LLC, Neuberger Berman Fixed Income LLC, NB Alternative Investment Management LLC and certain affiliated persons.</w:t>
      </w:r>
    </w:p>
    <w:p>
      <w:pPr>
        <w:spacing w:after="0" w:line="164" w:lineRule="exact"/>
        <w:rPr>
          <w:sz w:val="20"/>
          <w:szCs w:val="20"/>
          <w:color w:val="auto"/>
        </w:rPr>
      </w:pPr>
    </w:p>
    <w:p>
      <w:pPr>
        <w:ind w:left="860" w:right="8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Holdings LLC, Neuberger Berman LLC, Neuberger Berman Management LLC, Neuberger Berman Trust Co N.A., Neuberger Berman Trust Co of Delaware N.A., NB Alternatives Advisers LLC, Neuberger Berman Fixed Income LLC and NB Alternative Investment Management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60"/>
      </w:cols>
      <w:pgMar w:left="240" w:top="75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2019-12-17T06:20:46Z</dcterms:created>
  <dcterms:modified xsi:type="dcterms:W3CDTF">2019-12-17T06:20:46Z</dcterms:modified>
</cp:coreProperties>
</file>