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316,444.4239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26,074.5547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Gift of shares for no consideration.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126 shares acquired on June 30, 2025 pursuant to the Issuer's employee stock purchase plan and 8.1627 shares acquired June-August, pursuant to the Issuer's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67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2025-09-08T16:07:29Z</dcterms:created>
  <dcterms:modified xsi:type="dcterms:W3CDTF">2025-09-08T16:07:29Z</dcterms:modified>
</cp:coreProperties>
</file>