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Hawkins Patrick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CEO and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ROSEVILLE</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MN</w:t>
            </w:r>
          </w:p>
        </w:tc>
        <w:tc>
          <w:tcPr>
            <w:tcW w:w="1260" w:type="dxa"/>
            <w:vAlign w:val="bottom"/>
          </w:tcPr>
          <w:p>
            <w:pPr>
              <w:spacing w:after="0"/>
              <w:rPr>
                <w:sz w:val="20"/>
                <w:szCs w:val="20"/>
                <w:color w:val="auto"/>
              </w:rPr>
            </w:pPr>
            <w:r>
              <w:rPr>
                <w:rFonts w:ascii="Arial" w:cs="Arial" w:eastAsia="Arial" w:hAnsi="Arial"/>
                <w:sz w:val="18"/>
                <w:szCs w:val="18"/>
                <w:color w:val="0000FF"/>
              </w:rPr>
              <w:t>55113</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04/29/2014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2,826</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37.26</w:t>
            </w:r>
          </w:p>
        </w:tc>
        <w:tc>
          <w:tcPr>
            <w:tcW w:w="1240" w:type="dxa"/>
            <w:vAlign w:val="bottom"/>
            <w:tcBorders>
              <w:bottom w:val="single" w:sz="8" w:color="2C2C2C"/>
            </w:tcBorders>
            <w:gridSpan w:val="2"/>
          </w:tcPr>
          <w:p>
            <w:pPr>
              <w:jc w:val="center"/>
              <w:ind w:right="139"/>
              <w:spacing w:after="0"/>
              <w:rPr>
                <w:sz w:val="20"/>
                <w:szCs w:val="20"/>
                <w:color w:val="auto"/>
              </w:rPr>
            </w:pPr>
            <w:r>
              <w:rPr>
                <w:rFonts w:ascii="Arial" w:cs="Arial" w:eastAsia="Arial" w:hAnsi="Arial"/>
                <w:sz w:val="18"/>
                <w:szCs w:val="18"/>
                <w:color w:val="0000FF"/>
              </w:rPr>
              <w:t>34,105.53</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79"/>
              <w:spacing w:after="0"/>
              <w:rPr>
                <w:sz w:val="20"/>
                <w:szCs w:val="20"/>
                <w:color w:val="auto"/>
              </w:rPr>
            </w:pPr>
            <w:r>
              <w:rPr>
                <w:rFonts w:ascii="Arial" w:cs="Arial" w:eastAsia="Arial" w:hAnsi="Arial"/>
                <w:sz w:val="18"/>
                <w:szCs w:val="18"/>
                <w:color w:val="0000FF"/>
              </w:rPr>
              <w:t>12,036.522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0"/>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16.401 shares acquired in October 2013 and 20.676 shares acquired in April 2014, each pursuant to the issuer's dividend reinvestment plan, and 358 shares acquired in June of 2013 and 412 shares acquired in December 2013, each pursuant to the issuer's employee stock purchase plan.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05/06/2014</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8673"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2019-12-17T10:48:19Z</dcterms:created>
  <dcterms:modified xsi:type="dcterms:W3CDTF">2019-12-17T10:48:19Z</dcterms:modified>
</cp:coreProperties>
</file>