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MCKEON JOHN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HAWKINS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HWKN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07/30/2020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ROSEVILLE</w:t>
            </w:r>
          </w:p>
        </w:tc>
        <w:tc>
          <w:tcPr>
            <w:tcW w:w="960" w:type="dxa"/>
            <w:vAlign w:val="bottom"/>
          </w:tcPr>
          <w:p>
            <w:pPr>
              <w:ind w:left="140"/>
              <w:spacing w:after="0"/>
              <w:rPr>
                <w:sz w:val="20"/>
                <w:szCs w:val="20"/>
                <w:color w:val="auto"/>
              </w:rPr>
            </w:pPr>
            <w:r>
              <w:rPr>
                <w:rFonts w:ascii="Arial" w:cs="Arial" w:eastAsia="Arial" w:hAnsi="Arial"/>
                <w:sz w:val="17"/>
                <w:szCs w:val="17"/>
                <w:color w:val="0000FF"/>
              </w:rPr>
              <w:t>MN</w:t>
            </w:r>
          </w:p>
        </w:tc>
        <w:tc>
          <w:tcPr>
            <w:tcW w:w="1600" w:type="dxa"/>
            <w:vAlign w:val="bottom"/>
          </w:tcPr>
          <w:p>
            <w:pPr>
              <w:ind w:left="400"/>
              <w:spacing w:after="0"/>
              <w:rPr>
                <w:sz w:val="20"/>
                <w:szCs w:val="20"/>
                <w:color w:val="auto"/>
              </w:rPr>
            </w:pPr>
            <w:r>
              <w:rPr>
                <w:rFonts w:ascii="Arial" w:cs="Arial" w:eastAsia="Arial" w:hAnsi="Arial"/>
                <w:sz w:val="17"/>
                <w:szCs w:val="17"/>
                <w:color w:val="0000FF"/>
              </w:rPr>
              <w:t>55113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07/30/2020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979</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280"/>
              <w:spacing w:after="0"/>
              <w:rPr>
                <w:sz w:val="20"/>
                <w:szCs w:val="20"/>
                <w:color w:val="auto"/>
              </w:rPr>
            </w:pPr>
            <w:r>
              <w:rPr>
                <w:rFonts w:ascii="Arial" w:cs="Arial" w:eastAsia="Arial" w:hAnsi="Arial"/>
                <w:sz w:val="17"/>
                <w:szCs w:val="17"/>
                <w:color w:val="0000FF"/>
              </w:rPr>
              <w:t>48,886.761</w:t>
            </w:r>
            <w:r>
              <w:rPr>
                <w:rFonts w:ascii="Arial" w:cs="Arial" w:eastAsia="Arial" w:hAnsi="Arial"/>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189.939 shares acquired on September 4, 2019, 201.217 shares acquired on December 3, 2019, 220.274 acquired on March 10, 2020 and 209.106 shares acquired on June 23, 2020 pursuant to the Issuer's dividend reinvestment plan.</w:t>
      </w:r>
    </w:p>
    <w:p>
      <w:pPr>
        <w:spacing w:after="0" w:line="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Joshua L. Colburn,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08/03/2020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47141" TargetMode="External"/><Relationship Id="rId14"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2020-08-03T16:54:09Z</dcterms:created>
  <dcterms:modified xsi:type="dcterms:W3CDTF">2020-08-03T16:54:09Z</dcterms:modified>
</cp:coreProperties>
</file>