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June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602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60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00" w:type="dxa"/>
            <w:vAlign w:val="bottom"/>
          </w:tcPr>
          <w:p>
            <w:pPr>
              <w:spacing w:after="0"/>
              <w:rPr>
                <w:sz w:val="15"/>
                <w:szCs w:val="15"/>
                <w:color w:val="auto"/>
              </w:rPr>
            </w:pPr>
          </w:p>
        </w:tc>
        <w:tc>
          <w:tcPr>
            <w:tcW w:w="6020" w:type="dxa"/>
            <w:vAlign w:val="bottom"/>
          </w:tcPr>
          <w:p>
            <w:pPr>
              <w:jc w:val="center"/>
              <w:ind w:left="2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1400" w:type="dxa"/>
            <w:vAlign w:val="bottom"/>
          </w:tcPr>
          <w:p>
            <w:pPr>
              <w:spacing w:after="0"/>
              <w:rPr>
                <w:sz w:val="24"/>
                <w:szCs w:val="24"/>
                <w:color w:val="auto"/>
              </w:rPr>
            </w:pPr>
          </w:p>
        </w:tc>
        <w:tc>
          <w:tcPr>
            <w:tcW w:w="6020" w:type="dxa"/>
            <w:vAlign w:val="bottom"/>
          </w:tcPr>
          <w:p>
            <w:pPr>
              <w:jc w:val="center"/>
              <w:ind w:right="36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6020" w:type="dxa"/>
            <w:vAlign w:val="bottom"/>
          </w:tcPr>
          <w:p>
            <w:pPr>
              <w:jc w:val="center"/>
              <w:ind w:right="35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6020" w:type="dxa"/>
            <w:vAlign w:val="bottom"/>
          </w:tcPr>
          <w:p>
            <w:pPr>
              <w:jc w:val="center"/>
              <w:ind w:right="35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566"/>
        </w:trPr>
        <w:tc>
          <w:tcPr>
            <w:tcW w:w="140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7, 2011, Hawkins, Inc. issued a press release announcing financial results for its fiscal year ended April 3, 2011. A copy of the press release issued by the Registrant is furnished herewith as Exhibit 99 hereto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800" w:hanging="56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Exhibit 99 - Press Release, dated June 7, 2011, announcing financial results of Hawkins, Inc. for its fiscal year ended April 3, 2011.</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5900" w:val="left"/>
          <w:tab w:leader="none" w:pos="8080" w:val="left"/>
        </w:tabs>
        <w:rPr>
          <w:sz w:val="20"/>
          <w:szCs w:val="20"/>
          <w:color w:val="auto"/>
        </w:rPr>
      </w:pPr>
      <w:r>
        <w:rPr>
          <w:rFonts w:ascii="Arial" w:cs="Arial" w:eastAsia="Arial" w:hAnsi="Arial"/>
          <w:sz w:val="18"/>
          <w:szCs w:val="18"/>
          <w:color w:val="auto"/>
        </w:rPr>
        <w:t>Date: June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3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0540"/>
          </w:cols>
          <w:pgMar w:left="240" w:top="274" w:right="11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ind w:left="20"/>
              <w:spacing w:after="0"/>
              <w:rPr>
                <w:sz w:val="20"/>
                <w:szCs w:val="20"/>
                <w:color w:val="auto"/>
              </w:rPr>
            </w:pPr>
            <w:r>
              <w:rPr>
                <w:rFonts w:ascii="Arial" w:cs="Arial" w:eastAsia="Arial" w:hAnsi="Arial"/>
                <w:sz w:val="14"/>
                <w:szCs w:val="14"/>
                <w:color w:val="auto"/>
                <w:w w:val="90"/>
              </w:rPr>
              <w:t>Exhibit</w:t>
            </w:r>
          </w:p>
        </w:tc>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No.</w:t>
            </w:r>
          </w:p>
        </w:tc>
        <w:tc>
          <w:tcPr>
            <w:tcW w:w="4740" w:type="dxa"/>
            <w:vAlign w:val="bottom"/>
          </w:tcPr>
          <w:p>
            <w:pPr>
              <w:spacing w:after="0"/>
              <w:rPr>
                <w:sz w:val="14"/>
                <w:szCs w:val="14"/>
                <w:color w:val="auto"/>
              </w:rPr>
            </w:pPr>
          </w:p>
        </w:tc>
        <w:tc>
          <w:tcPr>
            <w:tcW w:w="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1"/>
              </w:rPr>
              <w:t>Description</w:t>
            </w:r>
          </w:p>
        </w:tc>
        <w:tc>
          <w:tcPr>
            <w:tcW w:w="4620" w:type="dxa"/>
            <w:vAlign w:val="bottom"/>
          </w:tcPr>
          <w:p>
            <w:pPr>
              <w:spacing w:after="0"/>
              <w:rPr>
                <w:sz w:val="14"/>
                <w:szCs w:val="14"/>
                <w:color w:val="auto"/>
              </w:rPr>
            </w:pPr>
          </w:p>
        </w:tc>
        <w:tc>
          <w:tcPr>
            <w:tcW w:w="9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Method of Filing</w:t>
            </w: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99</w:t>
            </w:r>
          </w:p>
        </w:tc>
        <w:tc>
          <w:tcPr>
            <w:tcW w:w="10020" w:type="dxa"/>
            <w:vAlign w:val="bottom"/>
            <w:gridSpan w:val="3"/>
          </w:tcPr>
          <w:p>
            <w:pPr>
              <w:ind w:left="440"/>
              <w:spacing w:after="0"/>
              <w:rPr>
                <w:sz w:val="20"/>
                <w:szCs w:val="20"/>
                <w:color w:val="auto"/>
              </w:rPr>
            </w:pPr>
            <w:r>
              <w:rPr>
                <w:rFonts w:ascii="Arial" w:cs="Arial" w:eastAsia="Arial" w:hAnsi="Arial"/>
                <w:sz w:val="18"/>
                <w:szCs w:val="18"/>
                <w:color w:val="auto"/>
              </w:rPr>
              <w:t>Press Release, dated June 7, 2011, announcing financial results of Hawkins, Inc. for its fiscal year ended April 3, 2011.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Electronic</w:t>
            </w:r>
          </w:p>
        </w:tc>
      </w:tr>
      <w:tr>
        <w:trPr>
          <w:trHeight w:val="222"/>
        </w:trPr>
        <w:tc>
          <w:tcPr>
            <w:tcW w:w="4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360" w:type="dxa"/>
            <w:vAlign w:val="bottom"/>
          </w:tcPr>
          <w:p>
            <w:pPr>
              <w:ind w:left="2200"/>
              <w:spacing w:after="0"/>
              <w:rPr>
                <w:sz w:val="20"/>
                <w:szCs w:val="20"/>
                <w:color w:val="auto"/>
              </w:rPr>
            </w:pPr>
            <w:r>
              <w:rPr>
                <w:rFonts w:ascii="Arial" w:cs="Arial" w:eastAsia="Arial" w:hAnsi="Arial"/>
                <w:sz w:val="18"/>
                <w:szCs w:val="18"/>
                <w:color w:val="auto"/>
              </w:rPr>
              <w:t>Contacts:</w:t>
            </w:r>
          </w:p>
        </w:tc>
        <w:tc>
          <w:tcPr>
            <w:tcW w:w="2520" w:type="dxa"/>
            <w:vAlign w:val="bottom"/>
            <w:gridSpan w:val="2"/>
          </w:tcPr>
          <w:p>
            <w:pPr>
              <w:spacing w:after="0"/>
              <w:rPr>
                <w:sz w:val="20"/>
                <w:szCs w:val="20"/>
                <w:color w:val="auto"/>
              </w:rPr>
            </w:pPr>
            <w:r>
              <w:rPr>
                <w:rFonts w:ascii="Arial" w:cs="Arial" w:eastAsia="Arial" w:hAnsi="Arial"/>
                <w:sz w:val="18"/>
                <w:szCs w:val="18"/>
                <w:color w:val="auto"/>
              </w:rPr>
              <w:t>Patrick H. Hawkins</w:t>
            </w:r>
          </w:p>
        </w:tc>
      </w:tr>
      <w:tr>
        <w:trPr>
          <w:trHeight w:val="216"/>
        </w:trPr>
        <w:tc>
          <w:tcPr>
            <w:tcW w:w="4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7, 2011</w:t>
            </w:r>
          </w:p>
        </w:tc>
        <w:tc>
          <w:tcPr>
            <w:tcW w:w="33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r>
      <w:tr>
        <w:trPr>
          <w:trHeight w:val="184"/>
        </w:trPr>
        <w:tc>
          <w:tcPr>
            <w:tcW w:w="454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360" w:type="dxa"/>
            <w:vAlign w:val="bottom"/>
          </w:tcPr>
          <w:p>
            <w:pPr>
              <w:spacing w:after="0"/>
              <w:rPr>
                <w:sz w:val="15"/>
                <w:szCs w:val="15"/>
                <w:color w:val="auto"/>
              </w:rPr>
            </w:pPr>
          </w:p>
        </w:tc>
        <w:tc>
          <w:tcPr>
            <w:tcW w:w="25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90"/>
              </w:rPr>
              <w:t>Patrick.Hawkins@HawkinsInc.com</w:t>
            </w:r>
          </w:p>
        </w:tc>
      </w:tr>
      <w:tr>
        <w:trPr>
          <w:trHeight w:val="228"/>
        </w:trPr>
        <w:tc>
          <w:tcPr>
            <w:tcW w:w="454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Minneapolis, MN 55413</w:t>
            </w:r>
          </w:p>
        </w:tc>
        <w:tc>
          <w:tcPr>
            <w:tcW w:w="33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r>
      <w:tr>
        <w:trPr>
          <w:trHeight w:val="184"/>
        </w:trPr>
        <w:tc>
          <w:tcPr>
            <w:tcW w:w="45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Kathleen.Pepski@HawkinsInc.com</w:t>
            </w:r>
          </w:p>
        </w:tc>
        <w:tc>
          <w:tcPr>
            <w:tcW w:w="20" w:type="dxa"/>
            <w:vAlign w:val="bottom"/>
          </w:tcPr>
          <w:p>
            <w:pPr>
              <w:spacing w:after="0"/>
              <w:rPr>
                <w:sz w:val="15"/>
                <w:szCs w:val="15"/>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FISCAL 2011 RESULTS</w:t>
      </w:r>
    </w:p>
    <w:p>
      <w:pPr>
        <w:spacing w:after="0" w:line="16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Minneapolis, MN, June 7, 2011 – Hawkins, Inc. (Nasdaq: HWKN) today announced fourth quarter and full-year results for its fiscal year 2011 ended April 3, 2011. Sales of $297.6 million for fiscal 2011 represented an increase of 15.8% from $257.1 million in sales for the prior fiscal year. The acquisition of Vertex, which closed in the fourth quarter of fiscal 2011, contributed $9.2 million in revenue for the period.</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Net income for fiscal 2011 was $20.3 million, or $1.96 per share, fully diluted, compared to net income of $23.8 million or $2.32 per share, fully diluted, for fiscal 2010. Non-recurring, pre-tax charges incurred during fiscal 2011 included $1.0 million in additional expense as a result of the death of John Hawkins, our former Chief Executive Officer, through the accelerated vesting of his previously granted equity awards and retention bonus agreement. Other non-recurring charges include costs of approximately $0.7 million relating to the Vertex acquisition and $0.3 million related to flood preparation. These non-recurring expenses reduced income from operations by $2.0 million (approximately $1.2 million, or $0.12 per share, after tax). Gross profit and income from operations for fiscal 2011 were also negatively impacted by an increase in the LIFO inventory reserve of $3.9 million (approximately $2.5 million, or $0.24 per share, after tax), whereas fiscal 2010 gross profit and income from operations were positively impacted by a reduction in the LIFO inventory reserve of $12.6 million (approximately $7.6 million, or $0.74 per share, after tax).</w:t>
      </w:r>
    </w:p>
    <w:p>
      <w:pPr>
        <w:spacing w:after="0" w:line="1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For the fourth quarter ended April 3, 2011, the Company reported sales of $82.0 million and net income of $1.9 million, or $0.18 per share, fully diluted, as compared to sales of $57.9 million and net income of $5.5 million, or $0.54 per share, fully diluted, for the same period in the prior year. Non-recurring, pre-tax charges incurred during the fourth quarter of fiscal 2011 included $1.0 million in additional expense as a result of the death of John Hawkins, acquisition costs of $0.5 million, and $0.3 million of flood preparation expenses. These non-recurring expenses reduced income from operations by $1.8 million (approximately $1.1 million, or $0.10 per share, after tax). Gross profit and income from operations for the fourth quarter of fiscal 2011 were also negatively impacted by an increase in the LIFO inventory reserve of $2.6 million (approximately $1.6 million, or $0.16 per share, after tax). The fourth quarter LIFO charge was partially driven by higher inventory volumes on hand at year-end maintained to meet customer requirements during an anticipated flood as well as rising costs. Fiscal 2010 fourth quarter gross profit and income from operations were positively impacted by a reduction in the LIFO inventory reserve of $3.5 million (approximately $2.1 million, or $0.21 per share, after tax).</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Chief Executive Officer and President, Patrick H. Hawkins, commented, “John Hawkins’ death in March was a significant loss, both for the Company and me personally. John was unwavering in putting the customer first and conducting business with integrity — always with a view to the long-term health of the Company. You may rest assured that these guiding principles that served our customers, suppliers, employees and shareholders so well all these years will be unchanged under my leadership.” Patrick Hawkins continued, “The fourth quarter, which has traditionally been our weakest quarter due to seasonality in our business, was both rewarding and challenging for the Company. We closed the Vertex acquisition in January and are working to broaden the products and services offered to Vertex’s current customer base within our Industrial segment. Also, we expect to leverage the Vertex infrastructure to support our Water Treatment segment’s growth strategy. Through careful planning and execution, we successfully met customer requirements and avoided flood damage at our terminal facilities along the Mississippi River this spring even though two of our facilities were inaccessible for approximately four weeks. We continue to seek new business and maintain or grow our market share in the face of competitive pricing pressures. We expect these market conditions to continue into the new fiscal year.”</w:t>
      </w:r>
    </w:p>
    <w:p>
      <w:pPr>
        <w:spacing w:after="0" w:line="1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fiscal 2011, Industrial segment sales were $208.7 million, an increase of 19.3% from fiscal 2010 sales of $174.9 million. The sales increase was primarily attributable to higher sales of manufactured and specialty chemical products and somewhat higher selling prices for commodity bulk chemicals due to increased commodity chemical costs. In addition, Vertex revenues of $9.2 million are included in fiscal 2011 Industrial segment sales. Water Treatment segment sales for fiscal 2011 were $88.9 million, an increase of 8.2% from fiscal 2010 sales of $82.2 million. The sales increase was primarily attributable to increased sales of manufactured and specialty chemical products.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Company-wide gross profit for fiscal 2011 was $61.9 million, or 20.8% of sales, compared to $64.4 million, or 25.1% of sales, for fiscal 2010. Competitive pricing pressures and increased operational overhead costs, partially offset by higher product sales, contributed to the lower gross profit levels reported in both segments. Gross profit for the Industrial segment was $36.9 million, or 17.7% of sales, for fiscal 2011, as compared to $37.3 million, or 21.3% of sales, for fiscal 2010. Gross profit for the Water Treatment segment was $25.0 million, or 28.1% of sales, for fiscal 2011, as compared to $27.2 million, or 33.0% of sales, for fiscal 2010.</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SG&amp;A expenses increased by $4.3 million in fiscal 2011 as compared to fiscal 2010. The increase in SG&amp;A expenses was primarily the result of non-recurring charges related to the acceleration of expenses as a result of the death of John Hawkins and Vertex acquisition costs, in addition to higher equity incentive plan costs and legal costs.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3"/>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260" w:type="dxa"/>
            <w:vAlign w:val="bottom"/>
            <w:gridSpan w:val="3"/>
          </w:tcPr>
          <w:p>
            <w:pPr>
              <w:ind w:left="580"/>
              <w:spacing w:after="0"/>
              <w:rPr>
                <w:sz w:val="20"/>
                <w:szCs w:val="20"/>
                <w:color w:val="auto"/>
              </w:rPr>
            </w:pPr>
            <w:r>
              <w:rPr>
                <w:rFonts w:ascii="Arial" w:cs="Arial" w:eastAsia="Arial" w:hAnsi="Arial"/>
                <w:sz w:val="14"/>
                <w:szCs w:val="14"/>
                <w:b w:val="1"/>
                <w:bCs w:val="1"/>
                <w:color w:val="auto"/>
              </w:rPr>
              <w:t>Fiscal Years Ended</w:t>
            </w: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April 3,</w:t>
            </w:r>
          </w:p>
        </w:tc>
        <w:tc>
          <w:tcPr>
            <w:tcW w:w="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28,</w:t>
            </w:r>
          </w:p>
        </w:tc>
        <w:tc>
          <w:tcPr>
            <w:tcW w:w="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April 3,</w:t>
            </w:r>
          </w:p>
        </w:tc>
        <w:tc>
          <w:tcPr>
            <w:tcW w:w="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28,</w:t>
            </w:r>
          </w:p>
        </w:tc>
      </w:tr>
      <w:tr>
        <w:trPr>
          <w:trHeight w:val="161"/>
        </w:trPr>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r>
    </w:tbl>
    <w:p>
      <w:pPr>
        <w:spacing w:after="0" w:line="108" w:lineRule="exact"/>
        <w:rPr>
          <w:sz w:val="20"/>
          <w:szCs w:val="20"/>
          <w:color w:val="auto"/>
        </w:rPr>
      </w:pPr>
    </w:p>
    <w:p>
      <w:pPr>
        <w:sectPr>
          <w:pgSz w:w="11900" w:h="16838" w:orient="portrait"/>
          <w:cols w:equalWidth="0" w:num="2">
            <w:col w:w="6080" w:space="240"/>
            <w:col w:w="510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257,099</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(69,971)</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(42,592)</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(235,739)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(192,654)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64,445</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(9,572)</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(29,940)</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38,840</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39,126</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(15,388)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10,270,479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10,253,458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10,260,135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10,250,978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10,356,543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10,288,857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10,352,633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10,282,993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0.70</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2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  #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2019-12-10T01:08:09Z</dcterms:created>
  <dcterms:modified xsi:type="dcterms:W3CDTF">2019-12-10T01:08:09Z</dcterms:modified>
</cp:coreProperties>
</file>