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Erstad Richard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General Counsel &amp; Sec</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w w:val="99"/>
              </w:rPr>
              <w:t>11/04/2014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2,500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38.152</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jc w:val="center"/>
              <w:ind w:right="139"/>
              <w:spacing w:after="0"/>
              <w:rPr>
                <w:sz w:val="20"/>
                <w:szCs w:val="20"/>
                <w:color w:val="auto"/>
              </w:rPr>
            </w:pPr>
            <w:r>
              <w:rPr>
                <w:rFonts w:ascii="Arial" w:cs="Arial" w:eastAsia="Arial" w:hAnsi="Arial"/>
                <w:sz w:val="18"/>
                <w:szCs w:val="18"/>
                <w:color w:val="0000FF"/>
                <w:w w:val="99"/>
              </w:rPr>
              <w:t>8,745.105</w:t>
            </w:r>
            <w:r>
              <w:rPr>
                <w:rFonts w:ascii="Arial" w:cs="Arial" w:eastAsia="Arial" w:hAnsi="Arial"/>
                <w:sz w:val="22"/>
                <w:szCs w:val="22"/>
                <w:color w:val="008000"/>
                <w:w w:val="99"/>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39"/>
              <w:spacing w:after="0"/>
              <w:rPr>
                <w:sz w:val="20"/>
                <w:szCs w:val="20"/>
                <w:color w:val="auto"/>
              </w:rPr>
            </w:pPr>
            <w:r>
              <w:rPr>
                <w:rFonts w:ascii="Arial" w:cs="Arial" w:eastAsia="Arial" w:hAnsi="Arial"/>
                <w:sz w:val="18"/>
                <w:szCs w:val="18"/>
                <w:color w:val="0000FF"/>
              </w:rPr>
              <w:t>585.0775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4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2,500 shares of common stock of Hawkins, Inc. sold by the reporting person in multiple transactions on November 4, 2014 with sale prices ranging from $38.15 to $38.18 per share. The reporting person undertakes to provide upon request by the U.S. Securities and Exchange Commission staff, the issuer, or a security holder of the issuer, full information regarding the number of shares sold at each separate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4.277 shares acquired in October 2014 pursuant to the issuer's dividend reinvestment plan, and 209 shares acquired in June 2014 pursuant to the issuer's employee stock purchase plan.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11/06/2014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4251"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2019-12-17T11:11:12Z</dcterms:created>
  <dcterms:modified xsi:type="dcterms:W3CDTF">2019-12-17T11:11:12Z</dcterms:modified>
</cp:coreProperties>
</file>