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Patrick H.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PRESIDENT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14,940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42.57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264,044.869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26,073.163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17.255 shares acquired June 2021-March 2022 pursuant to the Issuer's dividend reinvestment plan and 882 shares acquired June-December 2021 pursuant to the Issuer's employee stock purchase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8867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2022-04-13T08:02:44Z</dcterms:created>
  <dcterms:modified xsi:type="dcterms:W3CDTF">2022-04-13T08:02:44Z</dcterms:modified>
</cp:coreProperties>
</file>