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145415</wp:posOffset>
            </wp:positionH>
            <wp:positionV relativeFrom="page">
              <wp:posOffset>501650</wp:posOffset>
            </wp:positionV>
            <wp:extent cx="727075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13D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Hawkins,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0"/>
          <w:szCs w:val="20"/>
          <w:color w:val="auto"/>
        </w:rPr>
      </w:pPr>
    </w:p>
    <w:p>
      <w:pPr>
        <w:spacing w:after="0" w:line="207" w:lineRule="exact"/>
        <w:rPr>
          <w:sz w:val="20"/>
          <w:szCs w:val="20"/>
          <w:color w:val="auto"/>
        </w:rPr>
      </w:pPr>
    </w:p>
    <w:p>
      <w:pPr>
        <w:ind w:left="5160" w:right="20" w:firstLine="708"/>
        <w:spacing w:after="0" w:line="254" w:lineRule="auto"/>
        <w:rPr>
          <w:sz w:val="20"/>
          <w:szCs w:val="20"/>
          <w:color w:val="auto"/>
        </w:rPr>
      </w:pPr>
      <w:r>
        <w:rPr>
          <w:rFonts w:ascii="Arial" w:cs="Arial" w:eastAsia="Arial" w:hAnsi="Arial"/>
          <w:sz w:val="16"/>
          <w:szCs w:val="16"/>
          <w:b w:val="1"/>
          <w:bCs w:val="1"/>
          <w:color w:val="auto"/>
        </w:rPr>
        <w:t xml:space="preserve">_ _ _ _ _ _ _ _ </w:t>
      </w:r>
      <w:r>
        <w:rPr>
          <w:rFonts w:ascii="Arial" w:cs="Arial" w:eastAsia="Arial" w:hAnsi="Arial"/>
          <w:sz w:val="16"/>
          <w:szCs w:val="16"/>
          <w:color w:val="auto"/>
        </w:rPr>
        <w:t>4 2 0 2 6 1 1 0 9 _ _ _ _ _ _ _ _ _</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4837430</wp:posOffset>
            </wp:positionH>
            <wp:positionV relativeFrom="paragraph">
              <wp:posOffset>-15875</wp:posOffset>
            </wp:positionV>
            <wp:extent cx="12414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1425" cy="762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Peter D. Goldstein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GAMCO Investors,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One Corporate Center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Rye, New York 10580-1435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(914) 921-5000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365"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 xml:space="preserve">______________________ </w:t>
      </w:r>
      <w:r>
        <w:rPr>
          <w:rFonts w:ascii="Arial" w:cs="Arial" w:eastAsia="Arial" w:hAnsi="Arial"/>
          <w:sz w:val="16"/>
          <w:szCs w:val="16"/>
          <w:u w:val="single" w:color="auto"/>
          <w:color w:val="auto"/>
        </w:rPr>
        <w:t>February 4, 2008</w:t>
      </w:r>
      <w:r>
        <w:rPr>
          <w:rFonts w:ascii="Arial" w:cs="Arial" w:eastAsia="Arial" w:hAnsi="Arial"/>
          <w:sz w:val="16"/>
          <w:szCs w:val="16"/>
          <w:color w:val="auto"/>
        </w:rPr>
        <w:t>________________________</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3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27075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672" w:right="239" w:bottom="1440" w:gutter="0" w:footer="0" w:header="0"/>
        </w:sectPr>
      </w:pPr>
    </w:p>
    <w:bookmarkStart w:id="2" w:name="page3"/>
    <w:bookmarkEnd w:id="2"/>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87" w:hanging="434"/>
        <w:spacing w:after="0"/>
        <w:tabs>
          <w:tab w:leader="none" w:pos="787"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8" w:lineRule="exact"/>
        <w:rPr>
          <w:rFonts w:ascii="Arial" w:cs="Arial" w:eastAsia="Arial" w:hAnsi="Arial"/>
          <w:sz w:val="16"/>
          <w:szCs w:val="16"/>
          <w:b w:val="1"/>
          <w:bCs w:val="1"/>
          <w:color w:val="auto"/>
        </w:rPr>
      </w:pPr>
    </w:p>
    <w:p>
      <w:pPr>
        <w:ind w:left="78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Gabelli Funds,</w:t>
      </w:r>
    </w:p>
    <w:p>
      <w:pPr>
        <w:spacing w:after="0" w:line="3" w:lineRule="exact"/>
        <w:rPr>
          <w:sz w:val="20"/>
          <w:szCs w:val="20"/>
          <w:color w:val="auto"/>
        </w:rPr>
      </w:pPr>
    </w:p>
    <w:p>
      <w:pPr>
        <w:ind w:left="787"/>
        <w:spacing w:after="0"/>
        <w:tabs>
          <w:tab w:leader="none" w:pos="10886" w:val="left"/>
        </w:tabs>
        <w:rPr>
          <w:sz w:val="20"/>
          <w:szCs w:val="20"/>
          <w:color w:val="auto"/>
        </w:rPr>
      </w:pPr>
      <w:r>
        <w:rPr>
          <w:rFonts w:ascii="Arial" w:cs="Arial" w:eastAsia="Arial" w:hAnsi="Arial"/>
          <w:sz w:val="16"/>
          <w:szCs w:val="16"/>
          <w:b w:val="1"/>
          <w:bCs w:val="1"/>
          <w:color w:val="auto"/>
        </w:rPr>
        <w:t>LLC</w:t>
      </w:r>
      <w:r>
        <w:rPr>
          <w:sz w:val="20"/>
          <w:szCs w:val="20"/>
          <w:color w:val="auto"/>
        </w:rPr>
        <w:tab/>
      </w:r>
      <w:r>
        <w:rPr>
          <w:rFonts w:ascii="Arial" w:cs="Arial" w:eastAsia="Arial" w:hAnsi="Arial"/>
          <w:sz w:val="16"/>
          <w:szCs w:val="16"/>
          <w:b w:val="1"/>
          <w:bCs w:val="1"/>
          <w:color w:val="auto"/>
        </w:rPr>
        <w:t>I.D.</w:t>
      </w:r>
    </w:p>
    <w:p>
      <w:pPr>
        <w:spacing w:after="0" w:line="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4" w:lineRule="exact"/>
        <w:rPr>
          <w:sz w:val="20"/>
          <w:szCs w:val="20"/>
          <w:color w:val="auto"/>
        </w:rPr>
      </w:pPr>
    </w:p>
    <w:p>
      <w:pPr>
        <w:ind w:left="787" w:hanging="434"/>
        <w:spacing w:after="0"/>
        <w:tabs>
          <w:tab w:leader="none" w:pos="78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787" w:hanging="434"/>
        <w:spacing w:after="0"/>
        <w:tabs>
          <w:tab w:leader="none" w:pos="7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jc w:val="right"/>
        <w:ind w:left="907" w:right="7920" w:hanging="554"/>
        <w:spacing w:after="0" w:line="385" w:lineRule="auto"/>
        <w:tabs>
          <w:tab w:leader="none" w:pos="79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2650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7265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31" w:lineRule="exact"/>
        <w:rPr>
          <w:sz w:val="20"/>
          <w:szCs w:val="20"/>
          <w:color w:val="auto"/>
        </w:rPr>
      </w:pPr>
    </w:p>
    <w:p>
      <w:pPr>
        <w:ind w:left="787" w:hanging="434"/>
        <w:spacing w:after="0"/>
        <w:tabs>
          <w:tab w:leader="none" w:pos="78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87" w:hanging="434"/>
        <w:spacing w:after="0"/>
        <w:tabs>
          <w:tab w:leader="none" w:pos="78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907"/>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 7</w:t>
            </w:r>
          </w:p>
        </w:tc>
        <w:tc>
          <w:tcPr>
            <w:tcW w:w="768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171,000 (Item 5)</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171,000 (Item 5)</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7" w:hanging="787"/>
        <w:spacing w:after="0"/>
        <w:tabs>
          <w:tab w:leader="none" w:pos="78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196"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171,000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787" w:hanging="787"/>
        <w:spacing w:after="0"/>
        <w:tabs>
          <w:tab w:leader="none" w:pos="78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787"/>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7" w:hanging="787"/>
        <w:spacing w:after="0"/>
        <w:tabs>
          <w:tab w:leader="none" w:pos="78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47" w:right="7360" w:hanging="947"/>
        <w:spacing w:after="0" w:line="268" w:lineRule="auto"/>
        <w:tabs>
          <w:tab w:leader="none" w:pos="79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2650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265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625" w:right="219" w:bottom="1440" w:gutter="0" w:footer="0" w:header="0"/>
        </w:sectPr>
      </w:pPr>
    </w:p>
    <w:bookmarkStart w:id="3" w:name="page4"/>
    <w:bookmarkEnd w:id="3"/>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807" w:hanging="443"/>
        <w:spacing w:after="0"/>
        <w:tabs>
          <w:tab w:leader="none" w:pos="80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8" w:lineRule="exact"/>
        <w:rPr>
          <w:rFonts w:ascii="Arial" w:cs="Arial" w:eastAsia="Arial" w:hAnsi="Arial"/>
          <w:sz w:val="16"/>
          <w:szCs w:val="16"/>
          <w:b w:val="1"/>
          <w:bCs w:val="1"/>
          <w:color w:val="auto"/>
        </w:rPr>
      </w:pPr>
    </w:p>
    <w:p>
      <w:pPr>
        <w:ind w:left="80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GAMCO Asset Management</w:t>
      </w:r>
    </w:p>
    <w:p>
      <w:pPr>
        <w:spacing w:after="0" w:line="3" w:lineRule="exact"/>
        <w:rPr>
          <w:sz w:val="20"/>
          <w:szCs w:val="20"/>
          <w:color w:val="auto"/>
        </w:rPr>
      </w:pPr>
    </w:p>
    <w:p>
      <w:pPr>
        <w:ind w:left="807" w:right="380"/>
        <w:spacing w:after="0" w:line="243" w:lineRule="auto"/>
        <w:rPr>
          <w:sz w:val="20"/>
          <w:szCs w:val="20"/>
          <w:color w:val="auto"/>
        </w:rPr>
      </w:pPr>
      <w:r>
        <w:rPr>
          <w:rFonts w:ascii="Arial" w:cs="Arial" w:eastAsia="Arial" w:hAnsi="Arial"/>
          <w:sz w:val="16"/>
          <w:szCs w:val="16"/>
          <w:b w:val="1"/>
          <w:bCs w:val="1"/>
          <w:color w:val="auto"/>
        </w:rPr>
        <w:t>Inc. I.D. No. 13-4044521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50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8" w:lineRule="exact"/>
        <w:rPr>
          <w:sz w:val="20"/>
          <w:szCs w:val="20"/>
          <w:color w:val="auto"/>
        </w:rPr>
      </w:pPr>
    </w:p>
    <w:p>
      <w:pPr>
        <w:ind w:left="807" w:hanging="443"/>
        <w:spacing w:after="0"/>
        <w:tabs>
          <w:tab w:leader="none" w:pos="807"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07" w:hanging="443"/>
        <w:spacing w:after="0"/>
        <w:tabs>
          <w:tab w:leader="none" w:pos="807"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jc w:val="both"/>
        <w:ind w:left="847" w:right="7940" w:hanging="483"/>
        <w:spacing w:after="0" w:line="385" w:lineRule="auto"/>
        <w:tabs>
          <w:tab w:leader="none" w:pos="808"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2650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72650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31" w:lineRule="exact"/>
        <w:rPr>
          <w:sz w:val="20"/>
          <w:szCs w:val="20"/>
          <w:color w:val="auto"/>
        </w:rPr>
      </w:pPr>
    </w:p>
    <w:p>
      <w:pPr>
        <w:ind w:left="807" w:hanging="443"/>
        <w:spacing w:after="0"/>
        <w:tabs>
          <w:tab w:leader="none" w:pos="80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7" w:hanging="443"/>
        <w:spacing w:after="0"/>
        <w:tabs>
          <w:tab w:leader="none" w:pos="807"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927"/>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 7</w:t>
            </w:r>
          </w:p>
        </w:tc>
        <w:tc>
          <w:tcPr>
            <w:tcW w:w="766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ind w:left="140"/>
              <w:spacing w:after="0"/>
              <w:rPr>
                <w:sz w:val="20"/>
                <w:szCs w:val="20"/>
                <w:color w:val="auto"/>
              </w:rPr>
            </w:pPr>
            <w:r>
              <w:rPr>
                <w:rFonts w:ascii="Arial" w:cs="Arial" w:eastAsia="Arial" w:hAnsi="Arial"/>
                <w:sz w:val="16"/>
                <w:szCs w:val="16"/>
                <w:b w:val="1"/>
                <w:bCs w:val="1"/>
                <w:color w:val="auto"/>
              </w:rPr>
              <w:t>313,979 (Item 5)</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60" w:type="dxa"/>
            <w:vAlign w:val="bottom"/>
          </w:tcPr>
          <w:p>
            <w:pPr>
              <w:ind w:left="14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ind w:left="14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60" w:type="dxa"/>
            <w:vAlign w:val="bottom"/>
          </w:tcPr>
          <w:p>
            <w:pPr>
              <w:ind w:left="14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ind w:left="140"/>
              <w:spacing w:after="0"/>
              <w:rPr>
                <w:sz w:val="20"/>
                <w:szCs w:val="20"/>
                <w:color w:val="auto"/>
              </w:rPr>
            </w:pPr>
            <w:r>
              <w:rPr>
                <w:rFonts w:ascii="Arial" w:cs="Arial" w:eastAsia="Arial" w:hAnsi="Arial"/>
                <w:sz w:val="16"/>
                <w:szCs w:val="16"/>
                <w:b w:val="1"/>
                <w:bCs w:val="1"/>
                <w:color w:val="auto"/>
              </w:rPr>
              <w:t>321,979 (Item 5)</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60" w:type="dxa"/>
            <w:vAlign w:val="bottom"/>
          </w:tcPr>
          <w:p>
            <w:pPr>
              <w:ind w:left="14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Pr>
          <w:p>
            <w:pPr>
              <w:ind w:left="14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7" w:hanging="807"/>
        <w:spacing w:after="0"/>
        <w:tabs>
          <w:tab w:leader="none" w:pos="807"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196"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321,979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807" w:hanging="807"/>
        <w:spacing w:after="0"/>
        <w:tabs>
          <w:tab w:leader="none" w:pos="807"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807"/>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7" w:hanging="807"/>
        <w:spacing w:after="0"/>
        <w:tabs>
          <w:tab w:leader="none" w:pos="807"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67" w:right="7340" w:hanging="967"/>
        <w:spacing w:after="0" w:line="268" w:lineRule="auto"/>
        <w:tabs>
          <w:tab w:leader="none" w:pos="81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2650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2650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0" w:right="219" w:bottom="1440" w:gutter="0" w:footer="0" w:header="0"/>
        </w:sectPr>
      </w:pPr>
    </w:p>
    <w:bookmarkStart w:id="4" w:name="page5"/>
    <w:bookmarkEnd w:id="4"/>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807" w:hanging="443"/>
        <w:spacing w:after="0"/>
        <w:tabs>
          <w:tab w:leader="none" w:pos="807"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8" w:lineRule="exact"/>
        <w:rPr>
          <w:rFonts w:ascii="Arial" w:cs="Arial" w:eastAsia="Arial" w:hAnsi="Arial"/>
          <w:sz w:val="16"/>
          <w:szCs w:val="16"/>
          <w:b w:val="1"/>
          <w:bCs w:val="1"/>
          <w:color w:val="auto"/>
        </w:rPr>
      </w:pPr>
    </w:p>
    <w:p>
      <w:pPr>
        <w:ind w:left="80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Gabelli Securities,</w:t>
      </w:r>
    </w:p>
    <w:p>
      <w:pPr>
        <w:spacing w:after="0" w:line="3" w:lineRule="exact"/>
        <w:rPr>
          <w:sz w:val="20"/>
          <w:szCs w:val="20"/>
          <w:color w:val="auto"/>
        </w:rPr>
      </w:pPr>
    </w:p>
    <w:p>
      <w:pPr>
        <w:ind w:left="807" w:right="200"/>
        <w:spacing w:after="0" w:line="243" w:lineRule="auto"/>
        <w:rPr>
          <w:sz w:val="20"/>
          <w:szCs w:val="20"/>
          <w:color w:val="auto"/>
        </w:rPr>
      </w:pPr>
      <w:r>
        <w:rPr>
          <w:rFonts w:ascii="Arial" w:cs="Arial" w:eastAsia="Arial" w:hAnsi="Arial"/>
          <w:sz w:val="16"/>
          <w:szCs w:val="16"/>
          <w:b w:val="1"/>
          <w:bCs w:val="1"/>
          <w:color w:val="auto"/>
        </w:rPr>
        <w:t>Inc. I.D. No. 13-3379374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50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8" w:lineRule="exact"/>
        <w:rPr>
          <w:sz w:val="20"/>
          <w:szCs w:val="20"/>
          <w:color w:val="auto"/>
        </w:rPr>
      </w:pPr>
    </w:p>
    <w:p>
      <w:pPr>
        <w:ind w:left="807" w:hanging="443"/>
        <w:spacing w:after="0"/>
        <w:tabs>
          <w:tab w:leader="none" w:pos="807"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07" w:hanging="443"/>
        <w:spacing w:after="0"/>
        <w:tabs>
          <w:tab w:leader="none" w:pos="807"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07" w:right="7940" w:hanging="443"/>
        <w:spacing w:after="0" w:line="268" w:lineRule="auto"/>
        <w:tabs>
          <w:tab w:leader="none" w:pos="807"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00-Client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2650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ind w:left="807" w:hanging="443"/>
        <w:spacing w:after="0"/>
        <w:tabs>
          <w:tab w:leader="none" w:pos="807"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07" w:hanging="443"/>
        <w:spacing w:after="0"/>
        <w:tabs>
          <w:tab w:leader="none" w:pos="80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927"/>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 7</w:t>
            </w:r>
          </w:p>
        </w:tc>
        <w:tc>
          <w:tcPr>
            <w:tcW w:w="7660" w:type="dxa"/>
            <w:vAlign w:val="bottom"/>
            <w:tcBorders>
              <w:top w:val="single" w:sz="8" w:color="auto"/>
            </w:tcBorders>
            <w:gridSpan w:val="2"/>
          </w:tcPr>
          <w:p>
            <w:pPr>
              <w:ind w:left="16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160"/>
              <w:spacing w:after="0"/>
              <w:rPr>
                <w:sz w:val="20"/>
                <w:szCs w:val="20"/>
                <w:color w:val="auto"/>
              </w:rPr>
            </w:pPr>
            <w:r>
              <w:rPr>
                <w:rFonts w:ascii="Arial" w:cs="Arial" w:eastAsia="Arial" w:hAnsi="Arial"/>
                <w:sz w:val="16"/>
                <w:szCs w:val="16"/>
                <w:b w:val="1"/>
                <w:bCs w:val="1"/>
                <w:color w:val="auto"/>
              </w:rPr>
              <w:t>2,000</w:t>
            </w:r>
          </w:p>
        </w:tc>
        <w:tc>
          <w:tcPr>
            <w:tcW w:w="7040" w:type="dxa"/>
            <w:vAlign w:val="bottom"/>
          </w:tcPr>
          <w:p>
            <w:pPr>
              <w:ind w:left="120"/>
              <w:spacing w:after="0"/>
              <w:rPr>
                <w:sz w:val="20"/>
                <w:szCs w:val="20"/>
                <w:color w:val="auto"/>
              </w:rPr>
            </w:pPr>
            <w:r>
              <w:rPr>
                <w:rFonts w:ascii="Arial" w:cs="Arial" w:eastAsia="Arial" w:hAnsi="Arial"/>
                <w:sz w:val="16"/>
                <w:szCs w:val="16"/>
                <w:b w:val="1"/>
                <w:bCs w:val="1"/>
                <w:color w:val="auto"/>
              </w:rPr>
              <w:t>(Item 5)</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36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36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B</w:t>
            </w:r>
            <w:r>
              <w:rPr>
                <w:rFonts w:ascii="Arial" w:cs="Arial" w:eastAsia="Arial" w:hAnsi="Arial"/>
                <w:sz w:val="10"/>
                <w:szCs w:val="10"/>
                <w:b w:val="1"/>
                <w:bCs w:val="1"/>
                <w:color w:val="auto"/>
                <w:w w:val="98"/>
              </w:rPr>
              <w:t>Y</w:t>
            </w:r>
            <w:r>
              <w:rPr>
                <w:rFonts w:ascii="Arial" w:cs="Arial" w:eastAsia="Arial" w:hAnsi="Arial"/>
                <w:sz w:val="16"/>
                <w:szCs w:val="16"/>
                <w:b w:val="1"/>
                <w:bCs w:val="1"/>
                <w:color w:val="auto"/>
                <w:w w:val="98"/>
              </w:rPr>
              <w:t xml:space="preserve"> E</w:t>
            </w:r>
            <w:r>
              <w:rPr>
                <w:rFonts w:ascii="Arial" w:cs="Arial" w:eastAsia="Arial" w:hAnsi="Arial"/>
                <w:sz w:val="10"/>
                <w:szCs w:val="10"/>
                <w:b w:val="1"/>
                <w:bCs w:val="1"/>
                <w:color w:val="auto"/>
                <w:w w:val="98"/>
              </w:rPr>
              <w:t>ACH</w:t>
            </w:r>
          </w:p>
        </w:tc>
        <w:tc>
          <w:tcPr>
            <w:tcW w:w="36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36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160"/>
              <w:spacing w:after="0"/>
              <w:rPr>
                <w:sz w:val="20"/>
                <w:szCs w:val="20"/>
                <w:color w:val="auto"/>
              </w:rPr>
            </w:pPr>
            <w:r>
              <w:rPr>
                <w:rFonts w:ascii="Arial" w:cs="Arial" w:eastAsia="Arial" w:hAnsi="Arial"/>
                <w:sz w:val="16"/>
                <w:szCs w:val="16"/>
                <w:b w:val="1"/>
                <w:bCs w:val="1"/>
                <w:color w:val="auto"/>
              </w:rPr>
              <w:t>2,000</w:t>
            </w:r>
          </w:p>
        </w:tc>
        <w:tc>
          <w:tcPr>
            <w:tcW w:w="7040" w:type="dxa"/>
            <w:vAlign w:val="bottom"/>
          </w:tcPr>
          <w:p>
            <w:pPr>
              <w:ind w:left="160"/>
              <w:spacing w:after="0"/>
              <w:rPr>
                <w:sz w:val="20"/>
                <w:szCs w:val="20"/>
                <w:color w:val="auto"/>
              </w:rPr>
            </w:pPr>
            <w:r>
              <w:rPr>
                <w:rFonts w:ascii="Arial" w:cs="Arial" w:eastAsia="Arial" w:hAnsi="Arial"/>
                <w:sz w:val="16"/>
                <w:szCs w:val="16"/>
                <w:b w:val="1"/>
                <w:bCs w:val="1"/>
                <w:color w:val="auto"/>
              </w:rPr>
              <w:t>(Item 5)</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36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20" w:type="dxa"/>
            <w:vAlign w:val="bottom"/>
            <w:vMerge w:val="continue"/>
          </w:tcPr>
          <w:p>
            <w:pPr>
              <w:spacing w:after="0"/>
              <w:rPr>
                <w:sz w:val="13"/>
                <w:szCs w:val="13"/>
                <w:color w:val="auto"/>
              </w:rPr>
            </w:pPr>
          </w:p>
        </w:tc>
        <w:tc>
          <w:tcPr>
            <w:tcW w:w="36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7" w:hanging="807"/>
        <w:spacing w:after="0"/>
        <w:tabs>
          <w:tab w:leader="none" w:pos="807"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196" w:lineRule="exact"/>
        <w:rPr>
          <w:sz w:val="20"/>
          <w:szCs w:val="20"/>
          <w:color w:val="auto"/>
        </w:rPr>
      </w:pPr>
    </w:p>
    <w:p>
      <w:pPr>
        <w:ind w:left="807"/>
        <w:spacing w:after="0"/>
        <w:tabs>
          <w:tab w:leader="none" w:pos="1406" w:val="left"/>
        </w:tabs>
        <w:rPr>
          <w:sz w:val="20"/>
          <w:szCs w:val="20"/>
          <w:color w:val="auto"/>
        </w:rPr>
      </w:pPr>
      <w:r>
        <w:rPr>
          <w:rFonts w:ascii="Arial" w:cs="Arial" w:eastAsia="Arial" w:hAnsi="Arial"/>
          <w:sz w:val="16"/>
          <w:szCs w:val="16"/>
          <w:b w:val="1"/>
          <w:bCs w:val="1"/>
          <w:color w:val="auto"/>
        </w:rPr>
        <w:t>2,000</w:t>
      </w:r>
      <w:r>
        <w:rPr>
          <w:sz w:val="20"/>
          <w:szCs w:val="20"/>
          <w:color w:val="auto"/>
        </w:rPr>
        <w:tab/>
      </w: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807" w:hanging="807"/>
        <w:spacing w:after="0"/>
        <w:tabs>
          <w:tab w:leader="none" w:pos="80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807"/>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7" w:hanging="807"/>
        <w:spacing w:after="0"/>
        <w:tabs>
          <w:tab w:leader="none" w:pos="807"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807"/>
        <w:spacing w:after="0"/>
        <w:rPr>
          <w:sz w:val="20"/>
          <w:szCs w:val="20"/>
          <w:color w:val="auto"/>
        </w:rPr>
      </w:pPr>
      <w:r>
        <w:rPr>
          <w:rFonts w:ascii="Arial" w:cs="Arial" w:eastAsia="Arial" w:hAnsi="Arial"/>
          <w:sz w:val="16"/>
          <w:szCs w:val="16"/>
          <w:b w:val="1"/>
          <w:bCs w:val="1"/>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67" w:right="7340" w:hanging="967"/>
        <w:spacing w:after="0" w:line="268" w:lineRule="auto"/>
        <w:tabs>
          <w:tab w:leader="none" w:pos="81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HC, CO,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2650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2650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0" w:right="219" w:bottom="1440" w:gutter="0" w:footer="0" w:header="0"/>
        </w:sectPr>
      </w:pPr>
    </w:p>
    <w:bookmarkStart w:id="5" w:name="page6"/>
    <w:bookmarkEnd w:id="5"/>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8027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275" cy="14605"/>
                    </a:xfrm>
                    <a:prstGeom prst="rect">
                      <a:avLst/>
                    </a:prstGeom>
                    <a:noFill/>
                  </pic:spPr>
                </pic:pic>
              </a:graphicData>
            </a:graphic>
          </wp:anchor>
        </w:drawing>
      </w:r>
    </w:p>
    <w:p>
      <w:pPr>
        <w:spacing w:after="0" w:line="6" w:lineRule="exact"/>
        <w:rPr>
          <w:sz w:val="20"/>
          <w:szCs w:val="20"/>
          <w:color w:val="auto"/>
        </w:rPr>
      </w:pPr>
    </w:p>
    <w:p>
      <w:pPr>
        <w:ind w:left="767" w:hanging="420"/>
        <w:spacing w:after="0"/>
        <w:tabs>
          <w:tab w:leader="none" w:pos="767"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8" w:lineRule="exact"/>
        <w:rPr>
          <w:rFonts w:ascii="Arial" w:cs="Arial" w:eastAsia="Arial" w:hAnsi="Arial"/>
          <w:sz w:val="16"/>
          <w:szCs w:val="16"/>
          <w:b w:val="1"/>
          <w:bCs w:val="1"/>
          <w:color w:val="auto"/>
        </w:rPr>
      </w:pPr>
    </w:p>
    <w:p>
      <w:pPr>
        <w:ind w:left="76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tbl>
      <w:tblPr>
        <w:tblLayout w:type="fixed"/>
        <w:tblInd w:w="7" w:type="dxa"/>
        <w:tblCellMar>
          <w:top w:w="0" w:type="dxa"/>
          <w:left w:w="0" w:type="dxa"/>
          <w:bottom w:w="0" w:type="dxa"/>
          <w:right w:w="0" w:type="dxa"/>
        </w:tblCellMar>
      </w:tblPr>
      <w:tr>
        <w:trPr>
          <w:trHeight w:val="174"/>
        </w:trPr>
        <w:tc>
          <w:tcPr>
            <w:tcW w:w="6520" w:type="dxa"/>
            <w:vAlign w:val="bottom"/>
          </w:tcPr>
          <w:p>
            <w:pPr>
              <w:ind w:left="760"/>
              <w:spacing w:after="0" w:line="174" w:lineRule="exact"/>
              <w:rPr>
                <w:sz w:val="20"/>
                <w:szCs w:val="20"/>
                <w:color w:val="auto"/>
              </w:rPr>
            </w:pPr>
            <w:r>
              <w:rPr>
                <w:rFonts w:ascii="Arial" w:cs="Arial" w:eastAsia="Arial" w:hAnsi="Arial"/>
                <w:sz w:val="16"/>
                <w:szCs w:val="16"/>
                <w:b w:val="1"/>
                <w:bCs w:val="1"/>
                <w:color w:val="auto"/>
              </w:rPr>
              <w:t>Teton Advisors,</w:t>
            </w:r>
          </w:p>
        </w:tc>
        <w:tc>
          <w:tcPr>
            <w:tcW w:w="4940" w:type="dxa"/>
            <w:vAlign w:val="bottom"/>
          </w:tcPr>
          <w:p>
            <w:pPr>
              <w:spacing w:after="0"/>
              <w:rPr>
                <w:sz w:val="15"/>
                <w:szCs w:val="15"/>
                <w:color w:val="auto"/>
              </w:rPr>
            </w:pPr>
          </w:p>
        </w:tc>
      </w:tr>
      <w:tr>
        <w:trPr>
          <w:trHeight w:val="187"/>
        </w:trPr>
        <w:tc>
          <w:tcPr>
            <w:tcW w:w="6520" w:type="dxa"/>
            <w:vAlign w:val="bottom"/>
          </w:tcPr>
          <w:p>
            <w:pPr>
              <w:ind w:left="760"/>
              <w:spacing w:after="0"/>
              <w:rPr>
                <w:sz w:val="20"/>
                <w:szCs w:val="20"/>
                <w:color w:val="auto"/>
              </w:rPr>
            </w:pPr>
            <w:r>
              <w:rPr>
                <w:rFonts w:ascii="Arial" w:cs="Arial" w:eastAsia="Arial" w:hAnsi="Arial"/>
                <w:sz w:val="16"/>
                <w:szCs w:val="16"/>
                <w:b w:val="1"/>
                <w:bCs w:val="1"/>
                <w:color w:val="auto"/>
              </w:rPr>
              <w:t>Inc.</w:t>
            </w:r>
          </w:p>
        </w:tc>
        <w:tc>
          <w:tcPr>
            <w:tcW w:w="4940" w:type="dxa"/>
            <w:vAlign w:val="bottom"/>
          </w:tcPr>
          <w:p>
            <w:pPr>
              <w:ind w:left="4700"/>
              <w:spacing w:after="0"/>
              <w:rPr>
                <w:sz w:val="20"/>
                <w:szCs w:val="20"/>
                <w:color w:val="auto"/>
              </w:rPr>
            </w:pPr>
            <w:r>
              <w:rPr>
                <w:rFonts w:ascii="Arial" w:cs="Arial" w:eastAsia="Arial" w:hAnsi="Arial"/>
                <w:sz w:val="16"/>
                <w:szCs w:val="16"/>
                <w:b w:val="1"/>
                <w:bCs w:val="1"/>
                <w:color w:val="auto"/>
                <w:w w:val="88"/>
              </w:rPr>
              <w:t>I.D.</w:t>
            </w:r>
          </w:p>
        </w:tc>
      </w:tr>
      <w:tr>
        <w:trPr>
          <w:trHeight w:val="203"/>
        </w:trPr>
        <w:tc>
          <w:tcPr>
            <w:tcW w:w="652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No. 13-4008049</w:t>
            </w:r>
          </w:p>
        </w:tc>
        <w:tc>
          <w:tcPr>
            <w:tcW w:w="4940" w:type="dxa"/>
            <w:vAlign w:val="bottom"/>
            <w:tcBorders>
              <w:bottom w:val="single" w:sz="8" w:color="auto"/>
            </w:tcBorders>
          </w:tcPr>
          <w:p>
            <w:pPr>
              <w:spacing w:after="0"/>
              <w:rPr>
                <w:sz w:val="17"/>
                <w:szCs w:val="17"/>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bl>
    <w:p>
      <w:pPr>
        <w:ind w:left="767" w:hanging="420"/>
        <w:spacing w:after="0"/>
        <w:tabs>
          <w:tab w:leader="none" w:pos="767"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0" w:lineRule="exact"/>
        <w:rPr>
          <w:sz w:val="20"/>
          <w:szCs w:val="20"/>
          <w:color w:val="auto"/>
        </w:rPr>
      </w:pPr>
    </w:p>
    <w:p>
      <w:pPr>
        <w:spacing w:after="0" w:line="207" w:lineRule="exact"/>
        <w:rPr>
          <w:sz w:val="20"/>
          <w:szCs w:val="20"/>
          <w:color w:val="auto"/>
        </w:rPr>
      </w:pPr>
    </w:p>
    <w:p>
      <w:pPr>
        <w:ind w:left="76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802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40" w:lineRule="exact"/>
        <w:rPr>
          <w:sz w:val="20"/>
          <w:szCs w:val="20"/>
          <w:color w:val="auto"/>
        </w:rPr>
      </w:pPr>
    </w:p>
    <w:p>
      <w:pPr>
        <w:ind w:left="767" w:hanging="420"/>
        <w:spacing w:after="0"/>
        <w:tabs>
          <w:tab w:leader="none" w:pos="76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802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02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802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40" w:lineRule="exact"/>
        <w:rPr>
          <w:sz w:val="20"/>
          <w:szCs w:val="20"/>
          <w:color w:val="auto"/>
        </w:rPr>
      </w:pPr>
    </w:p>
    <w:p>
      <w:pPr>
        <w:jc w:val="both"/>
        <w:ind w:left="767" w:right="7960" w:hanging="420"/>
        <w:spacing w:after="0" w:line="385" w:lineRule="auto"/>
        <w:tabs>
          <w:tab w:leader="none" w:pos="767"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28027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02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72802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131" w:lineRule="exact"/>
        <w:rPr>
          <w:sz w:val="20"/>
          <w:szCs w:val="20"/>
          <w:color w:val="auto"/>
        </w:rPr>
      </w:pPr>
    </w:p>
    <w:p>
      <w:pPr>
        <w:ind w:left="767" w:hanging="420"/>
        <w:spacing w:after="0"/>
        <w:tabs>
          <w:tab w:leader="none" w:pos="76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802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2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802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67" w:hanging="420"/>
        <w:spacing w:after="0"/>
        <w:tabs>
          <w:tab w:leader="none" w:pos="76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8027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ind w:left="887"/>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8027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 7</w:t>
            </w:r>
          </w:p>
        </w:tc>
        <w:tc>
          <w:tcPr>
            <w:tcW w:w="7700" w:type="dxa"/>
            <w:vAlign w:val="bottom"/>
            <w:tcBorders>
              <w:top w:val="single" w:sz="8" w:color="auto"/>
            </w:tcBorders>
            <w:gridSpan w:val="2"/>
          </w:tcPr>
          <w:p>
            <w:pPr>
              <w:ind w:left="16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30,000</w:t>
            </w:r>
          </w:p>
        </w:tc>
        <w:tc>
          <w:tcPr>
            <w:tcW w:w="6960" w:type="dxa"/>
            <w:vAlign w:val="bottom"/>
          </w:tcPr>
          <w:p>
            <w:pPr>
              <w:ind w:left="80"/>
              <w:spacing w:after="0"/>
              <w:rPr>
                <w:sz w:val="20"/>
                <w:szCs w:val="20"/>
                <w:color w:val="auto"/>
              </w:rPr>
            </w:pPr>
            <w:r>
              <w:rPr>
                <w:rFonts w:ascii="Arial" w:cs="Arial" w:eastAsia="Arial" w:hAnsi="Arial"/>
                <w:sz w:val="16"/>
                <w:szCs w:val="16"/>
                <w:b w:val="1"/>
                <w:bCs w:val="1"/>
                <w:color w:val="auto"/>
              </w:rPr>
              <w:t>(Item 5)</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ind w:left="160"/>
              <w:spacing w:after="0"/>
              <w:rPr>
                <w:sz w:val="20"/>
                <w:szCs w:val="20"/>
                <w:color w:val="auto"/>
              </w:rPr>
            </w:pPr>
            <w:r>
              <w:rPr>
                <w:rFonts w:ascii="Arial" w:cs="Arial" w:eastAsia="Arial" w:hAnsi="Arial"/>
                <w:sz w:val="16"/>
                <w:szCs w:val="16"/>
                <w:b w:val="1"/>
                <w:bCs w:val="1"/>
                <w:color w:val="auto"/>
              </w:rPr>
              <w:t>30,000</w:t>
            </w:r>
          </w:p>
        </w:tc>
        <w:tc>
          <w:tcPr>
            <w:tcW w:w="6960" w:type="dxa"/>
            <w:vAlign w:val="bottom"/>
          </w:tcPr>
          <w:p>
            <w:pPr>
              <w:ind w:left="80"/>
              <w:spacing w:after="0"/>
              <w:rPr>
                <w:sz w:val="20"/>
                <w:szCs w:val="20"/>
                <w:color w:val="auto"/>
              </w:rPr>
            </w:pPr>
            <w:r>
              <w:rPr>
                <w:rFonts w:ascii="Arial" w:cs="Arial" w:eastAsia="Arial" w:hAnsi="Arial"/>
                <w:sz w:val="16"/>
                <w:szCs w:val="16"/>
                <w:b w:val="1"/>
                <w:bCs w:val="1"/>
                <w:color w:val="auto"/>
              </w:rPr>
              <w:t>(Item 5)</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67" w:hanging="767"/>
        <w:spacing w:after="0"/>
        <w:tabs>
          <w:tab w:leader="none" w:pos="76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196" w:lineRule="exact"/>
        <w:rPr>
          <w:sz w:val="20"/>
          <w:szCs w:val="20"/>
          <w:color w:val="auto"/>
        </w:rPr>
      </w:pPr>
    </w:p>
    <w:p>
      <w:pPr>
        <w:ind w:left="767"/>
        <w:spacing w:after="0"/>
        <w:tabs>
          <w:tab w:leader="none" w:pos="1406" w:val="left"/>
        </w:tabs>
        <w:rPr>
          <w:sz w:val="20"/>
          <w:szCs w:val="20"/>
          <w:color w:val="auto"/>
        </w:rPr>
      </w:pPr>
      <w:r>
        <w:rPr>
          <w:rFonts w:ascii="Arial" w:cs="Arial" w:eastAsia="Arial" w:hAnsi="Arial"/>
          <w:sz w:val="16"/>
          <w:szCs w:val="16"/>
          <w:b w:val="1"/>
          <w:bCs w:val="1"/>
          <w:color w:val="auto"/>
        </w:rPr>
        <w:t>30,000</w:t>
        <w:tab/>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8027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63" w:lineRule="exact"/>
        <w:rPr>
          <w:sz w:val="20"/>
          <w:szCs w:val="20"/>
          <w:color w:val="auto"/>
        </w:rPr>
      </w:pPr>
    </w:p>
    <w:p>
      <w:pPr>
        <w:ind w:left="767" w:hanging="767"/>
        <w:spacing w:after="0"/>
        <w:tabs>
          <w:tab w:leader="none" w:pos="76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8027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ind w:left="767"/>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8027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67" w:hanging="767"/>
        <w:spacing w:after="0"/>
        <w:tabs>
          <w:tab w:leader="none" w:pos="767"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8027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193" w:lineRule="exact"/>
        <w:rPr>
          <w:sz w:val="20"/>
          <w:szCs w:val="20"/>
          <w:color w:val="auto"/>
        </w:rPr>
      </w:pPr>
    </w:p>
    <w:p>
      <w:pPr>
        <w:ind w:left="767"/>
        <w:spacing w:after="0"/>
        <w:rPr>
          <w:sz w:val="20"/>
          <w:szCs w:val="20"/>
          <w:color w:val="auto"/>
        </w:rPr>
      </w:pPr>
      <w:r>
        <w:rPr>
          <w:rFonts w:ascii="Arial" w:cs="Arial" w:eastAsia="Arial" w:hAnsi="Arial"/>
          <w:sz w:val="16"/>
          <w:szCs w:val="16"/>
          <w:b w:val="1"/>
          <w:bCs w:val="1"/>
          <w:color w:val="auto"/>
        </w:rPr>
        <w:t>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8027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63" w:lineRule="exact"/>
        <w:rPr>
          <w:sz w:val="20"/>
          <w:szCs w:val="20"/>
          <w:color w:val="auto"/>
        </w:rPr>
      </w:pPr>
    </w:p>
    <w:p>
      <w:pPr>
        <w:ind w:left="927" w:right="7380" w:hanging="927"/>
        <w:spacing w:after="0" w:line="268" w:lineRule="auto"/>
        <w:tabs>
          <w:tab w:leader="none" w:pos="771"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8027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2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28027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2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28027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67"/>
          </w:cols>
          <w:pgMar w:left="233" w:top="310" w:right="199" w:bottom="1440" w:gutter="0" w:footer="0" w:header="0"/>
        </w:sectPr>
      </w:pPr>
    </w:p>
    <w:bookmarkStart w:id="6" w:name="page7"/>
    <w:bookmarkEnd w:id="6"/>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787" w:hanging="434"/>
        <w:spacing w:after="0"/>
        <w:tabs>
          <w:tab w:leader="none" w:pos="787"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9"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GGCP,</w:t>
      </w:r>
    </w:p>
    <w:p>
      <w:pPr>
        <w:spacing w:after="0" w:line="3" w:lineRule="exact"/>
        <w:rPr>
          <w:sz w:val="20"/>
          <w:szCs w:val="20"/>
          <w:color w:val="auto"/>
        </w:rPr>
      </w:pPr>
    </w:p>
    <w:p>
      <w:pPr>
        <w:ind w:left="787"/>
        <w:spacing w:after="0"/>
        <w:tabs>
          <w:tab w:leader="none" w:pos="10826" w:val="left"/>
        </w:tabs>
        <w:rPr>
          <w:sz w:val="20"/>
          <w:szCs w:val="20"/>
          <w:color w:val="auto"/>
        </w:rPr>
      </w:pPr>
      <w:r>
        <w:rPr>
          <w:rFonts w:ascii="Arial" w:cs="Arial" w:eastAsia="Arial" w:hAnsi="Arial"/>
          <w:sz w:val="16"/>
          <w:szCs w:val="16"/>
          <w:b w:val="1"/>
          <w:bCs w:val="1"/>
          <w:color w:val="auto"/>
        </w:rPr>
        <w:t>Inc.</w:t>
      </w:r>
      <w:r>
        <w:rPr>
          <w:sz w:val="20"/>
          <w:szCs w:val="20"/>
          <w:color w:val="auto"/>
        </w:rPr>
        <w:tab/>
      </w:r>
      <w:r>
        <w:rPr>
          <w:rFonts w:ascii="Arial" w:cs="Arial" w:eastAsia="Arial" w:hAnsi="Arial"/>
          <w:sz w:val="16"/>
          <w:szCs w:val="16"/>
          <w:b w:val="1"/>
          <w:bCs w:val="1"/>
          <w:color w:val="auto"/>
        </w:rPr>
        <w:t>I.D.</w:t>
      </w:r>
    </w:p>
    <w:p>
      <w:pPr>
        <w:spacing w:after="0" w:line="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4" w:lineRule="exact"/>
        <w:rPr>
          <w:sz w:val="20"/>
          <w:szCs w:val="20"/>
          <w:color w:val="auto"/>
        </w:rPr>
      </w:pPr>
    </w:p>
    <w:p>
      <w:pPr>
        <w:ind w:left="787" w:hanging="434"/>
        <w:spacing w:after="0"/>
        <w:tabs>
          <w:tab w:leader="none" w:pos="78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787" w:hanging="434"/>
        <w:spacing w:after="0"/>
        <w:tabs>
          <w:tab w:leader="none" w:pos="787"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787" w:hanging="434"/>
        <w:spacing w:after="0"/>
        <w:tabs>
          <w:tab w:leader="none" w:pos="787"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18" w:lineRule="exact"/>
        <w:rPr>
          <w:rFonts w:ascii="Arial" w:cs="Arial" w:eastAsia="Arial" w:hAnsi="Arial"/>
          <w:sz w:val="16"/>
          <w:szCs w:val="16"/>
          <w:b w:val="1"/>
          <w:bCs w:val="1"/>
          <w:color w:val="auto"/>
        </w:rPr>
      </w:pPr>
    </w:p>
    <w:p>
      <w:pPr>
        <w:ind w:left="78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6503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24" w:lineRule="exact"/>
        <w:rPr>
          <w:sz w:val="20"/>
          <w:szCs w:val="20"/>
          <w:color w:val="auto"/>
        </w:rPr>
      </w:pPr>
    </w:p>
    <w:p>
      <w:pPr>
        <w:ind w:left="787" w:hanging="434"/>
        <w:spacing w:after="0"/>
        <w:tabs>
          <w:tab w:leader="none" w:pos="787"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87" w:hanging="434"/>
        <w:spacing w:after="0"/>
        <w:tabs>
          <w:tab w:leader="none" w:pos="78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907"/>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 7</w:t>
            </w:r>
          </w:p>
        </w:tc>
        <w:tc>
          <w:tcPr>
            <w:tcW w:w="768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8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7" w:right="6500" w:hanging="787"/>
        <w:spacing w:after="0" w:line="520" w:lineRule="auto"/>
        <w:tabs>
          <w:tab w:leader="none" w:pos="78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50" w:lineRule="exact"/>
        <w:rPr>
          <w:rFonts w:ascii="Arial" w:cs="Arial" w:eastAsia="Arial" w:hAnsi="Arial"/>
          <w:sz w:val="16"/>
          <w:szCs w:val="16"/>
          <w:b w:val="1"/>
          <w:bCs w:val="1"/>
          <w:color w:val="auto"/>
        </w:rPr>
      </w:pPr>
    </w:p>
    <w:p>
      <w:pPr>
        <w:ind w:left="787" w:hanging="787"/>
        <w:spacing w:after="0"/>
        <w:tabs>
          <w:tab w:leader="none" w:pos="78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650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787"/>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7" w:hanging="787"/>
        <w:spacing w:after="0"/>
        <w:tabs>
          <w:tab w:leader="none" w:pos="787"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787"/>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47" w:right="7360" w:hanging="947"/>
        <w:spacing w:after="0" w:line="268" w:lineRule="auto"/>
        <w:tabs>
          <w:tab w:leader="none" w:pos="791"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2650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2650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0" w:right="219" w:bottom="1440" w:gutter="0" w:footer="0" w:header="0"/>
        </w:sectPr>
      </w:pPr>
    </w:p>
    <w:bookmarkStart w:id="7" w:name="page8"/>
    <w:bookmarkEnd w:id="7"/>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827" w:hanging="451"/>
        <w:spacing w:after="0"/>
        <w:tabs>
          <w:tab w:leader="none" w:pos="82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9"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GAMCO Investors, Inc.</w:t>
      </w:r>
    </w:p>
    <w:p>
      <w:pPr>
        <w:spacing w:after="0" w:line="3" w:lineRule="exact"/>
        <w:rPr>
          <w:sz w:val="20"/>
          <w:szCs w:val="20"/>
          <w:color w:val="auto"/>
        </w:rPr>
      </w:pPr>
    </w:p>
    <w:p>
      <w:pPr>
        <w:jc w:val="center"/>
        <w:ind w:right="4573"/>
        <w:spacing w:after="0"/>
        <w:rPr>
          <w:sz w:val="20"/>
          <w:szCs w:val="20"/>
          <w:color w:val="auto"/>
        </w:rPr>
      </w:pPr>
      <w:r>
        <w:rPr>
          <w:rFonts w:ascii="Arial" w:cs="Arial" w:eastAsia="Arial" w:hAnsi="Arial"/>
          <w:sz w:val="16"/>
          <w:szCs w:val="16"/>
          <w:b w:val="1"/>
          <w:bCs w:val="1"/>
          <w:color w:val="auto"/>
        </w:rPr>
        <w:t>I.D. No. 13-4007862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4" w:lineRule="exact"/>
        <w:rPr>
          <w:sz w:val="20"/>
          <w:szCs w:val="20"/>
          <w:color w:val="auto"/>
        </w:rPr>
      </w:pPr>
    </w:p>
    <w:p>
      <w:pPr>
        <w:jc w:val="center"/>
        <w:ind w:right="4593"/>
        <w:spacing w:after="0"/>
        <w:rPr>
          <w:sz w:val="20"/>
          <w:szCs w:val="20"/>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27" w:hanging="451"/>
        <w:spacing w:after="0"/>
        <w:tabs>
          <w:tab w:leader="none" w:pos="82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27" w:hanging="451"/>
        <w:spacing w:after="0"/>
        <w:tabs>
          <w:tab w:leader="none" w:pos="82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18" w:lineRule="exact"/>
        <w:rPr>
          <w:rFonts w:ascii="Arial" w:cs="Arial" w:eastAsia="Arial" w:hAnsi="Arial"/>
          <w:sz w:val="16"/>
          <w:szCs w:val="16"/>
          <w:b w:val="1"/>
          <w:bCs w:val="1"/>
          <w:color w:val="auto"/>
        </w:rPr>
      </w:pPr>
    </w:p>
    <w:p>
      <w:pPr>
        <w:ind w:left="82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650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24" w:lineRule="exact"/>
        <w:rPr>
          <w:sz w:val="20"/>
          <w:szCs w:val="20"/>
          <w:color w:val="auto"/>
        </w:rPr>
      </w:pPr>
    </w:p>
    <w:p>
      <w:pPr>
        <w:ind w:left="827" w:hanging="451"/>
        <w:spacing w:after="0"/>
        <w:tabs>
          <w:tab w:leader="none" w:pos="827"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27" w:hanging="451"/>
        <w:spacing w:after="0"/>
        <w:tabs>
          <w:tab w:leader="none" w:pos="82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907"/>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b w:val="1"/>
                <w:bCs w:val="1"/>
                <w:color w:val="auto"/>
              </w:rPr>
              <w:t>: 7</w:t>
            </w:r>
          </w:p>
        </w:tc>
        <w:tc>
          <w:tcPr>
            <w:tcW w:w="764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7" w:right="6440" w:hanging="827"/>
        <w:spacing w:after="0" w:line="520" w:lineRule="auto"/>
        <w:tabs>
          <w:tab w:leader="none" w:pos="82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50" w:lineRule="exact"/>
        <w:rPr>
          <w:rFonts w:ascii="Arial" w:cs="Arial" w:eastAsia="Arial" w:hAnsi="Arial"/>
          <w:sz w:val="16"/>
          <w:szCs w:val="16"/>
          <w:b w:val="1"/>
          <w:bCs w:val="1"/>
          <w:color w:val="auto"/>
        </w:rPr>
      </w:pPr>
    </w:p>
    <w:p>
      <w:pPr>
        <w:ind w:left="827" w:hanging="827"/>
        <w:spacing w:after="0"/>
        <w:tabs>
          <w:tab w:leader="none" w:pos="82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6503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827"/>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27" w:hanging="827"/>
        <w:spacing w:after="0"/>
        <w:tabs>
          <w:tab w:leader="none" w:pos="827"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87" w:right="7300" w:hanging="987"/>
        <w:spacing w:after="0" w:line="268" w:lineRule="auto"/>
        <w:tabs>
          <w:tab w:leader="none" w:pos="831"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268605</wp:posOffset>
            </wp:positionV>
            <wp:extent cx="726503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2650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0" w:right="219" w:bottom="1440" w:gutter="0" w:footer="0" w:header="0"/>
        </w:sectPr>
      </w:pPr>
    </w:p>
    <w:bookmarkStart w:id="8" w:name="page9"/>
    <w:bookmarkEnd w:id="8"/>
    <w:p>
      <w:pPr>
        <w:ind w:left="7"/>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503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035" cy="14605"/>
                    </a:xfrm>
                    <a:prstGeom prst="rect">
                      <a:avLst/>
                    </a:prstGeom>
                    <a:noFill/>
                  </pic:spPr>
                </pic:pic>
              </a:graphicData>
            </a:graphic>
          </wp:anchor>
        </w:drawing>
      </w:r>
    </w:p>
    <w:p>
      <w:pPr>
        <w:spacing w:after="0" w:line="6" w:lineRule="exact"/>
        <w:rPr>
          <w:sz w:val="20"/>
          <w:szCs w:val="20"/>
          <w:color w:val="auto"/>
        </w:rPr>
      </w:pPr>
    </w:p>
    <w:p>
      <w:pPr>
        <w:ind w:left="827" w:hanging="451"/>
        <w:spacing w:after="0"/>
        <w:tabs>
          <w:tab w:leader="none" w:pos="827"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18" w:lineRule="exact"/>
        <w:rPr>
          <w:rFonts w:ascii="Arial" w:cs="Arial" w:eastAsia="Arial" w:hAnsi="Arial"/>
          <w:sz w:val="16"/>
          <w:szCs w:val="16"/>
          <w:b w:val="1"/>
          <w:bCs w:val="1"/>
          <w:color w:val="auto"/>
        </w:rPr>
      </w:pPr>
    </w:p>
    <w:p>
      <w:pPr>
        <w:ind w:left="82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3"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503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182"/>
        </w:trPr>
        <w:tc>
          <w:tcPr>
            <w:tcW w:w="640" w:type="dxa"/>
            <w:vAlign w:val="bottom"/>
            <w:tcBorders>
              <w:top w:val="single" w:sz="8" w:color="auto"/>
            </w:tcBorders>
          </w:tcPr>
          <w:p>
            <w:pPr>
              <w:jc w:val="right"/>
              <w:ind w:right="122"/>
              <w:spacing w:after="0" w:line="182" w:lineRule="exact"/>
              <w:rPr>
                <w:sz w:val="20"/>
                <w:szCs w:val="20"/>
                <w:color w:val="auto"/>
              </w:rPr>
            </w:pPr>
            <w:r>
              <w:rPr>
                <w:rFonts w:ascii="Arial" w:cs="Arial" w:eastAsia="Arial" w:hAnsi="Arial"/>
                <w:sz w:val="16"/>
                <w:szCs w:val="16"/>
                <w:b w:val="1"/>
                <w:bCs w:val="1"/>
                <w:color w:val="auto"/>
              </w:rPr>
              <w:t>2</w:t>
            </w:r>
          </w:p>
        </w:tc>
        <w:tc>
          <w:tcPr>
            <w:tcW w:w="788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6"/>
                <w:szCs w:val="16"/>
                <w:b w:val="1"/>
                <w:bCs w:val="1"/>
                <w:color w:val="auto"/>
              </w:rPr>
              <w:t>Check the appropriate box if a member of a group (SEE INSTRUCTIONS)</w:t>
            </w:r>
          </w:p>
        </w:tc>
        <w:tc>
          <w:tcPr>
            <w:tcW w:w="2920" w:type="dxa"/>
            <w:vAlign w:val="bottom"/>
            <w:tcBorders>
              <w:top w:val="single" w:sz="8" w:color="auto"/>
            </w:tcBorders>
          </w:tcPr>
          <w:p>
            <w:pPr>
              <w:ind w:left="2680"/>
              <w:spacing w:after="0" w:line="182" w:lineRule="exact"/>
              <w:rPr>
                <w:sz w:val="20"/>
                <w:szCs w:val="20"/>
                <w:color w:val="auto"/>
              </w:rPr>
            </w:pPr>
            <w:r>
              <w:rPr>
                <w:rFonts w:ascii="Arial" w:cs="Arial" w:eastAsia="Arial" w:hAnsi="Arial"/>
                <w:sz w:val="16"/>
                <w:szCs w:val="16"/>
                <w:b w:val="1"/>
                <w:bCs w:val="1"/>
                <w:color w:val="auto"/>
              </w:rPr>
              <w:t>(a)</w:t>
            </w:r>
          </w:p>
        </w:tc>
      </w:tr>
      <w:tr>
        <w:trPr>
          <w:trHeight w:val="203"/>
        </w:trPr>
        <w:tc>
          <w:tcPr>
            <w:tcW w:w="640" w:type="dxa"/>
            <w:vAlign w:val="bottom"/>
          </w:tcPr>
          <w:p>
            <w:pPr>
              <w:spacing w:after="0"/>
              <w:rPr>
                <w:sz w:val="17"/>
                <w:szCs w:val="17"/>
                <w:color w:val="auto"/>
              </w:rPr>
            </w:pPr>
          </w:p>
        </w:tc>
        <w:tc>
          <w:tcPr>
            <w:tcW w:w="7880" w:type="dxa"/>
            <w:vAlign w:val="bottom"/>
          </w:tcPr>
          <w:p>
            <w:pPr>
              <w:ind w:left="180"/>
              <w:spacing w:after="0"/>
              <w:rPr>
                <w:sz w:val="20"/>
                <w:szCs w:val="20"/>
                <w:color w:val="auto"/>
              </w:rPr>
            </w:pPr>
            <w:r>
              <w:rPr>
                <w:rFonts w:ascii="Arial" w:cs="Arial" w:eastAsia="Arial" w:hAnsi="Arial"/>
                <w:sz w:val="16"/>
                <w:szCs w:val="16"/>
                <w:b w:val="1"/>
                <w:bCs w:val="1"/>
                <w:color w:val="auto"/>
              </w:rPr>
              <w:t>(a)</w:t>
            </w:r>
          </w:p>
        </w:tc>
        <w:tc>
          <w:tcPr>
            <w:tcW w:w="29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27" w:hanging="451"/>
        <w:spacing w:after="0"/>
        <w:tabs>
          <w:tab w:leader="none" w:pos="827"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650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40" w:lineRule="exact"/>
        <w:rPr>
          <w:sz w:val="20"/>
          <w:szCs w:val="20"/>
          <w:color w:val="auto"/>
        </w:rPr>
      </w:pPr>
    </w:p>
    <w:p>
      <w:pPr>
        <w:ind w:left="827" w:hanging="451"/>
        <w:spacing w:after="0"/>
        <w:tabs>
          <w:tab w:leader="none" w:pos="827"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18" w:lineRule="exact"/>
        <w:rPr>
          <w:rFonts w:ascii="Arial" w:cs="Arial" w:eastAsia="Arial" w:hAnsi="Arial"/>
          <w:sz w:val="16"/>
          <w:szCs w:val="16"/>
          <w:b w:val="1"/>
          <w:bCs w:val="1"/>
          <w:color w:val="auto"/>
        </w:rPr>
      </w:pPr>
    </w:p>
    <w:p>
      <w:pPr>
        <w:ind w:left="827"/>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6503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2650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24" w:lineRule="exact"/>
        <w:rPr>
          <w:sz w:val="20"/>
          <w:szCs w:val="20"/>
          <w:color w:val="auto"/>
        </w:rPr>
      </w:pPr>
    </w:p>
    <w:p>
      <w:pPr>
        <w:ind w:left="827" w:hanging="451"/>
        <w:spacing w:after="0"/>
        <w:tabs>
          <w:tab w:leader="none" w:pos="827"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6503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40" w:type="dxa"/>
            <w:vAlign w:val="bottom"/>
            <w:tcBorders>
              <w:top w:val="single" w:sz="8" w:color="auto"/>
            </w:tcBorders>
          </w:tcPr>
          <w:p>
            <w:pPr>
              <w:jc w:val="right"/>
              <w:ind w:right="122"/>
              <w:spacing w:after="0" w:line="182" w:lineRule="exact"/>
              <w:rPr>
                <w:sz w:val="20"/>
                <w:szCs w:val="20"/>
                <w:color w:val="auto"/>
              </w:rPr>
            </w:pPr>
            <w:r>
              <w:rPr>
                <w:rFonts w:ascii="Arial" w:cs="Arial" w:eastAsia="Arial" w:hAnsi="Arial"/>
                <w:sz w:val="16"/>
                <w:szCs w:val="16"/>
                <w:b w:val="1"/>
                <w:bCs w:val="1"/>
                <w:color w:val="auto"/>
              </w:rPr>
              <w:t>6</w:t>
            </w:r>
          </w:p>
        </w:tc>
        <w:tc>
          <w:tcPr>
            <w:tcW w:w="280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800" w:type="dxa"/>
            <w:vAlign w:val="bottom"/>
          </w:tcPr>
          <w:p>
            <w:pPr>
              <w:ind w:left="300"/>
              <w:spacing w:after="0"/>
              <w:rPr>
                <w:sz w:val="20"/>
                <w:szCs w:val="20"/>
                <w:color w:val="auto"/>
              </w:rPr>
            </w:pPr>
            <w:r>
              <w:rPr>
                <w:rFonts w:ascii="Arial" w:cs="Arial" w:eastAsia="Arial" w:hAnsi="Arial"/>
                <w:sz w:val="16"/>
                <w:szCs w:val="16"/>
                <w:b w:val="1"/>
                <w:bCs w:val="1"/>
                <w:color w:val="auto"/>
              </w:rPr>
              <w:t>USA</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 w:type="dxa"/>
            <w:vAlign w:val="bottom"/>
          </w:tcPr>
          <w:p>
            <w:pPr>
              <w:spacing w:after="0"/>
              <w:rPr>
                <w:sz w:val="13"/>
                <w:szCs w:val="13"/>
                <w:color w:val="auto"/>
              </w:rPr>
            </w:pPr>
          </w:p>
        </w:tc>
        <w:tc>
          <w:tcPr>
            <w:tcW w:w="2800" w:type="dxa"/>
            <w:vAlign w:val="bottom"/>
          </w:tcPr>
          <w:p>
            <w:pPr>
              <w:jc w:val="center"/>
              <w:ind w:right="562"/>
              <w:spacing w:after="0" w:line="157" w:lineRule="exact"/>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gridSpan w:val="2"/>
          </w:tcPr>
          <w:p>
            <w:pPr>
              <w:spacing w:after="0" w:line="157" w:lineRule="exact"/>
              <w:rPr>
                <w:sz w:val="20"/>
                <w:szCs w:val="20"/>
                <w:color w:val="auto"/>
              </w:rPr>
            </w:pPr>
            <w:r>
              <w:rPr>
                <w:rFonts w:ascii="Arial" w:cs="Arial" w:eastAsia="Arial" w:hAnsi="Arial"/>
                <w:sz w:val="16"/>
                <w:szCs w:val="16"/>
                <w:b w:val="1"/>
                <w:bCs w:val="1"/>
                <w:color w:val="auto"/>
              </w:rPr>
              <w:t>: 7</w:t>
            </w:r>
          </w:p>
        </w:tc>
        <w:tc>
          <w:tcPr>
            <w:tcW w:w="7640" w:type="dxa"/>
            <w:vAlign w:val="bottom"/>
          </w:tcPr>
          <w:p>
            <w:pPr>
              <w:ind w:left="160"/>
              <w:spacing w:after="0" w:line="157"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jc w:val="center"/>
              <w:ind w:right="562"/>
              <w:spacing w:after="0"/>
              <w:rPr>
                <w:sz w:val="20"/>
                <w:szCs w:val="20"/>
                <w:color w:val="auto"/>
              </w:rPr>
            </w:pPr>
            <w:r>
              <w:rPr>
                <w:rFonts w:ascii="Arial" w:cs="Arial" w:eastAsia="Arial" w:hAnsi="Arial"/>
                <w:sz w:val="16"/>
                <w:szCs w:val="16"/>
                <w:b w:val="1"/>
                <w:bCs w:val="1"/>
                <w:color w:val="auto"/>
                <w:w w:val="96"/>
              </w:rPr>
              <w:t>S</w:t>
            </w:r>
            <w:r>
              <w:rPr>
                <w:rFonts w:ascii="Arial" w:cs="Arial" w:eastAsia="Arial" w:hAnsi="Arial"/>
                <w:sz w:val="10"/>
                <w:szCs w:val="10"/>
                <w:b w:val="1"/>
                <w:bCs w:val="1"/>
                <w:color w:val="auto"/>
                <w:w w:val="96"/>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0" w:type="dxa"/>
            <w:vAlign w:val="bottom"/>
            <w:vMerge w:val="restart"/>
          </w:tcPr>
          <w:p>
            <w:pPr>
              <w:jc w:val="center"/>
              <w:ind w:right="582"/>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8</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jc w:val="center"/>
              <w:ind w:right="562"/>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0" w:type="dxa"/>
            <w:vAlign w:val="bottom"/>
            <w:vMerge w:val="restart"/>
          </w:tcPr>
          <w:p>
            <w:pPr>
              <w:jc w:val="center"/>
              <w:ind w:right="562"/>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 9</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jc w:val="center"/>
              <w:ind w:right="562"/>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0" w:type="dxa"/>
            <w:vAlign w:val="bottom"/>
            <w:vMerge w:val="restart"/>
          </w:tcPr>
          <w:p>
            <w:pPr>
              <w:jc w:val="center"/>
              <w:ind w:right="582"/>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40" w:type="dxa"/>
            <w:vAlign w:val="bottom"/>
          </w:tcPr>
          <w:p>
            <w:pPr>
              <w:spacing w:after="0" w:line="158" w:lineRule="exact"/>
              <w:rPr>
                <w:sz w:val="20"/>
                <w:szCs w:val="20"/>
                <w:color w:val="auto"/>
              </w:rPr>
            </w:pPr>
            <w:r>
              <w:rPr>
                <w:rFonts w:ascii="Arial" w:cs="Arial" w:eastAsia="Arial" w:hAnsi="Arial"/>
                <w:sz w:val="16"/>
                <w:szCs w:val="16"/>
                <w:b w:val="1"/>
                <w:bCs w:val="1"/>
                <w:color w:val="auto"/>
              </w:rPr>
              <w:t>:10</w:t>
            </w:r>
          </w:p>
        </w:tc>
        <w:tc>
          <w:tcPr>
            <w:tcW w:w="7640" w:type="dxa"/>
            <w:vAlign w:val="bottom"/>
          </w:tcPr>
          <w:p>
            <w:pPr>
              <w:ind w:left="160"/>
              <w:spacing w:after="0" w:line="15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800" w:type="dxa"/>
            <w:vAlign w:val="bottom"/>
          </w:tcPr>
          <w:p>
            <w:pPr>
              <w:jc w:val="center"/>
              <w:ind w:right="582"/>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03"/>
        </w:trPr>
        <w:tc>
          <w:tcPr>
            <w:tcW w:w="6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7" w:right="6440" w:hanging="827"/>
        <w:spacing w:after="0" w:line="520" w:lineRule="auto"/>
        <w:tabs>
          <w:tab w:leader="none" w:pos="827"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50" w:lineRule="exact"/>
        <w:rPr>
          <w:rFonts w:ascii="Arial" w:cs="Arial" w:eastAsia="Arial" w:hAnsi="Arial"/>
          <w:sz w:val="16"/>
          <w:szCs w:val="16"/>
          <w:b w:val="1"/>
          <w:bCs w:val="1"/>
          <w:color w:val="auto"/>
        </w:rPr>
      </w:pPr>
    </w:p>
    <w:p>
      <w:pPr>
        <w:ind w:left="827" w:hanging="827"/>
        <w:spacing w:after="0"/>
        <w:tabs>
          <w:tab w:leader="none" w:pos="827"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650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ind w:left="827"/>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26503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27" w:hanging="827"/>
        <w:spacing w:after="0"/>
        <w:tabs>
          <w:tab w:leader="none" w:pos="827"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650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93" w:lineRule="exact"/>
        <w:rPr>
          <w:sz w:val="20"/>
          <w:szCs w:val="20"/>
          <w:color w:val="auto"/>
        </w:rPr>
      </w:pPr>
    </w:p>
    <w:p>
      <w:pPr>
        <w:ind w:left="827"/>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2650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63" w:lineRule="exact"/>
        <w:rPr>
          <w:sz w:val="20"/>
          <w:szCs w:val="20"/>
          <w:color w:val="auto"/>
        </w:rPr>
      </w:pPr>
    </w:p>
    <w:p>
      <w:pPr>
        <w:ind w:left="987" w:right="7300" w:hanging="987"/>
        <w:spacing w:after="0" w:line="268" w:lineRule="auto"/>
        <w:tabs>
          <w:tab w:leader="none" w:pos="831"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50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26503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2650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310" w:right="219" w:bottom="1440" w:gutter="0" w:footer="0" w:header="0"/>
        </w:sectPr>
      </w:pPr>
    </w:p>
    <w:bookmarkStart w:id="9" w:name="page10"/>
    <w:bookmarkEnd w:id="9"/>
    <w:p>
      <w:pPr>
        <w:spacing w:after="0"/>
        <w:tabs>
          <w:tab w:leader="none" w:pos="166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4"/>
          <w:szCs w:val="14"/>
          <w:u w:val="single" w:color="auto"/>
          <w:color w:val="auto"/>
        </w:rPr>
        <w:t>Security and Issuer</w:t>
      </w:r>
    </w:p>
    <w:p>
      <w:pPr>
        <w:spacing w:after="0" w:line="15"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The class of equity securities to which this statement on Schedule 13D relates is the Common Stock of Hawkins, Inc. (the “Issuer”), a Minnesota corporation with principal offices located at 3100 East Hennepin Avenue, Minneapolis, Minnesota 55413.</w:t>
      </w:r>
    </w:p>
    <w:p>
      <w:pPr>
        <w:spacing w:after="0" w:line="17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4"/>
          <w:szCs w:val="14"/>
          <w:u w:val="single" w:color="auto"/>
          <w:color w:val="auto"/>
        </w:rPr>
        <w:t>Identity and Background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This statement is being filed by Mario J. Gabelli (“Mario Gabelli”) and various entities which he</w:t>
      </w:r>
    </w:p>
    <w:p>
      <w:pPr>
        <w:spacing w:after="0" w:line="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directly or indirectly controls or for which he acts as chief investment officer. These entities, except for LICT Corporation (“LICT”),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2"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2"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 (b) and (c) - This statement is being filed by one or more of the following persons: GGCP, Inc. (“GGCP”), GAMCO Investors, Inc. (“GBL”), Gabelli Funds, LLC (“Gabelli Funds”), GAMCO Asset Management Inc. (“GAMCO”), Teton Advisors, Inc. (“Teton Advisors”), Gabelli Securities, Inc. (“GSI”), Gabelli &amp; Company, Inc. (“Gabelli &amp; Company”), MJG Associates, Inc. (“MJG Associates”), Gabelli Foundation, Inc. (“Foundation”), Mario Gabelli, and LICT. Those of the foregoing persons signing this Schedule 13D are hereafter referred to as the “Reporting Persons”.</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GGCP makes investments for its own account and is the parent company of GBL. GBL, a public company listed on the New York Stock Exchange, is the parent company for a variety of companies engaged in the securities business, including those named below.</w:t>
      </w:r>
    </w:p>
    <w:p>
      <w:pPr>
        <w:spacing w:after="0" w:line="1" w:lineRule="exact"/>
        <w:rPr>
          <w:sz w:val="20"/>
          <w:szCs w:val="20"/>
          <w:color w:val="auto"/>
        </w:rPr>
      </w:pPr>
    </w:p>
    <w:p>
      <w:pPr>
        <w:ind w:right="700"/>
        <w:spacing w:after="0" w:line="278" w:lineRule="auto"/>
        <w:rPr>
          <w:sz w:val="20"/>
          <w:szCs w:val="20"/>
          <w:color w:val="auto"/>
        </w:rPr>
      </w:pPr>
      <w:r>
        <w:rPr>
          <w:rFonts w:ascii="Arial" w:cs="Arial" w:eastAsia="Arial" w:hAnsi="Arial"/>
          <w:sz w:val="14"/>
          <w:szCs w:val="14"/>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GSI, a majority-owned subsidiary of GBL, is an investment adviser registered under the Advisers Act and serves as a general partner or investment manager to limited partnerships and offshore investment companies. As a part of its business, GSI may purchase or sell securities for its own account. It is the immediate parent of Gabelli &amp; Company. GSI is the general partner or investment manager of a number of funds or partnerships, including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Gabelli European Partners, Ltd., and Gabelli Global Partners, Ltd.</w:t>
      </w:r>
    </w:p>
    <w:p>
      <w:pPr>
        <w:spacing w:after="0" w:line="3" w:lineRule="exact"/>
        <w:rPr>
          <w:sz w:val="20"/>
          <w:szCs w:val="20"/>
          <w:color w:val="auto"/>
        </w:rPr>
      </w:pPr>
    </w:p>
    <w:p>
      <w:pPr>
        <w:ind w:right="420"/>
        <w:spacing w:after="0" w:line="243" w:lineRule="auto"/>
        <w:rPr>
          <w:sz w:val="20"/>
          <w:szCs w:val="20"/>
          <w:color w:val="auto"/>
        </w:rPr>
      </w:pPr>
      <w:r>
        <w:rPr>
          <w:rFonts w:ascii="Arial" w:cs="Arial" w:eastAsia="Arial" w:hAnsi="Arial"/>
          <w:sz w:val="16"/>
          <w:szCs w:val="16"/>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Comstock Strategy Fund, The Gabelli Dividend and Income Trust, The Gabelli Global Utility &amp; Income Trust, The Gabelli Global Gold, Natural Resources, &amp; Income Trust, The Gabelli Global Deal Fund, and The Gabelli Healthcare &amp; Wellness Rx Trust (collectively, the “Funds”), which are registered investment companies.</w:t>
      </w:r>
    </w:p>
    <w:p>
      <w:pPr>
        <w:spacing w:after="0" w:line="5" w:lineRule="exact"/>
        <w:rPr>
          <w:sz w:val="20"/>
          <w:szCs w:val="20"/>
          <w:color w:val="auto"/>
        </w:rPr>
      </w:pPr>
    </w:p>
    <w:p>
      <w:pPr>
        <w:ind w:right="560"/>
        <w:spacing w:after="0" w:line="218" w:lineRule="auto"/>
        <w:rPr>
          <w:sz w:val="20"/>
          <w:szCs w:val="20"/>
          <w:color w:val="auto"/>
        </w:rPr>
      </w:pPr>
      <w:r>
        <w:rPr>
          <w:rFonts w:ascii="Arial" w:cs="Arial" w:eastAsia="Arial" w:hAnsi="Arial"/>
          <w:sz w:val="16"/>
          <w:szCs w:val="16"/>
          <w:color w:val="auto"/>
        </w:rPr>
        <w:t>Teton Advisors, a subsidiary of GBL, is an investment adviser which provides discretionary advisory services to The GAMCO Westwood Mighty Mites</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Fund, The GAMCO Westwood Income Fund and The GAMCO Westwood Small Cap Fund.</w:t>
      </w:r>
    </w:p>
    <w:p>
      <w:pPr>
        <w:spacing w:after="0" w:line="2"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and Gabelli Fund, LDC. Mario J. Gabelli is the general partner of Gabelli Performance Partnership, LP.</w:t>
      </w:r>
    </w:p>
    <w:p>
      <w:pPr>
        <w:spacing w:after="0" w:line="2" w:lineRule="exact"/>
        <w:rPr>
          <w:sz w:val="20"/>
          <w:szCs w:val="20"/>
          <w:color w:val="auto"/>
        </w:rPr>
      </w:pPr>
    </w:p>
    <w:p>
      <w:pPr>
        <w:ind w:right="4780" w:firstLine="1121"/>
        <w:spacing w:after="0" w:line="243" w:lineRule="auto"/>
        <w:rPr>
          <w:sz w:val="20"/>
          <w:szCs w:val="20"/>
          <w:color w:val="auto"/>
        </w:rPr>
      </w:pPr>
      <w:r>
        <w:rPr>
          <w:rFonts w:ascii="Arial" w:cs="Arial" w:eastAsia="Arial" w:hAnsi="Arial"/>
          <w:sz w:val="16"/>
          <w:szCs w:val="16"/>
          <w:color w:val="auto"/>
        </w:rPr>
        <w:t>The Foundation is a private foundation. Mario Gabelli is the President, a Trustee and the Investment Manager of the Foundation.</w:t>
      </w:r>
    </w:p>
    <w:p>
      <w:pPr>
        <w:spacing w:after="0" w:line="1" w:lineRule="exact"/>
        <w:rPr>
          <w:sz w:val="20"/>
          <w:szCs w:val="20"/>
          <w:color w:val="auto"/>
        </w:rPr>
      </w:pPr>
    </w:p>
    <w:p>
      <w:pPr>
        <w:ind w:firstLine="39"/>
        <w:spacing w:after="0" w:line="243" w:lineRule="auto"/>
        <w:rPr>
          <w:sz w:val="20"/>
          <w:szCs w:val="20"/>
          <w:color w:val="auto"/>
        </w:rPr>
      </w:pPr>
      <w:r>
        <w:rPr>
          <w:rFonts w:ascii="Arial" w:cs="Arial" w:eastAsia="Arial" w:hAnsi="Arial"/>
          <w:sz w:val="16"/>
          <w:szCs w:val="16"/>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reinvesting, or trading in securities. Mario J. Gabelli is a director, and substantial shareholder of LICT.</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Mario Gabelli is the majority stockholder and Chief Executive Officer of GGCP and Chairman and Chief Executive Officer of GBL. GGCP is the majority shareholder of GBL. GBL, in turn, is the sole stockholder of GAMCO. GBL is also the majority stockholder of GSI and the largest shareholder of Teton Advisors. Gabelli &amp; Company is a wholly-owned subsidiary of GSI.</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Reporting Persons do not admit that they constitute a group.</w:t>
      </w:r>
    </w:p>
    <w:p>
      <w:pPr>
        <w:spacing w:after="0" w:line="3" w:lineRule="exact"/>
        <w:rPr>
          <w:sz w:val="20"/>
          <w:szCs w:val="20"/>
          <w:color w:val="auto"/>
        </w:rPr>
      </w:pPr>
    </w:p>
    <w:p>
      <w:pPr>
        <w:jc w:val="both"/>
        <w:ind w:right="180"/>
        <w:spacing w:after="0" w:line="278" w:lineRule="auto"/>
        <w:rPr>
          <w:sz w:val="20"/>
          <w:szCs w:val="20"/>
          <w:color w:val="auto"/>
        </w:rPr>
      </w:pPr>
      <w:r>
        <w:rPr>
          <w:rFonts w:ascii="Arial" w:cs="Arial" w:eastAsia="Arial" w:hAnsi="Arial"/>
          <w:sz w:val="14"/>
          <w:szCs w:val="14"/>
          <w:color w:val="auto"/>
        </w:rPr>
        <w:t>GGCP, GBL, GAMCO, and Gabelli &amp; Company are New York corporations and GSI and Teton Advisors are Delaware corporations, each having its principal business office at One Corporate Center, Rye, New York 10580. Gabelli Funds is a New York limited liability company having its principal business office at One Corporate Center, Rye, New York</w:t>
      </w:r>
    </w:p>
    <w:p>
      <w:pPr>
        <w:spacing w:after="0" w:line="1" w:lineRule="exact"/>
        <w:rPr>
          <w:sz w:val="20"/>
          <w:szCs w:val="20"/>
          <w:color w:val="auto"/>
        </w:rPr>
      </w:pPr>
    </w:p>
    <w:p>
      <w:pPr>
        <w:jc w:val="both"/>
        <w:ind w:right="180"/>
        <w:spacing w:after="0" w:line="243" w:lineRule="auto"/>
        <w:rPr>
          <w:sz w:val="20"/>
          <w:szCs w:val="20"/>
          <w:color w:val="auto"/>
        </w:rPr>
      </w:pPr>
      <w:r>
        <w:rPr>
          <w:rFonts w:ascii="Arial" w:cs="Arial" w:eastAsia="Arial" w:hAnsi="Arial"/>
          <w:sz w:val="16"/>
          <w:szCs w:val="16"/>
          <w:color w:val="auto"/>
        </w:rPr>
        <w:t>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at 401 Theodore Fremd Avenue, Rye, New York 10580.</w:t>
      </w:r>
    </w:p>
    <w:p>
      <w:pPr>
        <w:spacing w:after="0" w:line="2" w:lineRule="exact"/>
        <w:rPr>
          <w:sz w:val="20"/>
          <w:szCs w:val="20"/>
          <w:color w:val="auto"/>
        </w:rPr>
      </w:pPr>
    </w:p>
    <w:p>
      <w:pPr>
        <w:ind w:right="640"/>
        <w:spacing w:after="0" w:line="243" w:lineRule="auto"/>
        <w:rPr>
          <w:sz w:val="20"/>
          <w:szCs w:val="20"/>
          <w:color w:val="auto"/>
        </w:rPr>
      </w:pPr>
      <w:r>
        <w:rPr>
          <w:rFonts w:ascii="Arial" w:cs="Arial" w:eastAsia="Arial" w:hAnsi="Arial"/>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 - Reference is made to Schedule I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90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Source and Amount of Funds or Other Consideration</w:t>
            </w:r>
          </w:p>
        </w:tc>
      </w:tr>
      <w:tr>
        <w:trPr>
          <w:trHeight w:val="20"/>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01"/>
        </w:trPr>
        <w:tc>
          <w:tcPr>
            <w:tcW w:w="780" w:type="dxa"/>
            <w:vAlign w:val="bottom"/>
          </w:tcPr>
          <w:p>
            <w:pPr>
              <w:spacing w:after="0"/>
              <w:rPr>
                <w:sz w:val="17"/>
                <w:szCs w:val="17"/>
                <w:color w:val="auto"/>
              </w:rPr>
            </w:pPr>
          </w:p>
        </w:tc>
        <w:tc>
          <w:tcPr>
            <w:tcW w:w="10360" w:type="dxa"/>
            <w:vAlign w:val="bottom"/>
            <w:gridSpan w:val="3"/>
          </w:tcPr>
          <w:p>
            <w:pPr>
              <w:ind w:left="340"/>
              <w:spacing w:after="0"/>
              <w:rPr>
                <w:sz w:val="20"/>
                <w:szCs w:val="20"/>
                <w:color w:val="auto"/>
              </w:rPr>
            </w:pPr>
            <w:r>
              <w:rPr>
                <w:rFonts w:ascii="Arial" w:cs="Arial" w:eastAsia="Arial" w:hAnsi="Arial"/>
                <w:sz w:val="16"/>
                <w:szCs w:val="16"/>
                <w:color w:val="auto"/>
                <w:w w:val="87"/>
              </w:rPr>
              <w:t>The Reporting Persons used an aggregate of approximately $7,427,379 to purchase the Securities reported as beneficially owned in Item 5. GAMCO and Gabelli</w:t>
            </w:r>
          </w:p>
        </w:tc>
      </w:tr>
    </w:tbl>
    <w:p>
      <w:pPr>
        <w:ind w:right="40"/>
        <w:spacing w:after="0" w:line="297" w:lineRule="auto"/>
        <w:rPr>
          <w:sz w:val="20"/>
          <w:szCs w:val="20"/>
          <w:color w:val="auto"/>
        </w:rPr>
      </w:pPr>
      <w:r>
        <w:rPr>
          <w:rFonts w:ascii="Arial" w:cs="Arial" w:eastAsia="Arial" w:hAnsi="Arial"/>
          <w:sz w:val="14"/>
          <w:szCs w:val="14"/>
          <w:color w:val="auto"/>
        </w:rPr>
        <w:t>Funds used approximately $4,585,461 and $2,439,118, respectively, of funds that were provided through the accounts of certain of their investment advisory clients (and, in the case of some of such accounts at GAMCO, may be through borrowings from client margin accounts) in order to purchase the Securities for such clients. GSI used approximately $22,112 of client funds to purchase the Securities reported by it. Teton Advisors used approximately $380,688 of client funds to purchase the Securities reported by it.</w:t>
      </w:r>
    </w:p>
    <w:p>
      <w:pPr>
        <w:spacing w:after="0" w:line="138"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3"/>
          <w:szCs w:val="13"/>
          <w:u w:val="single" w:color="auto"/>
          <w:color w:val="auto"/>
        </w:rPr>
        <w:t>Purpose of Transaction</w:t>
      </w:r>
    </w:p>
    <w:p>
      <w:pPr>
        <w:spacing w:after="0" w:line="15"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Each of the Reporting Persons has purchased and holds the Securities reported by it for investment for one or more accounts over which it has shared, sole, or both investment and/or voting power, for its own account, or both.</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The Reporting Persons, with the exception of Interactive, are engaged in the business of securities analysis and investment and pursue an investment philosophy of identifying undervalued situations. In pursuing this investment philosophy, the Reporting Persons analyze the operations, capital structure and markets of companies in which they invest, including the Issuer, on a continuous basis through analysis of documentation and discussions with knowledgeable industry and market observers and with representatives of such companies (often at the invitation of management). The Reporting Persons do not believe they possess material inside information concerning the Issuer. As a result of these analytical activities one or more of the Reporting Persons may issue analysts reports, participate in interviews or hold discussions with third parties or with management in which the Reporting Person may suggest or take a position with respect to potential changes in the operations, management or capital structure of such companies as a means of enhancing shareholder values. Such suggestions or positions may relate to one or more of the transactions specified in clauses (a) through (j) of Item 4 of Schedule 13D including, without limitation, such matters as disposing of one or more businesses, selling the company or acquiring another company or business, changing operating or marketing strategies, adopting or not adopting, certain types of anti-takeover measures and restructuring the company’s capitalization or dividend policy.</w:t>
      </w:r>
    </w:p>
    <w:p>
      <w:pPr>
        <w:spacing w:after="0" w:line="3"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Each of the Reporting Persons intends to adhere to the foregoing investment philosophy with respect to the Issuer. However, none of the Reporting Persons intends to seek control of the Issuer or participate in the management of the Issuer, and any Reporting Person that is registered as an investment company under the 1940 Act will participate in such a transaction only following receipt of an exemption from the SEC under Rule 17d-1 under the 1940 Act, if required, and in accordance with other applicable law. In pursuing this investment philosophy, each Reporting Person will continuously assess the Issuer’s business, financial condition, results of operations and prospects, general economic conditions, the securities markets in general and those for the Issuer’s securities in particular, other developments and other investment opportunities, as well as the investment objectives and diversification requirements of its shareholders or clients and its fiduciary duties to such shareholders or clients. Depending on such assessments, one or more of the Reporting Persons may acquire additional Securities or may determine to sell or otherwise dispose of all or some of its holdings of Securities. Although the Reporting Persons share the same</w:t>
      </w:r>
    </w:p>
    <w:p>
      <w:pPr>
        <w:sectPr>
          <w:pgSz w:w="11900" w:h="16838" w:orient="portrait"/>
          <w:cols w:equalWidth="0" w:num="1">
            <w:col w:w="11440"/>
          </w:cols>
          <w:pgMar w:left="240" w:top="314" w:right="219" w:bottom="0" w:gutter="0" w:footer="0" w:header="0"/>
        </w:sectPr>
      </w:pPr>
    </w:p>
    <w:bookmarkStart w:id="10" w:name="page11"/>
    <w:bookmarkEnd w:id="10"/>
    <w:p>
      <w:pPr>
        <w:ind w:left="7" w:right="140"/>
        <w:spacing w:after="0" w:line="287" w:lineRule="auto"/>
        <w:rPr>
          <w:sz w:val="20"/>
          <w:szCs w:val="20"/>
          <w:color w:val="auto"/>
        </w:rPr>
      </w:pPr>
      <w:r>
        <w:rPr>
          <w:rFonts w:ascii="Arial" w:cs="Arial" w:eastAsia="Arial" w:hAnsi="Arial"/>
          <w:sz w:val="14"/>
          <w:szCs w:val="14"/>
          <w:color w:val="auto"/>
        </w:rPr>
        <w:t>basic investment philosophy and although most portfolio decisions are made by or under the supervision of Mario Gabelli, the investment objectives and diversification requirements of various clients differ from those of other clients so that one or more Reporting Persons may be acquiring Securities while others are disposing of Securities.</w:t>
      </w:r>
    </w:p>
    <w:p>
      <w:pPr>
        <w:ind w:left="7" w:right="120"/>
        <w:spacing w:after="0" w:line="243" w:lineRule="auto"/>
        <w:rPr>
          <w:sz w:val="20"/>
          <w:szCs w:val="20"/>
          <w:color w:val="auto"/>
        </w:rPr>
      </w:pPr>
      <w:r>
        <w:rPr>
          <w:rFonts w:ascii="Arial" w:cs="Arial" w:eastAsia="Arial" w:hAnsi="Arial"/>
          <w:sz w:val="16"/>
          <w:szCs w:val="16"/>
          <w:color w:val="auto"/>
        </w:rPr>
        <w:t>With respect to voting of the Securities, the Reporting Persons have adopted general voting policies relating to voting on specified issues affecting corporate governance and shareholder values. Under these policies, the Reporting Persons generally vote all securities over which they have voting power in favor of cumulative voting, financially reasonable golden parachutes, one share one vote, management cash incentives and pre-emptive rights and against greenmail, poison pills, supermajority voting, blank check preferred stock and super-dilutive stock options. Exceptions may be made when management otherwise demonstrates superior sensitivity to the needs of shareholders. In the event that the aggregate voting position of all joint filers shall exceed 25% of the total voting position of the issuer then the proxy voting committees of each of the Funds shall vote their Fund’s shares independently.</w:t>
      </w:r>
    </w:p>
    <w:p>
      <w:pPr>
        <w:spacing w:after="0" w:line="3" w:lineRule="exact"/>
        <w:rPr>
          <w:sz w:val="20"/>
          <w:szCs w:val="20"/>
          <w:color w:val="auto"/>
        </w:rPr>
      </w:pPr>
    </w:p>
    <w:p>
      <w:pPr>
        <w:ind w:left="7"/>
        <w:spacing w:after="0" w:line="291" w:lineRule="auto"/>
        <w:rPr>
          <w:sz w:val="20"/>
          <w:szCs w:val="20"/>
          <w:color w:val="auto"/>
        </w:rPr>
      </w:pPr>
      <w:r>
        <w:rPr>
          <w:rFonts w:ascii="Arial" w:cs="Arial" w:eastAsia="Arial" w:hAnsi="Arial"/>
          <w:sz w:val="14"/>
          <w:szCs w:val="14"/>
          <w:color w:val="auto"/>
        </w:rPr>
        <w:t>Each of the Covered Persons who is not a Reporting Person has purchased the Securities reported herein as beneficially owned by him for investment for his own account or that of one or more members of his immediate family. Each such person may acquire additional Securities or dispose of some or all of the Securities reported herein with respect to him. Other than as described above, none of the Reporting Persons and none of the Covered Persons who is not a Reporting Person has any present plans or proposals which relate to or would result in any transaction, change or event specified in clauses (a) through (j) of Item 4 of Schedule 13D.</w:t>
      </w:r>
    </w:p>
    <w:p>
      <w:pPr>
        <w:spacing w:after="0" w:line="141" w:lineRule="exact"/>
        <w:rPr>
          <w:sz w:val="20"/>
          <w:szCs w:val="20"/>
          <w:color w:val="auto"/>
        </w:rPr>
      </w:pPr>
    </w:p>
    <w:p>
      <w:pPr>
        <w:ind w:left="7"/>
        <w:spacing w:after="0"/>
        <w:tabs>
          <w:tab w:leader="none" w:pos="1666"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4"/>
          <w:szCs w:val="14"/>
          <w:u w:val="single" w:color="auto"/>
          <w:color w:val="auto"/>
        </w:rPr>
        <w:t>Interest In Securities Of The Issuer</w:t>
      </w:r>
    </w:p>
    <w:p>
      <w:pPr>
        <w:spacing w:after="0" w:line="15" w:lineRule="exact"/>
        <w:rPr>
          <w:sz w:val="20"/>
          <w:szCs w:val="20"/>
          <w:color w:val="auto"/>
        </w:rPr>
      </w:pPr>
    </w:p>
    <w:p>
      <w:pPr>
        <w:ind w:left="7" w:right="20" w:firstLine="1114"/>
        <w:spacing w:after="0" w:line="278" w:lineRule="auto"/>
        <w:tabs>
          <w:tab w:leader="none" w:pos="1339"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aggregate number of Securities to which this Schedule 13D relates is 524,979 shares, representing 5.12% of the approximately 10,246,458 shares outstanding as reported by the Issuer in its Form 10-Q for the quarterly period ended December 31, 2007. The Reporting Persons beneficially own those Securities as follows:</w:t>
      </w:r>
    </w:p>
    <w:tbl>
      <w:tblPr>
        <w:tblLayout w:type="fixed"/>
        <w:tblInd w:w="7"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4560" w:type="dxa"/>
            <w:vAlign w:val="bottom"/>
          </w:tcPr>
          <w:p>
            <w:pPr>
              <w:jc w:val="center"/>
              <w:ind w:left="922"/>
              <w:spacing w:after="0" w:line="175" w:lineRule="exact"/>
              <w:rPr>
                <w:sz w:val="20"/>
                <w:szCs w:val="20"/>
                <w:color w:val="auto"/>
              </w:rPr>
            </w:pPr>
            <w:r>
              <w:rPr>
                <w:rFonts w:ascii="Arial" w:cs="Arial" w:eastAsia="Arial" w:hAnsi="Arial"/>
                <w:sz w:val="16"/>
                <w:szCs w:val="16"/>
                <w:color w:val="auto"/>
                <w:w w:val="87"/>
              </w:rPr>
              <w:t>Shares of</w:t>
            </w:r>
          </w:p>
        </w:tc>
        <w:tc>
          <w:tcPr>
            <w:tcW w:w="3620" w:type="dxa"/>
            <w:vAlign w:val="bottom"/>
          </w:tcPr>
          <w:p>
            <w:pPr>
              <w:jc w:val="center"/>
              <w:ind w:right="142"/>
              <w:spacing w:after="0" w:line="175" w:lineRule="exact"/>
              <w:rPr>
                <w:sz w:val="20"/>
                <w:szCs w:val="20"/>
                <w:color w:val="auto"/>
              </w:rPr>
            </w:pPr>
            <w:r>
              <w:rPr>
                <w:rFonts w:ascii="Arial" w:cs="Arial" w:eastAsia="Arial" w:hAnsi="Arial"/>
                <w:sz w:val="16"/>
                <w:szCs w:val="16"/>
                <w:color w:val="auto"/>
                <w:w w:val="89"/>
              </w:rPr>
              <w:t>% of Class of</w:t>
            </w:r>
          </w:p>
        </w:tc>
      </w:tr>
      <w:tr>
        <w:trPr>
          <w:trHeight w:val="226"/>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4560" w:type="dxa"/>
            <w:vAlign w:val="bottom"/>
            <w:tcBorders>
              <w:bottom w:val="single" w:sz="8" w:color="auto"/>
            </w:tcBorders>
          </w:tcPr>
          <w:p>
            <w:pPr>
              <w:jc w:val="center"/>
              <w:ind w:left="922"/>
              <w:spacing w:after="0"/>
              <w:rPr>
                <w:sz w:val="20"/>
                <w:szCs w:val="20"/>
                <w:color w:val="auto"/>
              </w:rPr>
            </w:pPr>
            <w:r>
              <w:rPr>
                <w:rFonts w:ascii="Arial" w:cs="Arial" w:eastAsia="Arial" w:hAnsi="Arial"/>
                <w:sz w:val="16"/>
                <w:szCs w:val="16"/>
                <w:color w:val="auto"/>
                <w:w w:val="87"/>
              </w:rPr>
              <w:t>Common Stock</w:t>
            </w:r>
          </w:p>
        </w:tc>
        <w:tc>
          <w:tcPr>
            <w:tcW w:w="362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color w:val="auto"/>
                <w:w w:val="89"/>
              </w:rPr>
              <w:t>Common</w:t>
            </w:r>
          </w:p>
        </w:tc>
      </w:tr>
      <w:tr>
        <w:trPr>
          <w:trHeight w:val="396"/>
        </w:trPr>
        <w:tc>
          <w:tcPr>
            <w:tcW w:w="3260" w:type="dxa"/>
            <w:vAlign w:val="bottom"/>
          </w:tcPr>
          <w:p>
            <w:pPr>
              <w:spacing w:after="0"/>
              <w:rPr>
                <w:sz w:val="20"/>
                <w:szCs w:val="20"/>
                <w:color w:val="auto"/>
              </w:rPr>
            </w:pPr>
            <w:r>
              <w:rPr>
                <w:rFonts w:ascii="Arial" w:cs="Arial" w:eastAsia="Arial" w:hAnsi="Arial"/>
                <w:sz w:val="16"/>
                <w:szCs w:val="16"/>
                <w:color w:val="auto"/>
              </w:rPr>
              <w:t>Gabelli Funds</w:t>
            </w:r>
          </w:p>
        </w:tc>
        <w:tc>
          <w:tcPr>
            <w:tcW w:w="4560" w:type="dxa"/>
            <w:vAlign w:val="bottom"/>
          </w:tcPr>
          <w:p>
            <w:pPr>
              <w:jc w:val="center"/>
              <w:ind w:left="922"/>
              <w:spacing w:after="0"/>
              <w:rPr>
                <w:sz w:val="20"/>
                <w:szCs w:val="20"/>
                <w:color w:val="auto"/>
              </w:rPr>
            </w:pPr>
            <w:r>
              <w:rPr>
                <w:rFonts w:ascii="Arial" w:cs="Arial" w:eastAsia="Arial" w:hAnsi="Arial"/>
                <w:sz w:val="16"/>
                <w:szCs w:val="16"/>
                <w:color w:val="auto"/>
                <w:w w:val="89"/>
              </w:rPr>
              <w:t>171,000</w:t>
            </w:r>
          </w:p>
        </w:tc>
        <w:tc>
          <w:tcPr>
            <w:tcW w:w="3620" w:type="dxa"/>
            <w:vAlign w:val="bottom"/>
          </w:tcPr>
          <w:p>
            <w:pPr>
              <w:jc w:val="center"/>
              <w:ind w:right="142"/>
              <w:spacing w:after="0"/>
              <w:rPr>
                <w:sz w:val="20"/>
                <w:szCs w:val="20"/>
                <w:color w:val="auto"/>
              </w:rPr>
            </w:pPr>
            <w:r>
              <w:rPr>
                <w:rFonts w:ascii="Arial" w:cs="Arial" w:eastAsia="Arial" w:hAnsi="Arial"/>
                <w:sz w:val="16"/>
                <w:szCs w:val="16"/>
                <w:color w:val="auto"/>
                <w:w w:val="88"/>
              </w:rPr>
              <w:t>1.67%</w:t>
            </w:r>
          </w:p>
        </w:tc>
      </w:tr>
      <w:tr>
        <w:trPr>
          <w:trHeight w:val="397"/>
        </w:trPr>
        <w:tc>
          <w:tcPr>
            <w:tcW w:w="3260" w:type="dxa"/>
            <w:vAlign w:val="bottom"/>
          </w:tcPr>
          <w:p>
            <w:pPr>
              <w:spacing w:after="0"/>
              <w:rPr>
                <w:sz w:val="20"/>
                <w:szCs w:val="20"/>
                <w:color w:val="auto"/>
              </w:rPr>
            </w:pPr>
            <w:r>
              <w:rPr>
                <w:rFonts w:ascii="Arial" w:cs="Arial" w:eastAsia="Arial" w:hAnsi="Arial"/>
                <w:sz w:val="16"/>
                <w:szCs w:val="16"/>
                <w:color w:val="auto"/>
              </w:rPr>
              <w:t>GAMCO</w:t>
            </w:r>
          </w:p>
        </w:tc>
        <w:tc>
          <w:tcPr>
            <w:tcW w:w="4560" w:type="dxa"/>
            <w:vAlign w:val="bottom"/>
          </w:tcPr>
          <w:p>
            <w:pPr>
              <w:jc w:val="center"/>
              <w:ind w:left="922"/>
              <w:spacing w:after="0"/>
              <w:rPr>
                <w:sz w:val="20"/>
                <w:szCs w:val="20"/>
                <w:color w:val="auto"/>
              </w:rPr>
            </w:pPr>
            <w:r>
              <w:rPr>
                <w:rFonts w:ascii="Arial" w:cs="Arial" w:eastAsia="Arial" w:hAnsi="Arial"/>
                <w:sz w:val="16"/>
                <w:szCs w:val="16"/>
                <w:color w:val="auto"/>
                <w:w w:val="89"/>
              </w:rPr>
              <w:t>321,979</w:t>
            </w:r>
          </w:p>
        </w:tc>
        <w:tc>
          <w:tcPr>
            <w:tcW w:w="3620" w:type="dxa"/>
            <w:vAlign w:val="bottom"/>
          </w:tcPr>
          <w:p>
            <w:pPr>
              <w:jc w:val="center"/>
              <w:ind w:right="142"/>
              <w:spacing w:after="0"/>
              <w:rPr>
                <w:sz w:val="20"/>
                <w:szCs w:val="20"/>
                <w:color w:val="auto"/>
              </w:rPr>
            </w:pPr>
            <w:r>
              <w:rPr>
                <w:rFonts w:ascii="Arial" w:cs="Arial" w:eastAsia="Arial" w:hAnsi="Arial"/>
                <w:sz w:val="16"/>
                <w:szCs w:val="16"/>
                <w:color w:val="auto"/>
                <w:w w:val="88"/>
              </w:rPr>
              <w:t>3.14%</w:t>
            </w:r>
          </w:p>
        </w:tc>
      </w:tr>
      <w:tr>
        <w:trPr>
          <w:trHeight w:val="397"/>
        </w:trPr>
        <w:tc>
          <w:tcPr>
            <w:tcW w:w="3260" w:type="dxa"/>
            <w:vAlign w:val="bottom"/>
          </w:tcPr>
          <w:p>
            <w:pPr>
              <w:spacing w:after="0"/>
              <w:rPr>
                <w:sz w:val="20"/>
                <w:szCs w:val="20"/>
                <w:color w:val="auto"/>
              </w:rPr>
            </w:pPr>
            <w:r>
              <w:rPr>
                <w:rFonts w:ascii="Arial" w:cs="Arial" w:eastAsia="Arial" w:hAnsi="Arial"/>
                <w:sz w:val="16"/>
                <w:szCs w:val="16"/>
                <w:color w:val="auto"/>
              </w:rPr>
              <w:t>GSI</w:t>
            </w:r>
          </w:p>
        </w:tc>
        <w:tc>
          <w:tcPr>
            <w:tcW w:w="4560" w:type="dxa"/>
            <w:vAlign w:val="bottom"/>
          </w:tcPr>
          <w:p>
            <w:pPr>
              <w:jc w:val="center"/>
              <w:ind w:left="922"/>
              <w:spacing w:after="0"/>
              <w:rPr>
                <w:sz w:val="20"/>
                <w:szCs w:val="20"/>
                <w:color w:val="auto"/>
              </w:rPr>
            </w:pPr>
            <w:r>
              <w:rPr>
                <w:rFonts w:ascii="Arial" w:cs="Arial" w:eastAsia="Arial" w:hAnsi="Arial"/>
                <w:sz w:val="16"/>
                <w:szCs w:val="16"/>
                <w:color w:val="auto"/>
                <w:w w:val="89"/>
              </w:rPr>
              <w:t>2,000</w:t>
            </w:r>
          </w:p>
        </w:tc>
        <w:tc>
          <w:tcPr>
            <w:tcW w:w="3620" w:type="dxa"/>
            <w:vAlign w:val="bottom"/>
          </w:tcPr>
          <w:p>
            <w:pPr>
              <w:jc w:val="center"/>
              <w:ind w:right="142"/>
              <w:spacing w:after="0"/>
              <w:rPr>
                <w:sz w:val="20"/>
                <w:szCs w:val="20"/>
                <w:color w:val="auto"/>
              </w:rPr>
            </w:pPr>
            <w:r>
              <w:rPr>
                <w:rFonts w:ascii="Arial" w:cs="Arial" w:eastAsia="Arial" w:hAnsi="Arial"/>
                <w:sz w:val="16"/>
                <w:szCs w:val="16"/>
                <w:color w:val="auto"/>
                <w:w w:val="88"/>
              </w:rPr>
              <w:t>0.02%</w:t>
            </w:r>
          </w:p>
        </w:tc>
      </w:tr>
      <w:tr>
        <w:trPr>
          <w:trHeight w:val="397"/>
        </w:trPr>
        <w:tc>
          <w:tcPr>
            <w:tcW w:w="3260" w:type="dxa"/>
            <w:vAlign w:val="bottom"/>
          </w:tcPr>
          <w:p>
            <w:pPr>
              <w:spacing w:after="0"/>
              <w:rPr>
                <w:sz w:val="20"/>
                <w:szCs w:val="20"/>
                <w:color w:val="auto"/>
              </w:rPr>
            </w:pPr>
            <w:r>
              <w:rPr>
                <w:rFonts w:ascii="Arial" w:cs="Arial" w:eastAsia="Arial" w:hAnsi="Arial"/>
                <w:sz w:val="16"/>
                <w:szCs w:val="16"/>
                <w:color w:val="auto"/>
              </w:rPr>
              <w:t>Teton Advisors</w:t>
            </w:r>
          </w:p>
        </w:tc>
        <w:tc>
          <w:tcPr>
            <w:tcW w:w="4560" w:type="dxa"/>
            <w:vAlign w:val="bottom"/>
          </w:tcPr>
          <w:p>
            <w:pPr>
              <w:jc w:val="center"/>
              <w:ind w:left="922"/>
              <w:spacing w:after="0"/>
              <w:rPr>
                <w:sz w:val="20"/>
                <w:szCs w:val="20"/>
                <w:color w:val="auto"/>
              </w:rPr>
            </w:pPr>
            <w:r>
              <w:rPr>
                <w:rFonts w:ascii="Arial" w:cs="Arial" w:eastAsia="Arial" w:hAnsi="Arial"/>
                <w:sz w:val="16"/>
                <w:szCs w:val="16"/>
                <w:color w:val="auto"/>
                <w:w w:val="89"/>
              </w:rPr>
              <w:t>30,000</w:t>
            </w:r>
          </w:p>
        </w:tc>
        <w:tc>
          <w:tcPr>
            <w:tcW w:w="3620" w:type="dxa"/>
            <w:vAlign w:val="bottom"/>
          </w:tcPr>
          <w:p>
            <w:pPr>
              <w:jc w:val="center"/>
              <w:ind w:right="142"/>
              <w:spacing w:after="0"/>
              <w:rPr>
                <w:sz w:val="20"/>
                <w:szCs w:val="20"/>
                <w:color w:val="auto"/>
              </w:rPr>
            </w:pPr>
            <w:r>
              <w:rPr>
                <w:rFonts w:ascii="Arial" w:cs="Arial" w:eastAsia="Arial" w:hAnsi="Arial"/>
                <w:sz w:val="16"/>
                <w:szCs w:val="16"/>
                <w:color w:val="auto"/>
                <w:w w:val="88"/>
              </w:rPr>
              <w:t>0.29%</w:t>
            </w:r>
          </w:p>
        </w:tc>
      </w:tr>
    </w:tbl>
    <w:p>
      <w:pPr>
        <w:spacing w:after="0" w:line="175" w:lineRule="exact"/>
        <w:rPr>
          <w:sz w:val="20"/>
          <w:szCs w:val="20"/>
          <w:color w:val="auto"/>
        </w:rPr>
      </w:pPr>
    </w:p>
    <w:p>
      <w:pPr>
        <w:ind w:left="7" w:right="40"/>
        <w:spacing w:after="0" w:line="248" w:lineRule="auto"/>
        <w:rPr>
          <w:sz w:val="20"/>
          <w:szCs w:val="20"/>
          <w:color w:val="auto"/>
        </w:rPr>
      </w:pPr>
      <w:r>
        <w:rPr>
          <w:rFonts w:ascii="Arial" w:cs="Arial" w:eastAsia="Arial" w:hAnsi="Arial"/>
          <w:sz w:val="16"/>
          <w:szCs w:val="16"/>
          <w:color w:val="auto"/>
        </w:rPr>
        <w:t>Mario Gabelli is deemed to have beneficial ownership of the Securities owned beneficially by each of the foregoing persons. GSI is deemed to have beneficial ownership of the Securities owned beneficially by Gabelli &amp; Company. GBL and GGCP are deemed to have beneficial ownership of the Securities owned beneficially by each of the foregoing persons other than Mario Gabelli and the Foundation.</w:t>
      </w:r>
    </w:p>
    <w:p>
      <w:pPr>
        <w:spacing w:after="0" w:line="2" w:lineRule="exact"/>
        <w:rPr>
          <w:sz w:val="20"/>
          <w:szCs w:val="20"/>
          <w:color w:val="auto"/>
        </w:rPr>
      </w:pPr>
    </w:p>
    <w:p>
      <w:pPr>
        <w:ind w:left="7" w:right="40" w:firstLine="1114"/>
        <w:spacing w:after="0" w:line="243" w:lineRule="auto"/>
        <w:tabs>
          <w:tab w:leader="none" w:pos="1348" w:val="left"/>
        </w:tabs>
        <w:numPr>
          <w:ilvl w:val="1"/>
          <w:numId w:val="66"/>
        </w:numPr>
        <w:rPr>
          <w:rFonts w:ascii="Arial" w:cs="Arial" w:eastAsia="Arial" w:hAnsi="Arial"/>
          <w:sz w:val="16"/>
          <w:szCs w:val="16"/>
          <w:color w:val="auto"/>
        </w:rPr>
      </w:pPr>
      <w:r>
        <w:rPr>
          <w:rFonts w:ascii="Arial" w:cs="Arial" w:eastAsia="Arial" w:hAnsi="Arial"/>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8,000 of its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spacing w:after="0" w:line="3" w:lineRule="exact"/>
        <w:rPr>
          <w:rFonts w:ascii="Arial" w:cs="Arial" w:eastAsia="Arial" w:hAnsi="Arial"/>
          <w:sz w:val="16"/>
          <w:szCs w:val="16"/>
          <w:color w:val="auto"/>
        </w:rPr>
      </w:pPr>
    </w:p>
    <w:p>
      <w:pPr>
        <w:ind w:left="7" w:right="220" w:hanging="7"/>
        <w:spacing w:after="0" w:line="243" w:lineRule="auto"/>
        <w:tabs>
          <w:tab w:leader="none" w:pos="2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6"/>
          <w:szCs w:val="16"/>
          <w:color w:val="auto"/>
        </w:rPr>
      </w:pPr>
    </w:p>
    <w:p>
      <w:pPr>
        <w:ind w:left="7" w:right="160" w:hanging="7"/>
        <w:spacing w:after="0" w:line="243" w:lineRule="auto"/>
        <w:tabs>
          <w:tab w:leader="none" w:pos="22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investment advisory clients of, or partnerships managed by, GAMCO, Gabelli Funds, Teton Advisers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p>
      <w:pPr>
        <w:spacing w:after="0" w:line="2" w:lineRule="exact"/>
        <w:rPr>
          <w:rFonts w:ascii="Arial" w:cs="Arial" w:eastAsia="Arial" w:hAnsi="Arial"/>
          <w:sz w:val="16"/>
          <w:szCs w:val="16"/>
          <w:color w:val="auto"/>
        </w:rPr>
      </w:pPr>
    </w:p>
    <w:p>
      <w:pPr>
        <w:ind w:left="1327" w:hanging="206"/>
        <w:spacing w:after="0"/>
        <w:tabs>
          <w:tab w:leader="none" w:pos="1327"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7"/>
              </w:rPr>
              <w:t>Contracts, Arrangements, Understandings or Relationships with Respect</w:t>
            </w:r>
          </w:p>
        </w:tc>
      </w:tr>
      <w:tr>
        <w:trPr>
          <w:trHeight w:val="167"/>
        </w:trPr>
        <w:tc>
          <w:tcPr>
            <w:tcW w:w="1580" w:type="dxa"/>
            <w:vAlign w:val="bottom"/>
            <w:tcBorders>
              <w:bottom w:val="single" w:sz="8" w:color="auto"/>
            </w:tcBorders>
          </w:tcPr>
          <w:p>
            <w:pPr>
              <w:spacing w:after="0" w:line="167" w:lineRule="exact"/>
              <w:rPr>
                <w:sz w:val="20"/>
                <w:szCs w:val="20"/>
                <w:color w:val="auto"/>
              </w:rPr>
            </w:pPr>
            <w:r>
              <w:rPr>
                <w:rFonts w:ascii="Arial" w:cs="Arial" w:eastAsia="Arial" w:hAnsi="Arial"/>
                <w:sz w:val="16"/>
                <w:szCs w:val="16"/>
                <w:color w:val="auto"/>
                <w:w w:val="86"/>
              </w:rPr>
              <w:t>to Securities of the Issuer</w:t>
            </w: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r>
    </w:tbl>
    <w:p>
      <w:pPr>
        <w:spacing w:after="0" w:line="11" w:lineRule="exact"/>
        <w:rPr>
          <w:sz w:val="20"/>
          <w:szCs w:val="20"/>
          <w:color w:val="auto"/>
        </w:rPr>
      </w:pPr>
    </w:p>
    <w:p>
      <w:pPr>
        <w:jc w:val="both"/>
        <w:ind w:left="7" w:right="20"/>
        <w:spacing w:after="0" w:line="253" w:lineRule="auto"/>
        <w:rPr>
          <w:sz w:val="20"/>
          <w:szCs w:val="20"/>
          <w:color w:val="auto"/>
        </w:rPr>
      </w:pPr>
      <w:r>
        <w:rPr>
          <w:rFonts w:ascii="Arial" w:cs="Arial" w:eastAsia="Arial" w:hAnsi="Arial"/>
          <w:sz w:val="16"/>
          <w:szCs w:val="16"/>
          <w:color w:val="auto"/>
        </w:rPr>
        <w:t>The powers of disposition and voting of Gabelli Funds, Teton Advisers, GAMCO, GSI and MJG Associates with respect to Securities owned beneficially by them on behalf of their investment advisory clients, and of MJG Associates and GSI with respect to Securities owned beneficially by them on behalf of the partnerships which they directly or indirectly manage, are held pursuant to written agreements with such clients, partnerships and funds.</w:t>
      </w:r>
    </w:p>
    <w:p>
      <w:pPr>
        <w:spacing w:after="0" w:line="165" w:lineRule="exact"/>
        <w:rPr>
          <w:sz w:val="20"/>
          <w:szCs w:val="20"/>
          <w:color w:val="auto"/>
        </w:rPr>
      </w:pPr>
    </w:p>
    <w:p>
      <w:pPr>
        <w:ind w:left="7"/>
        <w:spacing w:after="0"/>
        <w:tabs>
          <w:tab w:leader="none" w:pos="1666" w:val="left"/>
        </w:tabs>
        <w:rPr>
          <w:sz w:val="20"/>
          <w:szCs w:val="20"/>
          <w:color w:val="auto"/>
        </w:rPr>
      </w:pPr>
      <w:r>
        <w:rPr>
          <w:rFonts w:ascii="Arial" w:cs="Arial" w:eastAsia="Arial" w:hAnsi="Arial"/>
          <w:sz w:val="16"/>
          <w:szCs w:val="16"/>
          <w:color w:val="auto"/>
        </w:rPr>
        <w:t>Item 7.</w:t>
      </w:r>
      <w:r>
        <w:rPr>
          <w:sz w:val="20"/>
          <w:szCs w:val="20"/>
          <w:color w:val="auto"/>
        </w:rPr>
        <w:tab/>
      </w:r>
      <w:r>
        <w:rPr>
          <w:rFonts w:ascii="Arial" w:cs="Arial" w:eastAsia="Arial" w:hAnsi="Arial"/>
          <w:sz w:val="14"/>
          <w:szCs w:val="14"/>
          <w:u w:val="single" w:color="auto"/>
          <w:color w:val="auto"/>
        </w:rPr>
        <w:t>Material to be Filed as an Exhibit</w:t>
      </w:r>
    </w:p>
    <w:p>
      <w:pPr>
        <w:spacing w:after="0" w:line="15" w:lineRule="exact"/>
        <w:rPr>
          <w:sz w:val="20"/>
          <w:szCs w:val="20"/>
          <w:color w:val="auto"/>
        </w:rPr>
      </w:pPr>
    </w:p>
    <w:p>
      <w:pPr>
        <w:ind w:left="7" w:right="320"/>
        <w:spacing w:after="0" w:line="243" w:lineRule="auto"/>
        <w:rPr>
          <w:sz w:val="20"/>
          <w:szCs w:val="20"/>
          <w:color w:val="auto"/>
        </w:rPr>
      </w:pPr>
      <w:r>
        <w:rPr>
          <w:rFonts w:ascii="Arial" w:cs="Arial" w:eastAsia="Arial" w:hAnsi="Arial"/>
          <w:sz w:val="16"/>
          <w:szCs w:val="16"/>
          <w:color w:val="auto"/>
        </w:rPr>
        <w:t>The following Exhibit A is attached hereto. The following Exhibit B is incorporated by reference to Exhibit A in the Amendment No. 2 to Schedule 13D of the Reporting Persons with respect to Lifecore Biomedical, Inc.</w:t>
      </w:r>
    </w:p>
    <w:p>
      <w:pPr>
        <w:spacing w:after="0" w:line="1" w:lineRule="exact"/>
        <w:rPr>
          <w:sz w:val="20"/>
          <w:szCs w:val="20"/>
          <w:color w:val="auto"/>
        </w:rPr>
      </w:pPr>
    </w:p>
    <w:p>
      <w:pPr>
        <w:ind w:left="7"/>
        <w:spacing w:after="0"/>
        <w:tabs>
          <w:tab w:leader="none" w:pos="1946" w:val="left"/>
        </w:tabs>
        <w:rPr>
          <w:sz w:val="20"/>
          <w:szCs w:val="20"/>
          <w:color w:val="auto"/>
        </w:rPr>
      </w:pPr>
      <w:r>
        <w:rPr>
          <w:rFonts w:ascii="Arial" w:cs="Arial" w:eastAsia="Arial" w:hAnsi="Arial"/>
          <w:sz w:val="16"/>
          <w:szCs w:val="16"/>
          <w:color w:val="auto"/>
        </w:rPr>
        <w:t>Exhibit A:</w:t>
      </w:r>
      <w:r>
        <w:rPr>
          <w:sz w:val="20"/>
          <w:szCs w:val="20"/>
          <w:color w:val="auto"/>
        </w:rPr>
        <w:tab/>
      </w:r>
      <w:r>
        <w:rPr>
          <w:rFonts w:ascii="Arial" w:cs="Arial" w:eastAsia="Arial" w:hAnsi="Arial"/>
          <w:sz w:val="14"/>
          <w:szCs w:val="14"/>
          <w:color w:val="auto"/>
        </w:rPr>
        <w:t>Joint Filing Agreement</w:t>
      </w:r>
    </w:p>
    <w:p>
      <w:pPr>
        <w:sectPr>
          <w:pgSz w:w="11900" w:h="16838" w:orient="portrait"/>
          <w:cols w:equalWidth="0" w:num="1">
            <w:col w:w="11447"/>
          </w:cols>
          <w:pgMar w:left="233" w:top="127" w:right="219" w:bottom="1440" w:gutter="0" w:footer="0" w:header="0"/>
        </w:sectPr>
      </w:pPr>
    </w:p>
    <w:p>
      <w:pPr>
        <w:spacing w:after="0" w:line="388" w:lineRule="exact"/>
        <w:rPr>
          <w:sz w:val="20"/>
          <w:szCs w:val="20"/>
          <w:color w:val="auto"/>
        </w:rPr>
      </w:pPr>
    </w:p>
    <w:p>
      <w:pPr>
        <w:ind w:left="7"/>
        <w:spacing w:after="0"/>
        <w:rPr>
          <w:sz w:val="20"/>
          <w:szCs w:val="20"/>
          <w:color w:val="auto"/>
        </w:rPr>
      </w:pPr>
      <w:r>
        <w:rPr>
          <w:rFonts w:ascii="Arial" w:cs="Arial" w:eastAsia="Arial" w:hAnsi="Arial"/>
          <w:sz w:val="14"/>
          <w:szCs w:val="14"/>
          <w:color w:val="auto"/>
        </w:rPr>
        <w:t>Exhibit B:</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Powers of Attorney to Peter D. Goldstein, Christopher J. Michailoff, James E. McKee and Douglas R. Jamieson from Mario J. Gabelli</w:t>
      </w:r>
    </w:p>
    <w:p>
      <w:pPr>
        <w:spacing w:after="0" w:line="200" w:lineRule="exact"/>
        <w:rPr>
          <w:sz w:val="20"/>
          <w:szCs w:val="20"/>
          <w:color w:val="auto"/>
        </w:rPr>
      </w:pPr>
    </w:p>
    <w:p>
      <w:pPr>
        <w:sectPr>
          <w:pgSz w:w="11900" w:h="16838" w:orient="portrait"/>
          <w:cols w:equalWidth="0" w:num="2">
            <w:col w:w="1247" w:space="720"/>
            <w:col w:w="9480"/>
          </w:cols>
          <w:pgMar w:left="233" w:top="12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27075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7"/>
          </w:cols>
          <w:pgMar w:left="233" w:top="127" w:right="2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February 14, 2008</w:t>
      </w:r>
    </w:p>
    <w:p>
      <w:pPr>
        <w:spacing w:after="0" w:line="17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GGCP,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MARIO J. GABELLI</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GABELLI SECURITIES,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Douglas R. Jamieson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Douglas R. Jamieson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GABELLI FUNDS,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Bruce N. Alpert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Bruce N. Alpert</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Chief Operating Officer – Gabelli Funds, LLC</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President – 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GAMCO ASSET MANAGEMENT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Douglas R. Jamieson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Douglas R. Jamieson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President &amp; Chief Operating Officer – GAMCO Investors, Inc.</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President – GAMCO Asset Management Inc.</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27075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19"/>
          </w:cols>
          <w:pgMar w:left="240" w:top="442" w:right="1440" w:bottom="1440" w:gutter="0" w:footer="0" w:header="0"/>
        </w:sectPr>
      </w:pPr>
    </w:p>
    <w:bookmarkStart w:id="12" w:name="page13"/>
    <w:bookmarkEnd w:id="12"/>
    <w:p>
      <w:pPr>
        <w:ind w:left="574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CHEDULE</w:t>
      </w:r>
      <w:r>
        <w:rPr>
          <w:rFonts w:ascii="Arial" w:cs="Arial" w:eastAsia="Arial" w:hAnsi="Arial"/>
          <w:sz w:val="16"/>
          <w:szCs w:val="16"/>
          <w:color w:val="auto"/>
        </w:rPr>
        <w:t xml:space="preserve"> 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Information with Respect to Executive</w:t>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Officers and Directors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-19685</wp:posOffset>
            </wp:positionV>
            <wp:extent cx="34912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ind w:left="3560"/>
        <w:spacing w:after="0"/>
        <w:rPr>
          <w:sz w:val="20"/>
          <w:szCs w:val="20"/>
          <w:color w:val="auto"/>
        </w:rPr>
      </w:pPr>
      <w:r>
        <w:rPr>
          <w:rFonts w:ascii="Arial" w:cs="Arial" w:eastAsia="Arial" w:hAnsi="Arial"/>
          <w:sz w:val="16"/>
          <w:szCs w:val="16"/>
          <w:color w:val="auto"/>
        </w:rPr>
        <w:t>Schedule I to Schedule 13D is amended, in pertinent part, as follows: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27075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GGCP,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326199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61995" cy="146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Vincent J. Amabile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Mario J. Gabelli</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Marc J. Gabelli</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Matthew R. Gabelli</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Douglas R. Jamieson</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R. Rindler, Jr.</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Fredric V. Salerno</w:t>
      </w:r>
    </w:p>
    <w:p>
      <w:pPr>
        <w:spacing w:after="0" w:line="4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Vincent Capurso</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Vincent S. Tese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Officers: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Mario J. Gabelli</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Michael G. Chieco</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GAMCO Investors,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263207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32075" cy="14605"/>
                    </a:xfrm>
                    <a:prstGeom prst="rect">
                      <a:avLst/>
                    </a:prstGeom>
                    <a:noFill/>
                  </pic:spPr>
                </pic:pic>
              </a:graphicData>
            </a:graphic>
          </wp:anchor>
        </w:drawing>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Richard L. Bready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Mario J. Gabelli</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John D. Gabelli</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Eugene R. McGrath</w:t>
      </w:r>
    </w:p>
    <w:p>
      <w:pPr>
        <w:spacing w:after="0" w:line="4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Officers: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Mario J. Gabelli</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Douglas R. Jamieson</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Henry G. Van der Eb</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Diane LaPointe</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Kieran Caterina</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GAMCO Asset Management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Business Consultant</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Chief Executive Officer of GGCP, Inc., and Chairman &amp; Chief Executive Officer of GAMCO Investors, Inc.; Director/Trustee of all registered investment companies advised by Gabelli Funds, LLC; Chief Executive Officer of LICT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Chairman of LGL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 Trading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Gabelli &amp; Company,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One Corporate Center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Rye, New York 10580</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Secretary &amp; Treasurer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United Holdings Co.,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2545 Wilkens Avenue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Baltimore, MD  21223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See below</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Account Executive for GAMCO Asset Management Inc.</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Chairman; Former Vice Chairman and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Verizon Communications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Taxes, Barnes &amp; Noble, Inc.</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Former Director GAMCO Investors, Inc.</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 and Chief Investment Officer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Former 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Procter &amp; Gamble Company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900 Adams Crossing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Cincinnati, OH 45202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Chairman &amp;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E.L. Wiegand Foundation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Reno, NV 89501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Nortek,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50 Kennedy Plaza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02903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See above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Former 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Consolidated Edison,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Operating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Gray Television,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4370 Peachtree Road, NE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Atlanta, GA 30319</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Acting Co-Chief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Acting Co-Chief Financial Officer</w:t>
      </w:r>
    </w:p>
    <w:p>
      <w:pPr>
        <w:sectPr>
          <w:pgSz w:w="11900" w:h="16838" w:orient="portrait"/>
          <w:cols w:equalWidth="0" w:num="2">
            <w:col w:w="3420" w:space="720"/>
            <w:col w:w="7200"/>
          </w:cols>
          <w:pgMar w:left="240" w:top="874" w:right="31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147955</wp:posOffset>
            </wp:positionH>
            <wp:positionV relativeFrom="page">
              <wp:posOffset>222250</wp:posOffset>
            </wp:positionV>
            <wp:extent cx="263207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32075" cy="14605"/>
                    </a:xfrm>
                    <a:prstGeom prst="rect">
                      <a:avLst/>
                    </a:prstGeom>
                    <a:noFill/>
                  </pic:spPr>
                </pic:pic>
              </a:graphicData>
            </a:graphic>
          </wp:anchor>
        </w:drawing>
        <w:t>Douglas R. Jamieson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Regina M. Pitaro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William S. Selby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3360" w:type="dxa"/>
            <w:vAlign w:val="bottom"/>
            <w:gridSpan w:val="3"/>
          </w:tcPr>
          <w:p>
            <w:pPr>
              <w:spacing w:after="0"/>
              <w:rPr>
                <w:sz w:val="20"/>
                <w:szCs w:val="20"/>
                <w:color w:val="auto"/>
              </w:rPr>
            </w:pPr>
            <w:r>
              <w:rPr>
                <w:rFonts w:ascii="Arial" w:cs="Arial" w:eastAsia="Arial" w:hAnsi="Arial"/>
                <w:sz w:val="16"/>
                <w:szCs w:val="16"/>
                <w:color w:val="auto"/>
              </w:rPr>
              <w:t>Chief Investment Officer – Value Portfolios</w:t>
            </w:r>
          </w:p>
        </w:tc>
        <w:tc>
          <w:tcPr>
            <w:tcW w:w="0" w:type="dxa"/>
            <w:vAlign w:val="bottom"/>
          </w:tcPr>
          <w:p>
            <w:pPr>
              <w:spacing w:after="0"/>
              <w:rPr>
                <w:sz w:val="1"/>
                <w:szCs w:val="1"/>
                <w:color w:val="auto"/>
              </w:rPr>
            </w:pPr>
          </w:p>
        </w:tc>
      </w:tr>
      <w:tr>
        <w:trPr>
          <w:trHeight w:val="584"/>
        </w:trPr>
        <w:tc>
          <w:tcPr>
            <w:tcW w:w="4140" w:type="dxa"/>
            <w:vAlign w:val="bottom"/>
          </w:tcPr>
          <w:p>
            <w:pPr>
              <w:spacing w:after="0"/>
              <w:rPr>
                <w:sz w:val="20"/>
                <w:szCs w:val="20"/>
                <w:color w:val="auto"/>
              </w:rPr>
            </w:pPr>
            <w:r>
              <w:rPr>
                <w:rFonts w:ascii="Arial" w:cs="Arial" w:eastAsia="Arial" w:hAnsi="Arial"/>
                <w:sz w:val="16"/>
                <w:szCs w:val="16"/>
                <w:color w:val="auto"/>
              </w:rPr>
              <w:t>Douglas R. Jamieson</w:t>
            </w:r>
          </w:p>
        </w:tc>
        <w:tc>
          <w:tcPr>
            <w:tcW w:w="3360" w:type="dxa"/>
            <w:vAlign w:val="bottom"/>
            <w:gridSpan w:val="3"/>
          </w:tcPr>
          <w:p>
            <w:pPr>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397"/>
        </w:trPr>
        <w:tc>
          <w:tcPr>
            <w:tcW w:w="4140" w:type="dxa"/>
            <w:vAlign w:val="bottom"/>
          </w:tcPr>
          <w:p>
            <w:pPr>
              <w:ind w:left="560"/>
              <w:spacing w:after="0"/>
              <w:rPr>
                <w:sz w:val="20"/>
                <w:szCs w:val="20"/>
                <w:color w:val="auto"/>
              </w:rPr>
            </w:pPr>
            <w:r>
              <w:rPr>
                <w:rFonts w:ascii="Arial" w:cs="Arial" w:eastAsia="Arial" w:hAnsi="Arial"/>
                <w:sz w:val="16"/>
                <w:szCs w:val="16"/>
                <w:color w:val="auto"/>
              </w:rPr>
              <w:t>John Piontkowski</w:t>
            </w:r>
          </w:p>
        </w:tc>
        <w:tc>
          <w:tcPr>
            <w:tcW w:w="3360" w:type="dxa"/>
            <w:vAlign w:val="bottom"/>
            <w:gridSpan w:val="3"/>
          </w:tcPr>
          <w:p>
            <w:pPr>
              <w:spacing w:after="0"/>
              <w:rPr>
                <w:sz w:val="20"/>
                <w:szCs w:val="20"/>
                <w:color w:val="auto"/>
              </w:rPr>
            </w:pPr>
            <w:r>
              <w:rPr>
                <w:rFonts w:ascii="Arial" w:cs="Arial" w:eastAsia="Arial" w:hAnsi="Arial"/>
                <w:sz w:val="16"/>
                <w:szCs w:val="16"/>
                <w:color w:val="auto"/>
                <w:w w:val="98"/>
              </w:rPr>
              <w:t>Chief Operating Officer &amp; Chief Financial Officer</w:t>
            </w:r>
          </w:p>
        </w:tc>
        <w:tc>
          <w:tcPr>
            <w:tcW w:w="0" w:type="dxa"/>
            <w:vAlign w:val="bottom"/>
          </w:tcPr>
          <w:p>
            <w:pPr>
              <w:spacing w:after="0"/>
              <w:rPr>
                <w:sz w:val="1"/>
                <w:szCs w:val="1"/>
                <w:color w:val="auto"/>
              </w:rPr>
            </w:pPr>
          </w:p>
        </w:tc>
      </w:tr>
      <w:tr>
        <w:trPr>
          <w:trHeight w:val="397"/>
        </w:trPr>
        <w:tc>
          <w:tcPr>
            <w:tcW w:w="4140" w:type="dxa"/>
            <w:vAlign w:val="bottom"/>
          </w:tcPr>
          <w:p>
            <w:pPr>
              <w:ind w:left="580"/>
              <w:spacing w:after="0"/>
              <w:rPr>
                <w:sz w:val="20"/>
                <w:szCs w:val="20"/>
                <w:color w:val="auto"/>
              </w:rPr>
            </w:pPr>
            <w:r>
              <w:rPr>
                <w:rFonts w:ascii="Arial" w:cs="Arial" w:eastAsia="Arial" w:hAnsi="Arial"/>
                <w:sz w:val="16"/>
                <w:szCs w:val="16"/>
                <w:color w:val="auto"/>
              </w:rPr>
              <w:t>Chistopher J. Michailoff</w:t>
            </w:r>
          </w:p>
        </w:tc>
        <w:tc>
          <w:tcPr>
            <w:tcW w:w="3360" w:type="dxa"/>
            <w:vAlign w:val="bottom"/>
            <w:gridSpan w:val="3"/>
          </w:tcPr>
          <w:p>
            <w:pPr>
              <w:spacing w:after="0"/>
              <w:rPr>
                <w:sz w:val="20"/>
                <w:szCs w:val="20"/>
                <w:color w:val="auto"/>
              </w:rPr>
            </w:pPr>
            <w:r>
              <w:rPr>
                <w:rFonts w:ascii="Arial" w:cs="Arial" w:eastAsia="Arial" w:hAnsi="Arial"/>
                <w:sz w:val="16"/>
                <w:szCs w:val="16"/>
                <w:color w:val="auto"/>
              </w:rPr>
              <w:t>General Counsel and Secretary</w:t>
            </w:r>
          </w:p>
        </w:tc>
        <w:tc>
          <w:tcPr>
            <w:tcW w:w="0" w:type="dxa"/>
            <w:vAlign w:val="bottom"/>
          </w:tcPr>
          <w:p>
            <w:pPr>
              <w:spacing w:after="0"/>
              <w:rPr>
                <w:sz w:val="1"/>
                <w:szCs w:val="1"/>
                <w:color w:val="auto"/>
              </w:rPr>
            </w:pPr>
          </w:p>
        </w:tc>
      </w:tr>
      <w:tr>
        <w:trPr>
          <w:trHeight w:val="385"/>
        </w:trPr>
        <w:tc>
          <w:tcPr>
            <w:tcW w:w="4140" w:type="dxa"/>
            <w:vAlign w:val="bottom"/>
          </w:tcPr>
          <w:p>
            <w:pPr>
              <w:spacing w:after="0"/>
              <w:rPr>
                <w:sz w:val="20"/>
                <w:szCs w:val="20"/>
                <w:color w:val="auto"/>
              </w:rPr>
            </w:pPr>
            <w:r>
              <w:rPr>
                <w:rFonts w:ascii="Arial" w:cs="Arial" w:eastAsia="Arial" w:hAnsi="Arial"/>
                <w:sz w:val="16"/>
                <w:szCs w:val="16"/>
                <w:color w:val="auto"/>
              </w:rPr>
              <w:t>Gabelli Funds, LLC</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tcPr>
          <w:p>
            <w:pPr>
              <w:spacing w:after="0"/>
              <w:rPr>
                <w:sz w:val="18"/>
                <w:szCs w:val="18"/>
                <w:color w:val="auto"/>
              </w:rPr>
            </w:pPr>
          </w:p>
        </w:tc>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Chief Investment Officer – Value Portfolios</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3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360" w:type="dxa"/>
            <w:vAlign w:val="bottom"/>
            <w:gridSpan w:val="3"/>
          </w:tcPr>
          <w:p>
            <w:pPr>
              <w:spacing w:after="0"/>
              <w:rPr>
                <w:sz w:val="20"/>
                <w:szCs w:val="20"/>
                <w:color w:val="auto"/>
              </w:rPr>
            </w:pPr>
            <w:r>
              <w:rPr>
                <w:rFonts w:ascii="Arial" w:cs="Arial" w:eastAsia="Arial" w:hAnsi="Arial"/>
                <w:sz w:val="16"/>
                <w:szCs w:val="16"/>
                <w:color w:val="auto"/>
                <w:w w:val="88"/>
              </w:rPr>
              <w:t>Executive Vice President and Chief Operating Officer</w:t>
            </w:r>
          </w:p>
        </w:tc>
        <w:tc>
          <w:tcPr>
            <w:tcW w:w="0" w:type="dxa"/>
            <w:vAlign w:val="bottom"/>
          </w:tcPr>
          <w:p>
            <w:pPr>
              <w:spacing w:after="0"/>
              <w:rPr>
                <w:sz w:val="1"/>
                <w:szCs w:val="1"/>
                <w:color w:val="auto"/>
              </w:rPr>
            </w:pPr>
          </w:p>
        </w:tc>
      </w:tr>
      <w:tr>
        <w:trPr>
          <w:trHeight w:val="1016"/>
        </w:trPr>
        <w:tc>
          <w:tcPr>
            <w:tcW w:w="4140" w:type="dxa"/>
            <w:vAlign w:val="bottom"/>
          </w:tcPr>
          <w:p>
            <w:pPr>
              <w:spacing w:after="0"/>
              <w:rPr>
                <w:sz w:val="20"/>
                <w:szCs w:val="20"/>
                <w:color w:val="auto"/>
              </w:rPr>
            </w:pPr>
            <w:r>
              <w:rPr>
                <w:rFonts w:ascii="Arial" w:cs="Arial" w:eastAsia="Arial" w:hAnsi="Arial"/>
                <w:sz w:val="16"/>
                <w:szCs w:val="16"/>
                <w:color w:val="auto"/>
              </w:rPr>
              <w:t>Teton Advisors, Inc.</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tcPr>
          <w:p>
            <w:pPr>
              <w:spacing w:after="0"/>
              <w:rPr>
                <w:sz w:val="18"/>
                <w:szCs w:val="18"/>
                <w:color w:val="auto"/>
              </w:rPr>
            </w:pPr>
          </w:p>
        </w:tc>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174"/>
        </w:trPr>
        <w:tc>
          <w:tcPr>
            <w:tcW w:w="4140" w:type="dxa"/>
            <w:vAlign w:val="bottom"/>
          </w:tcPr>
          <w:p>
            <w:pPr>
              <w:spacing w:after="0" w:line="175" w:lineRule="exact"/>
              <w:rPr>
                <w:sz w:val="20"/>
                <w:szCs w:val="20"/>
                <w:color w:val="auto"/>
              </w:rPr>
            </w:pPr>
            <w:r>
              <w:rPr>
                <w:rFonts w:ascii="Arial" w:cs="Arial" w:eastAsia="Arial" w:hAnsi="Arial"/>
                <w:sz w:val="16"/>
                <w:szCs w:val="16"/>
                <w:color w:val="auto"/>
              </w:rPr>
              <w:t>Bruce N. Alpert</w:t>
            </w:r>
          </w:p>
        </w:tc>
        <w:tc>
          <w:tcPr>
            <w:tcW w:w="3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40" w:type="dxa"/>
            <w:vAlign w:val="bottom"/>
          </w:tcPr>
          <w:p>
            <w:pPr>
              <w:ind w:left="580"/>
              <w:spacing w:after="0"/>
              <w:rPr>
                <w:sz w:val="20"/>
                <w:szCs w:val="20"/>
                <w:color w:val="auto"/>
              </w:rPr>
            </w:pPr>
            <w:r>
              <w:rPr>
                <w:rFonts w:ascii="Arial" w:cs="Arial" w:eastAsia="Arial" w:hAnsi="Arial"/>
                <w:sz w:val="16"/>
                <w:szCs w:val="16"/>
                <w:color w:val="auto"/>
              </w:rPr>
              <w:t>Douglas R. Jamieson</w:t>
            </w:r>
          </w:p>
        </w:tc>
        <w:tc>
          <w:tcPr>
            <w:tcW w:w="3360" w:type="dxa"/>
            <w:vAlign w:val="bottom"/>
            <w:gridSpan w:val="3"/>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397"/>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360" w:type="dxa"/>
            <w:vAlign w:val="bottom"/>
            <w:gridSpan w:val="3"/>
          </w:tcPr>
          <w:p>
            <w:pPr>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584"/>
        </w:trPr>
        <w:tc>
          <w:tcPr>
            <w:tcW w:w="4140" w:type="dxa"/>
            <w:vAlign w:val="bottom"/>
          </w:tcPr>
          <w:p>
            <w:pPr>
              <w:spacing w:after="0"/>
              <w:rPr>
                <w:sz w:val="20"/>
                <w:szCs w:val="20"/>
                <w:color w:val="auto"/>
              </w:rPr>
            </w:pPr>
            <w:r>
              <w:rPr>
                <w:rFonts w:ascii="Arial" w:cs="Arial" w:eastAsia="Arial" w:hAnsi="Arial"/>
                <w:sz w:val="16"/>
                <w:szCs w:val="16"/>
                <w:color w:val="auto"/>
              </w:rPr>
              <w:t>Gabelli Securities, Inc.</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4140" w:type="dxa"/>
            <w:vAlign w:val="bottom"/>
          </w:tcPr>
          <w:p>
            <w:pPr>
              <w:spacing w:after="0"/>
              <w:rPr>
                <w:sz w:val="20"/>
                <w:szCs w:val="20"/>
                <w:color w:val="auto"/>
              </w:rPr>
            </w:pPr>
            <w:r>
              <w:rPr>
                <w:rFonts w:ascii="Arial" w:cs="Arial" w:eastAsia="Arial" w:hAnsi="Arial"/>
                <w:sz w:val="16"/>
                <w:szCs w:val="16"/>
                <w:color w:val="auto"/>
              </w:rPr>
              <w:t>Robert W. Blake</w:t>
            </w:r>
          </w:p>
        </w:tc>
        <w:tc>
          <w:tcPr>
            <w:tcW w:w="3360" w:type="dxa"/>
            <w:vAlign w:val="bottom"/>
            <w:gridSpan w:val="3"/>
          </w:tcPr>
          <w:p>
            <w:pPr>
              <w:spacing w:after="0"/>
              <w:rPr>
                <w:sz w:val="20"/>
                <w:szCs w:val="20"/>
                <w:color w:val="auto"/>
              </w:rPr>
            </w:pPr>
            <w:r>
              <w:rPr>
                <w:rFonts w:ascii="Arial" w:cs="Arial" w:eastAsia="Arial" w:hAnsi="Arial"/>
                <w:sz w:val="16"/>
                <w:szCs w:val="16"/>
                <w:color w:val="auto"/>
              </w:rPr>
              <w:t>President of W. R. Blake &amp; Sons, Inc.</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Arial" w:cs="Arial" w:eastAsia="Arial" w:hAnsi="Arial"/>
                <w:sz w:val="16"/>
                <w:szCs w:val="16"/>
                <w:color w:val="auto"/>
              </w:rPr>
              <w:t>196-20 Northern Boulevard</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3360" w:type="dxa"/>
            <w:vAlign w:val="bottom"/>
            <w:gridSpan w:val="3"/>
          </w:tcPr>
          <w:p>
            <w:pPr>
              <w:spacing w:after="0"/>
              <w:rPr>
                <w:sz w:val="20"/>
                <w:szCs w:val="20"/>
                <w:color w:val="auto"/>
              </w:rPr>
            </w:pPr>
            <w:r>
              <w:rPr>
                <w:rFonts w:ascii="Arial" w:cs="Arial" w:eastAsia="Arial" w:hAnsi="Arial"/>
                <w:sz w:val="16"/>
                <w:szCs w:val="16"/>
                <w:color w:val="auto"/>
              </w:rPr>
              <w:t>Flushing, NY  11358</w:t>
            </w:r>
          </w:p>
        </w:tc>
        <w:tc>
          <w:tcPr>
            <w:tcW w:w="0" w:type="dxa"/>
            <w:vAlign w:val="bottom"/>
          </w:tcPr>
          <w:p>
            <w:pPr>
              <w:spacing w:after="0"/>
              <w:rPr>
                <w:sz w:val="1"/>
                <w:szCs w:val="1"/>
                <w:color w:val="auto"/>
              </w:rPr>
            </w:pPr>
          </w:p>
        </w:tc>
      </w:tr>
      <w:tr>
        <w:trPr>
          <w:trHeight w:val="385"/>
        </w:trPr>
        <w:tc>
          <w:tcPr>
            <w:tcW w:w="4140" w:type="dxa"/>
            <w:vAlign w:val="bottom"/>
          </w:tcPr>
          <w:p>
            <w:pPr>
              <w:spacing w:after="0"/>
              <w:rPr>
                <w:sz w:val="20"/>
                <w:szCs w:val="20"/>
                <w:color w:val="auto"/>
              </w:rPr>
            </w:pPr>
            <w:r>
              <w:rPr>
                <w:rFonts w:ascii="Arial" w:cs="Arial" w:eastAsia="Arial" w:hAnsi="Arial"/>
                <w:sz w:val="16"/>
                <w:szCs w:val="16"/>
                <w:color w:val="auto"/>
              </w:rPr>
              <w:t>Douglas G. DeVivo</w:t>
            </w:r>
          </w:p>
        </w:tc>
        <w:tc>
          <w:tcPr>
            <w:tcW w:w="3360" w:type="dxa"/>
            <w:vAlign w:val="bottom"/>
            <w:gridSpan w:val="3"/>
          </w:tcPr>
          <w:p>
            <w:pPr>
              <w:spacing w:after="0"/>
              <w:rPr>
                <w:sz w:val="20"/>
                <w:szCs w:val="20"/>
                <w:color w:val="auto"/>
              </w:rPr>
            </w:pPr>
            <w:r>
              <w:rPr>
                <w:rFonts w:ascii="Arial" w:cs="Arial" w:eastAsia="Arial" w:hAnsi="Arial"/>
                <w:sz w:val="16"/>
                <w:szCs w:val="16"/>
                <w:color w:val="auto"/>
              </w:rPr>
              <w:t>General Partner of ALCE Partners, L.P.</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3360" w:type="dxa"/>
            <w:vAlign w:val="bottom"/>
            <w:gridSpan w:val="3"/>
          </w:tcPr>
          <w:p>
            <w:pPr>
              <w:spacing w:after="0"/>
              <w:rPr>
                <w:sz w:val="20"/>
                <w:szCs w:val="20"/>
                <w:color w:val="auto"/>
              </w:rPr>
            </w:pPr>
            <w:r>
              <w:rPr>
                <w:rFonts w:ascii="Arial" w:cs="Arial" w:eastAsia="Arial" w:hAnsi="Arial"/>
                <w:sz w:val="16"/>
                <w:szCs w:val="16"/>
                <w:color w:val="auto"/>
              </w:rPr>
              <w:t>One First Street, Suite 16</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3360" w:type="dxa"/>
            <w:vAlign w:val="bottom"/>
            <w:gridSpan w:val="3"/>
          </w:tcPr>
          <w:p>
            <w:pPr>
              <w:spacing w:after="0"/>
              <w:rPr>
                <w:sz w:val="20"/>
                <w:szCs w:val="20"/>
                <w:color w:val="auto"/>
              </w:rPr>
            </w:pPr>
            <w:r>
              <w:rPr>
                <w:rFonts w:ascii="Arial" w:cs="Arial" w:eastAsia="Arial" w:hAnsi="Arial"/>
                <w:sz w:val="16"/>
                <w:szCs w:val="16"/>
                <w:color w:val="auto"/>
              </w:rPr>
              <w:t>Los Altos, CA  94022</w:t>
            </w:r>
          </w:p>
        </w:tc>
        <w:tc>
          <w:tcPr>
            <w:tcW w:w="0" w:type="dxa"/>
            <w:vAlign w:val="bottom"/>
          </w:tcPr>
          <w:p>
            <w:pPr>
              <w:spacing w:after="0"/>
              <w:rPr>
                <w:sz w:val="1"/>
                <w:szCs w:val="1"/>
                <w:color w:val="auto"/>
              </w:rPr>
            </w:pPr>
          </w:p>
        </w:tc>
      </w:tr>
      <w:tr>
        <w:trPr>
          <w:trHeight w:val="607"/>
        </w:trPr>
        <w:tc>
          <w:tcPr>
            <w:tcW w:w="4140" w:type="dxa"/>
            <w:vAlign w:val="bottom"/>
          </w:tcPr>
          <w:p>
            <w:pPr>
              <w:ind w:left="580"/>
              <w:spacing w:after="0"/>
              <w:rPr>
                <w:sz w:val="20"/>
                <w:szCs w:val="20"/>
                <w:color w:val="auto"/>
              </w:rPr>
            </w:pPr>
            <w:r>
              <w:rPr>
                <w:rFonts w:ascii="Arial" w:cs="Arial" w:eastAsia="Arial" w:hAnsi="Arial"/>
                <w:sz w:val="16"/>
                <w:szCs w:val="16"/>
                <w:color w:val="auto"/>
              </w:rPr>
              <w:t>Douglas R. Jamieson</w:t>
            </w:r>
          </w:p>
        </w:tc>
        <w:tc>
          <w:tcPr>
            <w:tcW w:w="3360" w:type="dxa"/>
            <w:vAlign w:val="bottom"/>
            <w:gridSpan w:val="3"/>
          </w:tcPr>
          <w:p>
            <w:pPr>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584"/>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140" w:type="dxa"/>
            <w:vAlign w:val="bottom"/>
          </w:tcPr>
          <w:p>
            <w:pPr>
              <w:spacing w:after="0"/>
              <w:rPr>
                <w:sz w:val="20"/>
                <w:szCs w:val="20"/>
                <w:color w:val="auto"/>
              </w:rPr>
            </w:pPr>
            <w:r>
              <w:rPr>
                <w:rFonts w:ascii="Arial" w:cs="Arial" w:eastAsia="Arial" w:hAnsi="Arial"/>
                <w:sz w:val="16"/>
                <w:szCs w:val="16"/>
                <w:color w:val="auto"/>
              </w:rPr>
              <w:t>Douglas R. Jamieson</w:t>
            </w:r>
          </w:p>
        </w:tc>
        <w:tc>
          <w:tcPr>
            <w:tcW w:w="3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397"/>
        </w:trPr>
        <w:tc>
          <w:tcPr>
            <w:tcW w:w="4140" w:type="dxa"/>
            <w:vAlign w:val="bottom"/>
          </w:tcPr>
          <w:p>
            <w:pPr>
              <w:ind w:left="580"/>
              <w:spacing w:after="0"/>
              <w:rPr>
                <w:sz w:val="20"/>
                <w:szCs w:val="20"/>
                <w:color w:val="auto"/>
              </w:rPr>
            </w:pPr>
            <w:r>
              <w:rPr>
                <w:rFonts w:ascii="Arial" w:cs="Arial" w:eastAsia="Arial" w:hAnsi="Arial"/>
                <w:sz w:val="16"/>
                <w:szCs w:val="16"/>
                <w:color w:val="auto"/>
              </w:rPr>
              <w:t>Christopher J. Michailoff</w:t>
            </w:r>
          </w:p>
        </w:tc>
        <w:tc>
          <w:tcPr>
            <w:tcW w:w="3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Secretary</w:t>
            </w:r>
          </w:p>
        </w:tc>
        <w:tc>
          <w:tcPr>
            <w:tcW w:w="0" w:type="dxa"/>
            <w:vAlign w:val="bottom"/>
          </w:tcPr>
          <w:p>
            <w:pPr>
              <w:spacing w:after="0"/>
              <w:rPr>
                <w:sz w:val="1"/>
                <w:szCs w:val="1"/>
                <w:color w:val="auto"/>
              </w:rPr>
            </w:pPr>
          </w:p>
        </w:tc>
      </w:tr>
      <w:tr>
        <w:trPr>
          <w:trHeight w:val="397"/>
        </w:trPr>
        <w:tc>
          <w:tcPr>
            <w:tcW w:w="4140" w:type="dxa"/>
            <w:vAlign w:val="bottom"/>
          </w:tcPr>
          <w:p>
            <w:pPr>
              <w:ind w:left="580"/>
              <w:spacing w:after="0"/>
              <w:rPr>
                <w:sz w:val="20"/>
                <w:szCs w:val="20"/>
                <w:color w:val="auto"/>
              </w:rPr>
            </w:pPr>
            <w:r>
              <w:rPr>
                <w:rFonts w:ascii="Arial" w:cs="Arial" w:eastAsia="Arial" w:hAnsi="Arial"/>
                <w:sz w:val="16"/>
                <w:szCs w:val="16"/>
                <w:color w:val="auto"/>
              </w:rPr>
              <w:t>Kieran Caterina</w:t>
            </w:r>
          </w:p>
        </w:tc>
        <w:tc>
          <w:tcPr>
            <w:tcW w:w="3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595"/>
        </w:trPr>
        <w:tc>
          <w:tcPr>
            <w:tcW w:w="4140" w:type="dxa"/>
            <w:vAlign w:val="bottom"/>
          </w:tcPr>
          <w:p>
            <w:pPr>
              <w:spacing w:after="0"/>
              <w:rPr>
                <w:sz w:val="20"/>
                <w:szCs w:val="20"/>
                <w:color w:val="auto"/>
              </w:rPr>
            </w:pPr>
            <w:r>
              <w:rPr>
                <w:rFonts w:ascii="Arial" w:cs="Arial" w:eastAsia="Arial" w:hAnsi="Arial"/>
                <w:sz w:val="16"/>
                <w:szCs w:val="16"/>
                <w:color w:val="auto"/>
              </w:rPr>
              <w:t>Gabelli &amp; Company, Inc.</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20" w:type="dxa"/>
            <w:vAlign w:val="bottom"/>
            <w:gridSpan w:val="2"/>
            <w:vMerge w:val="restart"/>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James G. Webster, III</w:t>
            </w:r>
          </w:p>
        </w:tc>
        <w:tc>
          <w:tcPr>
            <w:tcW w:w="340" w:type="dxa"/>
            <w:vAlign w:val="bottom"/>
          </w:tcPr>
          <w:p>
            <w:pPr>
              <w:spacing w:after="0"/>
              <w:rPr>
                <w:sz w:val="17"/>
                <w:szCs w:val="17"/>
                <w:color w:val="auto"/>
              </w:rPr>
            </w:pPr>
          </w:p>
        </w:tc>
        <w:tc>
          <w:tcPr>
            <w:tcW w:w="3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4140" w:type="dxa"/>
            <w:vAlign w:val="bottom"/>
          </w:tcPr>
          <w:p>
            <w:pPr>
              <w:spacing w:after="0"/>
              <w:rPr>
                <w:sz w:val="20"/>
                <w:szCs w:val="20"/>
                <w:color w:val="auto"/>
              </w:rPr>
            </w:pPr>
            <w:r>
              <w:rPr>
                <w:rFonts w:ascii="Arial" w:cs="Arial" w:eastAsia="Arial" w:hAnsi="Arial"/>
                <w:sz w:val="16"/>
                <w:szCs w:val="16"/>
                <w:color w:val="auto"/>
              </w:rPr>
              <w:t>Irene Smolicz</w:t>
            </w:r>
          </w:p>
        </w:tc>
        <w:tc>
          <w:tcPr>
            <w:tcW w:w="3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Senior Trader</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Gabelli &amp; Company, Inc.</w:t>
            </w:r>
          </w:p>
        </w:tc>
        <w:tc>
          <w:tcPr>
            <w:tcW w:w="0" w:type="dxa"/>
            <w:vAlign w:val="bottom"/>
          </w:tcPr>
          <w:p>
            <w:pPr>
              <w:spacing w:after="0"/>
              <w:rPr>
                <w:sz w:val="1"/>
                <w:szCs w:val="1"/>
                <w:color w:val="auto"/>
              </w:rPr>
            </w:pPr>
          </w:p>
        </w:tc>
      </w:tr>
      <w:tr>
        <w:trPr>
          <w:trHeight w:val="595"/>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James G. Webster, III</w:t>
            </w:r>
          </w:p>
        </w:tc>
        <w:tc>
          <w:tcPr>
            <w:tcW w:w="34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Chairman &amp; Interim President</w:t>
            </w:r>
          </w:p>
        </w:tc>
        <w:tc>
          <w:tcPr>
            <w:tcW w:w="0" w:type="dxa"/>
            <w:vAlign w:val="bottom"/>
          </w:tcPr>
          <w:p>
            <w:pPr>
              <w:spacing w:after="0"/>
              <w:rPr>
                <w:sz w:val="1"/>
                <w:szCs w:val="1"/>
                <w:color w:val="auto"/>
              </w:rPr>
            </w:pPr>
          </w:p>
        </w:tc>
      </w:tr>
      <w:tr>
        <w:trPr>
          <w:trHeight w:val="397"/>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Vice President - Mutual Funds</w:t>
            </w:r>
          </w:p>
        </w:tc>
        <w:tc>
          <w:tcPr>
            <w:tcW w:w="0" w:type="dxa"/>
            <w:vAlign w:val="bottom"/>
          </w:tcPr>
          <w:p>
            <w:pPr>
              <w:spacing w:after="0"/>
              <w:rPr>
                <w:sz w:val="1"/>
                <w:szCs w:val="1"/>
                <w:color w:val="auto"/>
              </w:rPr>
            </w:pPr>
          </w:p>
        </w:tc>
      </w:tr>
      <w:tr>
        <w:trPr>
          <w:trHeight w:val="782"/>
        </w:trPr>
        <w:tc>
          <w:tcPr>
            <w:tcW w:w="4140" w:type="dxa"/>
            <w:vAlign w:val="bottom"/>
          </w:tcPr>
          <w:p>
            <w:pPr>
              <w:spacing w:after="0"/>
              <w:rPr>
                <w:sz w:val="20"/>
                <w:szCs w:val="20"/>
                <w:color w:val="auto"/>
              </w:rPr>
            </w:pPr>
            <w:r>
              <w:rPr>
                <w:rFonts w:ascii="Arial" w:cs="Arial" w:eastAsia="Arial" w:hAnsi="Arial"/>
                <w:sz w:val="16"/>
                <w:szCs w:val="16"/>
                <w:color w:val="auto"/>
              </w:rPr>
              <w:t>LICT Corporation</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401 Theodore Fremd Avenue Rye, NY 10580</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0"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00" w:type="dxa"/>
            <w:vAlign w:val="bottom"/>
          </w:tcPr>
          <w:p>
            <w:pPr>
              <w:spacing w:after="0"/>
              <w:rPr>
                <w:sz w:val="20"/>
                <w:szCs w:val="20"/>
                <w:color w:val="auto"/>
              </w:rPr>
            </w:pPr>
            <w:r>
              <w:rPr>
                <w:rFonts w:ascii="Arial" w:cs="Arial" w:eastAsia="Arial" w:hAnsi="Arial"/>
                <w:sz w:val="16"/>
                <w:szCs w:val="16"/>
                <w:color w:val="auto"/>
              </w:rPr>
              <w:t>Mario J. Gabelli</w:t>
            </w:r>
          </w:p>
        </w:tc>
        <w:tc>
          <w:tcPr>
            <w:tcW w:w="4300" w:type="dxa"/>
            <w:vAlign w:val="bottom"/>
          </w:tcPr>
          <w:p>
            <w:pPr>
              <w:ind w:left="1380"/>
              <w:spacing w:after="0"/>
              <w:rPr>
                <w:sz w:val="20"/>
                <w:szCs w:val="20"/>
                <w:color w:val="auto"/>
              </w:rPr>
            </w:pPr>
            <w:r>
              <w:rPr>
                <w:rFonts w:ascii="Arial" w:cs="Arial" w:eastAsia="Arial" w:hAnsi="Arial"/>
                <w:sz w:val="16"/>
                <w:szCs w:val="16"/>
                <w:color w:val="auto"/>
              </w:rPr>
              <w:t>See above - GGCP, Inc.</w:t>
            </w:r>
          </w:p>
        </w:tc>
        <w:tc>
          <w:tcPr>
            <w:tcW w:w="0" w:type="dxa"/>
            <w:vAlign w:val="bottom"/>
          </w:tcPr>
          <w:p>
            <w:pPr>
              <w:spacing w:after="0"/>
              <w:rPr>
                <w:sz w:val="1"/>
                <w:szCs w:val="1"/>
                <w:color w:val="auto"/>
              </w:rPr>
            </w:pPr>
          </w:p>
        </w:tc>
      </w:tr>
      <w:tr>
        <w:trPr>
          <w:trHeight w:val="595"/>
        </w:trPr>
        <w:tc>
          <w:tcPr>
            <w:tcW w:w="3100" w:type="dxa"/>
            <w:vAlign w:val="bottom"/>
          </w:tcPr>
          <w:p>
            <w:pPr>
              <w:ind w:left="560"/>
              <w:spacing w:after="0"/>
              <w:rPr>
                <w:sz w:val="20"/>
                <w:szCs w:val="20"/>
                <w:color w:val="auto"/>
              </w:rPr>
            </w:pPr>
            <w:r>
              <w:rPr>
                <w:rFonts w:ascii="Arial" w:cs="Arial" w:eastAsia="Arial" w:hAnsi="Arial"/>
                <w:sz w:val="16"/>
                <w:szCs w:val="16"/>
                <w:color w:val="auto"/>
              </w:rPr>
              <w:t>Glenn Angelillo</w:t>
            </w:r>
          </w:p>
        </w:tc>
        <w:tc>
          <w:tcPr>
            <w:tcW w:w="4300" w:type="dxa"/>
            <w:vAlign w:val="bottom"/>
          </w:tcPr>
          <w:p>
            <w:pPr>
              <w:ind w:left="1380"/>
              <w:spacing w:after="0"/>
              <w:rPr>
                <w:sz w:val="20"/>
                <w:szCs w:val="20"/>
                <w:color w:val="auto"/>
              </w:rPr>
            </w:pPr>
            <w:r>
              <w:rPr>
                <w:rFonts w:ascii="Arial" w:cs="Arial" w:eastAsia="Arial" w:hAnsi="Arial"/>
                <w:sz w:val="16"/>
                <w:szCs w:val="16"/>
                <w:color w:val="auto"/>
              </w:rPr>
              <w:t>P.O. Box 128</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17"/>
                <w:szCs w:val="17"/>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New Canaan, CT 06840</w:t>
            </w:r>
          </w:p>
        </w:tc>
        <w:tc>
          <w:tcPr>
            <w:tcW w:w="0" w:type="dxa"/>
            <w:vAlign w:val="bottom"/>
          </w:tcPr>
          <w:p>
            <w:pPr>
              <w:spacing w:after="0"/>
              <w:rPr>
                <w:sz w:val="1"/>
                <w:szCs w:val="1"/>
                <w:color w:val="auto"/>
              </w:rPr>
            </w:pPr>
          </w:p>
        </w:tc>
      </w:tr>
      <w:tr>
        <w:trPr>
          <w:trHeight w:val="595"/>
        </w:trPr>
        <w:tc>
          <w:tcPr>
            <w:tcW w:w="3100" w:type="dxa"/>
            <w:vAlign w:val="bottom"/>
          </w:tcPr>
          <w:p>
            <w:pPr>
              <w:ind w:left="520"/>
              <w:spacing w:after="0"/>
              <w:rPr>
                <w:sz w:val="20"/>
                <w:szCs w:val="20"/>
                <w:color w:val="auto"/>
              </w:rPr>
            </w:pPr>
            <w:r>
              <w:rPr>
                <w:rFonts w:ascii="Arial" w:cs="Arial" w:eastAsia="Arial" w:hAnsi="Arial"/>
                <w:sz w:val="16"/>
                <w:szCs w:val="16"/>
                <w:color w:val="auto"/>
              </w:rPr>
              <w:t>Alfred W. Fiore</w:t>
            </w:r>
          </w:p>
        </w:tc>
        <w:tc>
          <w:tcPr>
            <w:tcW w:w="4300" w:type="dxa"/>
            <w:vAlign w:val="bottom"/>
          </w:tcPr>
          <w:p>
            <w:pPr>
              <w:ind w:left="1380"/>
              <w:spacing w:after="0"/>
              <w:rPr>
                <w:sz w:val="20"/>
                <w:szCs w:val="20"/>
                <w:color w:val="auto"/>
              </w:rPr>
            </w:pPr>
            <w:r>
              <w:rPr>
                <w:rFonts w:ascii="Arial" w:cs="Arial" w:eastAsia="Arial" w:hAnsi="Arial"/>
                <w:sz w:val="16"/>
                <w:szCs w:val="16"/>
                <w:color w:val="auto"/>
              </w:rPr>
              <w:t>The Ross Companies</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1270 Avenue of the Americas</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17"/>
                <w:szCs w:val="17"/>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New York, NY 10020-1703</w:t>
            </w:r>
          </w:p>
        </w:tc>
        <w:tc>
          <w:tcPr>
            <w:tcW w:w="0" w:type="dxa"/>
            <w:vAlign w:val="bottom"/>
          </w:tcPr>
          <w:p>
            <w:pPr>
              <w:spacing w:after="0"/>
              <w:rPr>
                <w:sz w:val="1"/>
                <w:szCs w:val="1"/>
                <w:color w:val="auto"/>
              </w:rPr>
            </w:pPr>
          </w:p>
        </w:tc>
      </w:tr>
      <w:tr>
        <w:trPr>
          <w:trHeight w:val="595"/>
        </w:trPr>
        <w:tc>
          <w:tcPr>
            <w:tcW w:w="3100" w:type="dxa"/>
            <w:vAlign w:val="bottom"/>
          </w:tcPr>
          <w:p>
            <w:pPr>
              <w:spacing w:after="0"/>
              <w:rPr>
                <w:sz w:val="20"/>
                <w:szCs w:val="20"/>
                <w:color w:val="auto"/>
              </w:rPr>
            </w:pPr>
            <w:r>
              <w:rPr>
                <w:rFonts w:ascii="Arial" w:cs="Arial" w:eastAsia="Arial" w:hAnsi="Arial"/>
                <w:sz w:val="16"/>
                <w:szCs w:val="16"/>
                <w:color w:val="auto"/>
              </w:rPr>
              <w:t>Salvatore Muoio</w:t>
            </w:r>
          </w:p>
        </w:tc>
        <w:tc>
          <w:tcPr>
            <w:tcW w:w="4300" w:type="dxa"/>
            <w:vAlign w:val="bottom"/>
          </w:tcPr>
          <w:p>
            <w:pPr>
              <w:ind w:left="1380"/>
              <w:spacing w:after="0"/>
              <w:rPr>
                <w:sz w:val="20"/>
                <w:szCs w:val="20"/>
                <w:color w:val="auto"/>
              </w:rPr>
            </w:pPr>
            <w:r>
              <w:rPr>
                <w:rFonts w:ascii="Arial" w:cs="Arial" w:eastAsia="Arial" w:hAnsi="Arial"/>
                <w:sz w:val="16"/>
                <w:szCs w:val="16"/>
                <w:color w:val="auto"/>
              </w:rPr>
              <w:t>Principal</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S. Muoio &amp; Co., LLC</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Suite 406</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509 Madison Ave.</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17"/>
                <w:szCs w:val="17"/>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New York, NY 10022</w:t>
            </w:r>
          </w:p>
        </w:tc>
        <w:tc>
          <w:tcPr>
            <w:tcW w:w="0" w:type="dxa"/>
            <w:vAlign w:val="bottom"/>
          </w:tcPr>
          <w:p>
            <w:pPr>
              <w:spacing w:after="0"/>
              <w:rPr>
                <w:sz w:val="1"/>
                <w:szCs w:val="1"/>
                <w:color w:val="auto"/>
              </w:rPr>
            </w:pPr>
          </w:p>
        </w:tc>
      </w:tr>
      <w:tr>
        <w:trPr>
          <w:trHeight w:val="595"/>
        </w:trPr>
        <w:tc>
          <w:tcPr>
            <w:tcW w:w="3100" w:type="dxa"/>
            <w:vAlign w:val="bottom"/>
          </w:tcPr>
          <w:p>
            <w:pPr>
              <w:ind w:left="560"/>
              <w:spacing w:after="0"/>
              <w:rPr>
                <w:sz w:val="20"/>
                <w:szCs w:val="20"/>
                <w:color w:val="auto"/>
              </w:rPr>
            </w:pPr>
            <w:r>
              <w:rPr>
                <w:rFonts w:ascii="Arial" w:cs="Arial" w:eastAsia="Arial" w:hAnsi="Arial"/>
                <w:sz w:val="16"/>
                <w:szCs w:val="16"/>
                <w:color w:val="auto"/>
              </w:rPr>
              <w:t>Gary L. Sugarman</w:t>
            </w:r>
          </w:p>
        </w:tc>
        <w:tc>
          <w:tcPr>
            <w:tcW w:w="4300" w:type="dxa"/>
            <w:vAlign w:val="bottom"/>
          </w:tcPr>
          <w:p>
            <w:pPr>
              <w:ind w:left="138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Richfield Associates</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400 Andrews Street</w:t>
            </w:r>
          </w:p>
        </w:tc>
        <w:tc>
          <w:tcPr>
            <w:tcW w:w="0" w:type="dxa"/>
            <w:vAlign w:val="bottom"/>
          </w:tcPr>
          <w:p>
            <w:pPr>
              <w:spacing w:after="0"/>
              <w:rPr>
                <w:sz w:val="1"/>
                <w:szCs w:val="1"/>
                <w:color w:val="auto"/>
              </w:rPr>
            </w:pPr>
          </w:p>
        </w:tc>
      </w:tr>
      <w:tr>
        <w:trPr>
          <w:trHeight w:val="199"/>
        </w:trPr>
        <w:tc>
          <w:tcPr>
            <w:tcW w:w="3100" w:type="dxa"/>
            <w:vAlign w:val="bottom"/>
            <w:vMerge w:val="restart"/>
          </w:tcPr>
          <w:p>
            <w:pPr>
              <w:spacing w:after="0"/>
              <w:rPr>
                <w:sz w:val="20"/>
                <w:szCs w:val="20"/>
                <w:color w:val="auto"/>
              </w:rPr>
            </w:pPr>
            <w:r>
              <w:rPr>
                <w:rFonts w:ascii="Arial" w:cs="Arial" w:eastAsia="Arial" w:hAnsi="Arial"/>
                <w:sz w:val="16"/>
                <w:szCs w:val="16"/>
                <w:color w:val="auto"/>
              </w:rPr>
              <w:t>Officers:</w:t>
            </w:r>
          </w:p>
        </w:tc>
        <w:tc>
          <w:tcPr>
            <w:tcW w:w="4300" w:type="dxa"/>
            <w:vAlign w:val="bottom"/>
          </w:tcPr>
          <w:p>
            <w:pPr>
              <w:ind w:left="1380"/>
              <w:spacing w:after="0"/>
              <w:rPr>
                <w:sz w:val="20"/>
                <w:szCs w:val="20"/>
                <w:color w:val="auto"/>
              </w:rPr>
            </w:pPr>
            <w:r>
              <w:rPr>
                <w:rFonts w:ascii="Arial" w:cs="Arial" w:eastAsia="Arial" w:hAnsi="Arial"/>
                <w:sz w:val="16"/>
                <w:szCs w:val="16"/>
                <w:color w:val="auto"/>
              </w:rPr>
              <w:t>Rochester, NY 14604</w:t>
            </w:r>
          </w:p>
        </w:tc>
        <w:tc>
          <w:tcPr>
            <w:tcW w:w="0" w:type="dxa"/>
            <w:vAlign w:val="bottom"/>
          </w:tcPr>
          <w:p>
            <w:pPr>
              <w:spacing w:after="0"/>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3100" w:type="dxa"/>
            <w:vAlign w:val="bottom"/>
          </w:tcPr>
          <w:p>
            <w:pPr>
              <w:spacing w:after="0"/>
              <w:rPr>
                <w:sz w:val="20"/>
                <w:szCs w:val="20"/>
                <w:color w:val="auto"/>
              </w:rPr>
            </w:pPr>
            <w:r>
              <w:rPr>
                <w:rFonts w:ascii="Arial" w:cs="Arial" w:eastAsia="Arial" w:hAnsi="Arial"/>
                <w:sz w:val="16"/>
                <w:szCs w:val="16"/>
                <w:color w:val="auto"/>
              </w:rPr>
              <w:t>Mario J. Gabelli</w:t>
            </w:r>
          </w:p>
        </w:tc>
        <w:tc>
          <w:tcPr>
            <w:tcW w:w="4300" w:type="dxa"/>
            <w:vAlign w:val="bottom"/>
          </w:tcPr>
          <w:p>
            <w:pPr>
              <w:ind w:left="138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85"/>
        </w:trPr>
        <w:tc>
          <w:tcPr>
            <w:tcW w:w="3100" w:type="dxa"/>
            <w:vAlign w:val="bottom"/>
          </w:tcPr>
          <w:p>
            <w:pPr>
              <w:spacing w:after="0"/>
              <w:rPr>
                <w:sz w:val="20"/>
                <w:szCs w:val="20"/>
                <w:color w:val="auto"/>
              </w:rPr>
            </w:pPr>
            <w:r>
              <w:rPr>
                <w:rFonts w:ascii="Arial" w:cs="Arial" w:eastAsia="Arial" w:hAnsi="Arial"/>
                <w:sz w:val="16"/>
                <w:szCs w:val="16"/>
                <w:color w:val="auto"/>
              </w:rPr>
              <w:t>Robert E. Dolan</w:t>
            </w:r>
          </w:p>
        </w:tc>
        <w:tc>
          <w:tcPr>
            <w:tcW w:w="4300" w:type="dxa"/>
            <w:vAlign w:val="bottom"/>
          </w:tcPr>
          <w:p>
            <w:pPr>
              <w:ind w:left="1380"/>
              <w:spacing w:after="0"/>
              <w:rPr>
                <w:sz w:val="20"/>
                <w:szCs w:val="20"/>
                <w:color w:val="auto"/>
              </w:rPr>
            </w:pPr>
            <w:r>
              <w:rPr>
                <w:rFonts w:ascii="Arial" w:cs="Arial" w:eastAsia="Arial" w:hAnsi="Arial"/>
                <w:sz w:val="16"/>
                <w:szCs w:val="16"/>
                <w:color w:val="auto"/>
                <w:w w:val="89"/>
              </w:rPr>
              <w:t>Interim President and Chief Executive Officer,</w:t>
            </w:r>
          </w:p>
        </w:tc>
        <w:tc>
          <w:tcPr>
            <w:tcW w:w="0" w:type="dxa"/>
            <w:vAlign w:val="bottom"/>
          </w:tcPr>
          <w:p>
            <w:pPr>
              <w:spacing w:after="0"/>
              <w:rPr>
                <w:sz w:val="1"/>
                <w:szCs w:val="1"/>
                <w:color w:val="auto"/>
              </w:rPr>
            </w:pPr>
          </w:p>
        </w:tc>
      </w:tr>
      <w:tr>
        <w:trPr>
          <w:trHeight w:val="199"/>
        </w:trPr>
        <w:tc>
          <w:tcPr>
            <w:tcW w:w="3100" w:type="dxa"/>
            <w:vAlign w:val="bottom"/>
          </w:tcPr>
          <w:p>
            <w:pPr>
              <w:spacing w:after="0"/>
              <w:rPr>
                <w:sz w:val="17"/>
                <w:szCs w:val="17"/>
                <w:color w:val="auto"/>
              </w:rPr>
            </w:pPr>
          </w:p>
        </w:tc>
        <w:tc>
          <w:tcPr>
            <w:tcW w:w="4300" w:type="dxa"/>
            <w:vAlign w:val="bottom"/>
          </w:tcPr>
          <w:p>
            <w:pPr>
              <w:ind w:left="138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397"/>
        </w:trPr>
        <w:tc>
          <w:tcPr>
            <w:tcW w:w="3100" w:type="dxa"/>
            <w:vAlign w:val="bottom"/>
          </w:tcPr>
          <w:p>
            <w:pPr>
              <w:spacing w:after="0"/>
              <w:rPr>
                <w:sz w:val="20"/>
                <w:szCs w:val="20"/>
                <w:color w:val="auto"/>
              </w:rPr>
            </w:pPr>
            <w:r>
              <w:rPr>
                <w:rFonts w:ascii="Arial" w:cs="Arial" w:eastAsia="Arial" w:hAnsi="Arial"/>
                <w:sz w:val="16"/>
                <w:szCs w:val="16"/>
                <w:color w:val="auto"/>
              </w:rPr>
              <w:t>Thomas J. Hearity</w:t>
            </w:r>
          </w:p>
        </w:tc>
        <w:tc>
          <w:tcPr>
            <w:tcW w:w="4300" w:type="dxa"/>
            <w:vAlign w:val="bottom"/>
          </w:tcPr>
          <w:p>
            <w:pPr>
              <w:ind w:left="1380"/>
              <w:spacing w:after="0"/>
              <w:rPr>
                <w:sz w:val="20"/>
                <w:szCs w:val="20"/>
                <w:color w:val="auto"/>
              </w:rPr>
            </w:pPr>
            <w:r>
              <w:rPr>
                <w:rFonts w:ascii="Arial" w:cs="Arial" w:eastAsia="Arial" w:hAnsi="Arial"/>
                <w:sz w:val="16"/>
                <w:szCs w:val="16"/>
                <w:color w:val="auto"/>
              </w:rPr>
              <w:t>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27075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6" w:name="page17"/>
    <w:bookmarkEnd w:id="16"/>
    <w:p>
      <w:pPr>
        <w:ind w:left="1407"/>
        <w:spacing w:after="0"/>
        <w:rPr>
          <w:sz w:val="20"/>
          <w:szCs w:val="20"/>
          <w:color w:val="auto"/>
        </w:rPr>
      </w:pPr>
      <w:r>
        <w:rPr>
          <w:rFonts w:ascii="Arial" w:cs="Arial" w:eastAsia="Arial" w:hAnsi="Arial"/>
          <w:sz w:val="16"/>
          <w:szCs w:val="16"/>
          <w:color w:val="auto"/>
        </w:rPr>
        <w:t>SCHEDULE II</w:t>
      </w:r>
    </w:p>
    <w:p>
      <w:pPr>
        <w:spacing w:after="0" w:line="15" w:lineRule="exact"/>
        <w:rPr>
          <w:sz w:val="20"/>
          <w:szCs w:val="20"/>
          <w:color w:val="auto"/>
        </w:rPr>
      </w:pPr>
    </w:p>
    <w:p>
      <w:pPr>
        <w:ind w:left="1087"/>
        <w:spacing w:after="0"/>
        <w:rPr>
          <w:sz w:val="20"/>
          <w:szCs w:val="20"/>
          <w:color w:val="auto"/>
        </w:rPr>
      </w:pPr>
      <w:r>
        <w:rPr>
          <w:rFonts w:ascii="Arial" w:cs="Arial" w:eastAsia="Arial" w:hAnsi="Arial"/>
          <w:sz w:val="16"/>
          <w:szCs w:val="16"/>
          <w:color w:val="auto"/>
        </w:rPr>
        <w:t>INFORMATION WITH RESPECT TO</w:t>
      </w:r>
    </w:p>
    <w:p>
      <w:pPr>
        <w:spacing w:after="0" w:line="3" w:lineRule="exact"/>
        <w:rPr>
          <w:sz w:val="20"/>
          <w:szCs w:val="20"/>
          <w:color w:val="auto"/>
        </w:rPr>
      </w:pPr>
    </w:p>
    <w:p>
      <w:pPr>
        <w:ind w:left="667"/>
        <w:spacing w:after="0"/>
        <w:rPr>
          <w:sz w:val="20"/>
          <w:szCs w:val="20"/>
          <w:color w:val="auto"/>
        </w:rPr>
      </w:pPr>
      <w:r>
        <w:rPr>
          <w:rFonts w:ascii="Arial" w:cs="Arial" w:eastAsia="Arial" w:hAnsi="Arial"/>
          <w:sz w:val="16"/>
          <w:szCs w:val="16"/>
          <w:color w:val="auto"/>
        </w:rPr>
        <w:t>TRANSACTIONS EFFECTED DURING THE PAST SIXTY DAYS OR</w:t>
      </w:r>
    </w:p>
    <w:p>
      <w:pPr>
        <w:spacing w:after="0" w:line="3" w:lineRule="exact"/>
        <w:rPr>
          <w:sz w:val="20"/>
          <w:szCs w:val="20"/>
          <w:color w:val="auto"/>
        </w:rPr>
      </w:pPr>
    </w:p>
    <w:p>
      <w:pPr>
        <w:ind w:left="667"/>
        <w:spacing w:after="0"/>
        <w:rPr>
          <w:sz w:val="20"/>
          <w:szCs w:val="20"/>
          <w:color w:val="auto"/>
        </w:rPr>
      </w:pPr>
      <w:r>
        <w:rPr>
          <w:rFonts w:ascii="Arial" w:cs="Arial" w:eastAsia="Arial" w:hAnsi="Arial"/>
          <w:sz w:val="16"/>
          <w:szCs w:val="16"/>
          <w:color w:val="auto"/>
        </w:rPr>
        <w:t>SINCE THE MOST RECENT FILING ON SCHEDULE 13D (1)</w:t>
      </w:r>
    </w:p>
    <w:p>
      <w:pPr>
        <w:spacing w:after="0" w:line="3" w:lineRule="exact"/>
        <w:rPr>
          <w:sz w:val="20"/>
          <w:szCs w:val="20"/>
          <w:color w:val="auto"/>
        </w:rPr>
      </w:pPr>
    </w:p>
    <w:p>
      <w:pPr>
        <w:ind w:left="1367"/>
        <w:spacing w:after="0"/>
        <w:tabs>
          <w:tab w:leader="none" w:pos="3206" w:val="left"/>
        </w:tabs>
        <w:rPr>
          <w:sz w:val="20"/>
          <w:szCs w:val="20"/>
          <w:color w:val="auto"/>
        </w:rPr>
      </w:pPr>
      <w:r>
        <w:rPr>
          <w:rFonts w:ascii="Arial" w:cs="Arial" w:eastAsia="Arial" w:hAnsi="Arial"/>
          <w:sz w:val="16"/>
          <w:szCs w:val="16"/>
          <w:color w:val="auto"/>
        </w:rPr>
        <w:t>SHARES PURCHASED</w:t>
      </w:r>
      <w:r>
        <w:rPr>
          <w:sz w:val="20"/>
          <w:szCs w:val="20"/>
          <w:color w:val="auto"/>
        </w:rPr>
        <w:tab/>
      </w:r>
      <w:r>
        <w:rPr>
          <w:rFonts w:ascii="Arial" w:cs="Arial" w:eastAsia="Arial" w:hAnsi="Arial"/>
          <w:sz w:val="14"/>
          <w:szCs w:val="14"/>
          <w:color w:val="auto"/>
        </w:rPr>
        <w:t>AVERAGE</w:t>
      </w:r>
    </w:p>
    <w:p>
      <w:pPr>
        <w:spacing w:after="0" w:line="3" w:lineRule="exact"/>
        <w:rPr>
          <w:sz w:val="20"/>
          <w:szCs w:val="20"/>
          <w:color w:val="auto"/>
        </w:rPr>
      </w:pPr>
    </w:p>
    <w:p>
      <w:pPr>
        <w:ind w:left="927"/>
        <w:spacing w:after="0"/>
        <w:tabs>
          <w:tab w:leader="none" w:pos="1786" w:val="left"/>
          <w:tab w:leader="none" w:pos="2846"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SOLD(-)</w:t>
      </w:r>
      <w:r>
        <w:rPr>
          <w:sz w:val="20"/>
          <w:szCs w:val="20"/>
          <w:color w:val="auto"/>
        </w:rPr>
        <w:tab/>
      </w:r>
      <w:r>
        <w:rPr>
          <w:rFonts w:ascii="Arial" w:cs="Arial" w:eastAsia="Arial" w:hAnsi="Arial"/>
          <w:sz w:val="14"/>
          <w:szCs w:val="14"/>
          <w:color w:val="auto"/>
        </w:rPr>
        <w:t>PRICE(2)</w:t>
      </w:r>
    </w:p>
    <w:p>
      <w:pPr>
        <w:spacing w:after="0" w:line="3" w:lineRule="exact"/>
        <w:rPr>
          <w:sz w:val="20"/>
          <w:szCs w:val="20"/>
          <w:color w:val="auto"/>
        </w:rPr>
      </w:pPr>
    </w:p>
    <w:p>
      <w:pPr>
        <w:ind w:left="47"/>
        <w:spacing w:after="0"/>
        <w:rPr>
          <w:sz w:val="20"/>
          <w:szCs w:val="20"/>
          <w:color w:val="auto"/>
        </w:rPr>
      </w:pPr>
      <w:r>
        <w:rPr>
          <w:rFonts w:ascii="Arial" w:cs="Arial" w:eastAsia="Arial" w:hAnsi="Arial"/>
          <w:sz w:val="16"/>
          <w:szCs w:val="16"/>
          <w:color w:val="auto"/>
        </w:rPr>
        <w:t>COMMON STOCK-HAWKINS, INC.</w:t>
      </w:r>
    </w:p>
    <w:p>
      <w:pPr>
        <w:spacing w:after="0" w:line="3" w:lineRule="exact"/>
        <w:rPr>
          <w:sz w:val="20"/>
          <w:szCs w:val="20"/>
          <w:color w:val="auto"/>
        </w:rPr>
      </w:pPr>
    </w:p>
    <w:p>
      <w:pPr>
        <w:ind w:left="387"/>
        <w:spacing w:after="0"/>
        <w:rPr>
          <w:sz w:val="20"/>
          <w:szCs w:val="20"/>
          <w:color w:val="auto"/>
        </w:rPr>
      </w:pPr>
      <w:r>
        <w:rPr>
          <w:rFonts w:ascii="Arial" w:cs="Arial" w:eastAsia="Arial" w:hAnsi="Arial"/>
          <w:sz w:val="16"/>
          <w:szCs w:val="16"/>
          <w:color w:val="auto"/>
        </w:rPr>
        <w:t>GAMCO ASSET MANAGEMENT INC.</w:t>
      </w:r>
    </w:p>
    <w:tbl>
      <w:tblPr>
        <w:tblLayout w:type="fixed"/>
        <w:tblInd w:w="387" w:type="dxa"/>
        <w:tblCellMar>
          <w:top w:w="0" w:type="dxa"/>
          <w:left w:w="0" w:type="dxa"/>
          <w:bottom w:w="0" w:type="dxa"/>
          <w:right w:w="0" w:type="dxa"/>
        </w:tblCellMar>
      </w:tblPr>
      <w:tr>
        <w:trPr>
          <w:trHeight w:val="178"/>
        </w:trPr>
        <w:tc>
          <w:tcPr>
            <w:tcW w:w="1240" w:type="dxa"/>
            <w:vAlign w:val="bottom"/>
          </w:tcPr>
          <w:p>
            <w:pPr>
              <w:jc w:val="center"/>
              <w:ind w:left="162"/>
              <w:spacing w:after="0" w:line="178" w:lineRule="exact"/>
              <w:rPr>
                <w:sz w:val="20"/>
                <w:szCs w:val="20"/>
                <w:color w:val="auto"/>
              </w:rPr>
            </w:pPr>
            <w:r>
              <w:rPr>
                <w:rFonts w:ascii="Arial" w:cs="Arial" w:eastAsia="Arial" w:hAnsi="Arial"/>
                <w:sz w:val="16"/>
                <w:szCs w:val="16"/>
                <w:color w:val="auto"/>
                <w:w w:val="89"/>
              </w:rPr>
              <w:t>1/23/08</w:t>
            </w:r>
          </w:p>
        </w:tc>
        <w:tc>
          <w:tcPr>
            <w:tcW w:w="800" w:type="dxa"/>
            <w:vAlign w:val="bottom"/>
          </w:tcPr>
          <w:p>
            <w:pPr>
              <w:jc w:val="center"/>
              <w:spacing w:after="0" w:line="178" w:lineRule="exact"/>
              <w:rPr>
                <w:sz w:val="20"/>
                <w:szCs w:val="20"/>
                <w:color w:val="auto"/>
              </w:rPr>
            </w:pPr>
            <w:r>
              <w:rPr>
                <w:rFonts w:ascii="Arial" w:cs="Arial" w:eastAsia="Arial" w:hAnsi="Arial"/>
                <w:sz w:val="16"/>
                <w:szCs w:val="16"/>
                <w:color w:val="auto"/>
                <w:w w:val="89"/>
              </w:rPr>
              <w:t>800</w:t>
            </w:r>
          </w:p>
        </w:tc>
        <w:tc>
          <w:tcPr>
            <w:tcW w:w="880" w:type="dxa"/>
            <w:vAlign w:val="bottom"/>
          </w:tcPr>
          <w:p>
            <w:pPr>
              <w:ind w:left="180"/>
              <w:spacing w:after="0" w:line="178" w:lineRule="exact"/>
              <w:rPr>
                <w:sz w:val="20"/>
                <w:szCs w:val="20"/>
                <w:color w:val="auto"/>
              </w:rPr>
            </w:pPr>
            <w:r>
              <w:rPr>
                <w:rFonts w:ascii="Arial" w:cs="Arial" w:eastAsia="Arial" w:hAnsi="Arial"/>
                <w:sz w:val="16"/>
                <w:szCs w:val="16"/>
                <w:color w:val="auto"/>
              </w:rPr>
              <w:t>14.9513</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1/03/08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300</w:t>
            </w:r>
          </w:p>
        </w:tc>
        <w:tc>
          <w:tcPr>
            <w:tcW w:w="880" w:type="dxa"/>
            <w:vAlign w:val="bottom"/>
          </w:tcPr>
          <w:p>
            <w:pPr>
              <w:ind w:left="180"/>
              <w:spacing w:after="0"/>
              <w:rPr>
                <w:sz w:val="20"/>
                <w:szCs w:val="20"/>
                <w:color w:val="auto"/>
              </w:rPr>
            </w:pPr>
            <w:r>
              <w:rPr>
                <w:rFonts w:ascii="Arial" w:cs="Arial" w:eastAsia="Arial" w:hAnsi="Arial"/>
                <w:sz w:val="16"/>
                <w:szCs w:val="16"/>
                <w:color w:val="auto"/>
              </w:rPr>
              <w:t>14.8300</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1/02/08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900</w:t>
            </w:r>
          </w:p>
        </w:tc>
        <w:tc>
          <w:tcPr>
            <w:tcW w:w="880" w:type="dxa"/>
            <w:vAlign w:val="bottom"/>
          </w:tcPr>
          <w:p>
            <w:pPr>
              <w:ind w:left="180"/>
              <w:spacing w:after="0"/>
              <w:rPr>
                <w:sz w:val="20"/>
                <w:szCs w:val="20"/>
                <w:color w:val="auto"/>
              </w:rPr>
            </w:pPr>
            <w:r>
              <w:rPr>
                <w:rFonts w:ascii="Arial" w:cs="Arial" w:eastAsia="Arial" w:hAnsi="Arial"/>
                <w:sz w:val="16"/>
                <w:szCs w:val="16"/>
                <w:color w:val="auto"/>
              </w:rPr>
              <w:t>14.8300</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12/27/07</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4,400</w:t>
            </w:r>
          </w:p>
        </w:tc>
        <w:tc>
          <w:tcPr>
            <w:tcW w:w="880" w:type="dxa"/>
            <w:vAlign w:val="bottom"/>
          </w:tcPr>
          <w:p>
            <w:pPr>
              <w:ind w:left="260"/>
              <w:spacing w:after="0"/>
              <w:rPr>
                <w:sz w:val="20"/>
                <w:szCs w:val="20"/>
                <w:color w:val="auto"/>
              </w:rPr>
            </w:pPr>
            <w:r>
              <w:rPr>
                <w:rFonts w:ascii="Arial" w:cs="Arial" w:eastAsia="Arial" w:hAnsi="Arial"/>
                <w:sz w:val="16"/>
                <w:szCs w:val="16"/>
                <w:color w:val="auto"/>
              </w:rPr>
              <w:t>14.7798</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12/19/07</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600</w:t>
            </w:r>
          </w:p>
        </w:tc>
        <w:tc>
          <w:tcPr>
            <w:tcW w:w="880" w:type="dxa"/>
            <w:vAlign w:val="bottom"/>
          </w:tcPr>
          <w:p>
            <w:pPr>
              <w:ind w:left="220"/>
              <w:spacing w:after="0"/>
              <w:rPr>
                <w:sz w:val="20"/>
                <w:szCs w:val="20"/>
                <w:color w:val="auto"/>
              </w:rPr>
            </w:pPr>
            <w:r>
              <w:rPr>
                <w:rFonts w:ascii="Arial" w:cs="Arial" w:eastAsia="Arial" w:hAnsi="Arial"/>
                <w:sz w:val="16"/>
                <w:szCs w:val="16"/>
                <w:color w:val="auto"/>
              </w:rPr>
              <w:t>14.4930</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12/05/07</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4,000</w:t>
            </w:r>
          </w:p>
        </w:tc>
        <w:tc>
          <w:tcPr>
            <w:tcW w:w="880" w:type="dxa"/>
            <w:vAlign w:val="bottom"/>
          </w:tcPr>
          <w:p>
            <w:pPr>
              <w:ind w:left="260"/>
              <w:spacing w:after="0"/>
              <w:rPr>
                <w:sz w:val="20"/>
                <w:szCs w:val="20"/>
                <w:color w:val="auto"/>
              </w:rPr>
            </w:pPr>
            <w:r>
              <w:rPr>
                <w:rFonts w:ascii="Arial" w:cs="Arial" w:eastAsia="Arial" w:hAnsi="Arial"/>
                <w:sz w:val="16"/>
                <w:szCs w:val="16"/>
                <w:color w:val="auto"/>
              </w:rPr>
              <w:t>15.0167</w:t>
            </w:r>
          </w:p>
        </w:tc>
      </w:tr>
      <w:tr>
        <w:trPr>
          <w:trHeight w:val="187"/>
        </w:trPr>
        <w:tc>
          <w:tcPr>
            <w:tcW w:w="2040" w:type="dxa"/>
            <w:vAlign w:val="bottom"/>
            <w:gridSpan w:val="2"/>
          </w:tcPr>
          <w:p>
            <w:pPr>
              <w:jc w:val="right"/>
              <w:ind w:right="342"/>
              <w:spacing w:after="0"/>
              <w:rPr>
                <w:sz w:val="20"/>
                <w:szCs w:val="20"/>
                <w:color w:val="auto"/>
              </w:rPr>
            </w:pPr>
            <w:r>
              <w:rPr>
                <w:rFonts w:ascii="Arial" w:cs="Arial" w:eastAsia="Arial" w:hAnsi="Arial"/>
                <w:sz w:val="16"/>
                <w:szCs w:val="16"/>
                <w:color w:val="auto"/>
                <w:w w:val="94"/>
              </w:rPr>
              <w:t>GABELLI FUNDS, LLC.</w:t>
            </w:r>
          </w:p>
        </w:tc>
        <w:tc>
          <w:tcPr>
            <w:tcW w:w="880" w:type="dxa"/>
            <w:vAlign w:val="bottom"/>
          </w:tcPr>
          <w:p>
            <w:pPr>
              <w:spacing w:after="0"/>
              <w:rPr>
                <w:sz w:val="16"/>
                <w:szCs w:val="16"/>
                <w:color w:val="auto"/>
              </w:rPr>
            </w:pPr>
          </w:p>
        </w:tc>
      </w:tr>
      <w:tr>
        <w:trPr>
          <w:trHeight w:val="187"/>
        </w:trPr>
        <w:tc>
          <w:tcPr>
            <w:tcW w:w="2920" w:type="dxa"/>
            <w:vAlign w:val="bottom"/>
            <w:gridSpan w:val="3"/>
          </w:tcPr>
          <w:p>
            <w:pPr>
              <w:ind w:left="160"/>
              <w:spacing w:after="0"/>
              <w:rPr>
                <w:sz w:val="20"/>
                <w:szCs w:val="20"/>
                <w:color w:val="auto"/>
              </w:rPr>
            </w:pPr>
            <w:r>
              <w:rPr>
                <w:rFonts w:ascii="Arial" w:cs="Arial" w:eastAsia="Arial" w:hAnsi="Arial"/>
                <w:sz w:val="16"/>
                <w:szCs w:val="16"/>
                <w:color w:val="auto"/>
                <w:w w:val="95"/>
              </w:rPr>
              <w:t>GABELLI SMALL CAP GROWTH FUND</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2/12/08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1,500</w:t>
            </w:r>
          </w:p>
        </w:tc>
        <w:tc>
          <w:tcPr>
            <w:tcW w:w="880" w:type="dxa"/>
            <w:vAlign w:val="bottom"/>
          </w:tcPr>
          <w:p>
            <w:pPr>
              <w:ind w:left="220"/>
              <w:spacing w:after="0"/>
              <w:rPr>
                <w:sz w:val="20"/>
                <w:szCs w:val="20"/>
                <w:color w:val="auto"/>
              </w:rPr>
            </w:pPr>
            <w:r>
              <w:rPr>
                <w:rFonts w:ascii="Arial" w:cs="Arial" w:eastAsia="Arial" w:hAnsi="Arial"/>
                <w:sz w:val="16"/>
                <w:szCs w:val="16"/>
                <w:color w:val="auto"/>
              </w:rPr>
              <w:t>15.3300</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2/11/08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3,800</w:t>
            </w:r>
          </w:p>
        </w:tc>
        <w:tc>
          <w:tcPr>
            <w:tcW w:w="880" w:type="dxa"/>
            <w:vAlign w:val="bottom"/>
          </w:tcPr>
          <w:p>
            <w:pPr>
              <w:ind w:left="220"/>
              <w:spacing w:after="0"/>
              <w:rPr>
                <w:sz w:val="20"/>
                <w:szCs w:val="20"/>
                <w:color w:val="auto"/>
              </w:rPr>
            </w:pPr>
            <w:r>
              <w:rPr>
                <w:rFonts w:ascii="Arial" w:cs="Arial" w:eastAsia="Arial" w:hAnsi="Arial"/>
                <w:sz w:val="16"/>
                <w:szCs w:val="16"/>
                <w:color w:val="auto"/>
              </w:rPr>
              <w:t>15.1142</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2/08/08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880" w:type="dxa"/>
            <w:vAlign w:val="bottom"/>
          </w:tcPr>
          <w:p>
            <w:pPr>
              <w:ind w:left="180"/>
              <w:spacing w:after="0"/>
              <w:rPr>
                <w:sz w:val="20"/>
                <w:szCs w:val="20"/>
                <w:color w:val="auto"/>
              </w:rPr>
            </w:pPr>
            <w:r>
              <w:rPr>
                <w:rFonts w:ascii="Arial" w:cs="Arial" w:eastAsia="Arial" w:hAnsi="Arial"/>
                <w:sz w:val="16"/>
                <w:szCs w:val="16"/>
                <w:color w:val="auto"/>
              </w:rPr>
              <w:t>15.2300</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2/07/08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3,300</w:t>
            </w:r>
          </w:p>
        </w:tc>
        <w:tc>
          <w:tcPr>
            <w:tcW w:w="880" w:type="dxa"/>
            <w:vAlign w:val="bottom"/>
          </w:tcPr>
          <w:p>
            <w:pPr>
              <w:ind w:left="220"/>
              <w:spacing w:after="0"/>
              <w:rPr>
                <w:sz w:val="20"/>
                <w:szCs w:val="20"/>
                <w:color w:val="auto"/>
              </w:rPr>
            </w:pPr>
            <w:r>
              <w:rPr>
                <w:rFonts w:ascii="Arial" w:cs="Arial" w:eastAsia="Arial" w:hAnsi="Arial"/>
                <w:sz w:val="16"/>
                <w:szCs w:val="16"/>
                <w:color w:val="auto"/>
              </w:rPr>
              <w:t>15.2294</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2/05/08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1,800</w:t>
            </w:r>
          </w:p>
        </w:tc>
        <w:tc>
          <w:tcPr>
            <w:tcW w:w="880" w:type="dxa"/>
            <w:vAlign w:val="bottom"/>
          </w:tcPr>
          <w:p>
            <w:pPr>
              <w:ind w:left="220"/>
              <w:spacing w:after="0"/>
              <w:rPr>
                <w:sz w:val="20"/>
                <w:szCs w:val="20"/>
                <w:color w:val="auto"/>
              </w:rPr>
            </w:pPr>
            <w:r>
              <w:rPr>
                <w:rFonts w:ascii="Arial" w:cs="Arial" w:eastAsia="Arial" w:hAnsi="Arial"/>
                <w:sz w:val="16"/>
                <w:szCs w:val="16"/>
                <w:color w:val="auto"/>
              </w:rPr>
              <w:t>15.2278</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2/04/08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7,800</w:t>
            </w:r>
          </w:p>
        </w:tc>
        <w:tc>
          <w:tcPr>
            <w:tcW w:w="880" w:type="dxa"/>
            <w:vAlign w:val="bottom"/>
          </w:tcPr>
          <w:p>
            <w:pPr>
              <w:ind w:left="220"/>
              <w:spacing w:after="0"/>
              <w:rPr>
                <w:sz w:val="20"/>
                <w:szCs w:val="20"/>
                <w:color w:val="auto"/>
              </w:rPr>
            </w:pPr>
            <w:r>
              <w:rPr>
                <w:rFonts w:ascii="Arial" w:cs="Arial" w:eastAsia="Arial" w:hAnsi="Arial"/>
                <w:sz w:val="16"/>
                <w:szCs w:val="16"/>
                <w:color w:val="auto"/>
              </w:rPr>
              <w:t>15.1496</w:t>
            </w:r>
          </w:p>
        </w:tc>
      </w:tr>
      <w:tr>
        <w:trPr>
          <w:trHeight w:val="187"/>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1/17/08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880" w:type="dxa"/>
            <w:vAlign w:val="bottom"/>
          </w:tcPr>
          <w:p>
            <w:pPr>
              <w:ind w:left="180"/>
              <w:spacing w:after="0"/>
              <w:rPr>
                <w:sz w:val="20"/>
                <w:szCs w:val="20"/>
                <w:color w:val="auto"/>
              </w:rPr>
            </w:pPr>
            <w:r>
              <w:rPr>
                <w:rFonts w:ascii="Arial" w:cs="Arial" w:eastAsia="Arial" w:hAnsi="Arial"/>
                <w:sz w:val="16"/>
                <w:szCs w:val="16"/>
                <w:color w:val="auto"/>
              </w:rPr>
              <w:t>14.7100</w:t>
            </w:r>
          </w:p>
        </w:tc>
      </w:tr>
      <w:tr>
        <w:trPr>
          <w:trHeight w:val="199"/>
        </w:trPr>
        <w:tc>
          <w:tcPr>
            <w:tcW w:w="1240" w:type="dxa"/>
            <w:vAlign w:val="bottom"/>
          </w:tcPr>
          <w:p>
            <w:pPr>
              <w:jc w:val="center"/>
              <w:ind w:left="162"/>
              <w:spacing w:after="0"/>
              <w:rPr>
                <w:sz w:val="20"/>
                <w:szCs w:val="20"/>
                <w:color w:val="auto"/>
              </w:rPr>
            </w:pPr>
            <w:r>
              <w:rPr>
                <w:rFonts w:ascii="Arial" w:cs="Arial" w:eastAsia="Arial" w:hAnsi="Arial"/>
                <w:sz w:val="16"/>
                <w:szCs w:val="16"/>
                <w:color w:val="auto"/>
                <w:w w:val="89"/>
              </w:rPr>
              <w:t>1/09/08</w:t>
            </w:r>
          </w:p>
        </w:tc>
        <w:tc>
          <w:tcPr>
            <w:tcW w:w="800" w:type="dxa"/>
            <w:vAlign w:val="bottom"/>
          </w:tcPr>
          <w:p>
            <w:pPr>
              <w:jc w:val="right"/>
              <w:ind w:right="162"/>
              <w:spacing w:after="0"/>
              <w:rPr>
                <w:sz w:val="20"/>
                <w:szCs w:val="20"/>
                <w:color w:val="auto"/>
              </w:rPr>
            </w:pPr>
            <w:r>
              <w:rPr>
                <w:rFonts w:ascii="Arial" w:cs="Arial" w:eastAsia="Arial" w:hAnsi="Arial"/>
                <w:sz w:val="16"/>
                <w:szCs w:val="16"/>
                <w:color w:val="auto"/>
              </w:rPr>
              <w:t>1,900</w:t>
            </w:r>
          </w:p>
        </w:tc>
        <w:tc>
          <w:tcPr>
            <w:tcW w:w="880" w:type="dxa"/>
            <w:vAlign w:val="bottom"/>
          </w:tcPr>
          <w:p>
            <w:pPr>
              <w:ind w:left="220"/>
              <w:spacing w:after="0"/>
              <w:rPr>
                <w:sz w:val="20"/>
                <w:szCs w:val="20"/>
                <w:color w:val="auto"/>
              </w:rPr>
            </w:pPr>
            <w:r>
              <w:rPr>
                <w:rFonts w:ascii="Arial" w:cs="Arial" w:eastAsia="Arial" w:hAnsi="Arial"/>
                <w:sz w:val="16"/>
                <w:szCs w:val="16"/>
                <w:color w:val="auto"/>
              </w:rPr>
              <w:t>14.7100</w:t>
            </w:r>
          </w:p>
        </w:tc>
      </w:tr>
    </w:tbl>
    <w:p>
      <w:pPr>
        <w:spacing w:after="0" w:line="175" w:lineRule="exact"/>
        <w:rPr>
          <w:sz w:val="20"/>
          <w:szCs w:val="20"/>
          <w:color w:val="auto"/>
        </w:rPr>
      </w:pPr>
    </w:p>
    <w:p>
      <w:pPr>
        <w:ind w:left="147" w:right="4719" w:hanging="147"/>
        <w:spacing w:after="0" w:line="262" w:lineRule="auto"/>
        <w:tabs>
          <w:tab w:leader="none" w:pos="2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UNLESS OTHERWISE INDICATED, ALL TRANSACTIONS WERE EFFECTED ON THE NASDAQ STOCK MARKET.</w:t>
      </w:r>
    </w:p>
    <w:p>
      <w:pPr>
        <w:spacing w:after="0" w:line="158" w:lineRule="exact"/>
        <w:rPr>
          <w:rFonts w:ascii="Arial" w:cs="Arial" w:eastAsia="Arial" w:hAnsi="Arial"/>
          <w:sz w:val="16"/>
          <w:szCs w:val="16"/>
          <w:color w:val="auto"/>
        </w:rPr>
      </w:pPr>
    </w:p>
    <w:p>
      <w:pPr>
        <w:ind w:left="227" w:hanging="227"/>
        <w:spacing w:after="0"/>
        <w:tabs>
          <w:tab w:leader="none" w:pos="227"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PRICE EXCLUDES COMMISSION.</w:t>
      </w:r>
    </w:p>
    <w:p>
      <w:pPr>
        <w:spacing w:after="0" w:line="200" w:lineRule="exact"/>
        <w:rPr>
          <w:sz w:val="20"/>
          <w:szCs w:val="20"/>
          <w:color w:val="auto"/>
        </w:rPr>
      </w:pPr>
    </w:p>
    <w:p>
      <w:pPr>
        <w:spacing w:after="0" w:line="305"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7075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26"/>
          </w:cols>
          <w:pgMar w:left="233" w:top="629"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u w:val="single" w:color="auto"/>
          <w:color w:val="auto"/>
        </w:rPr>
        <w:t>Exhibit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JOINT FILING AGREEMENT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accordance with Rule 13d-1(f) under the securities Exchange Act of 1934, as amended, the undersigned hereby agree to the joint filing with all other Reporting Entities (as such term is defined in the Schedule 13D referred to below) on behalf of each of them of a statement on Schedule 13D (including amendments thereto) with respect to the Common Stock of Hawkins, Inc., and that this Agreement be included as an Exhibit to such joint filing. This Agreement may be executed in any number of counterparts all of which taken together shall constitute one and the same instrument.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hereby execute this Agreement this February 14, 2008.</w:t>
      </w:r>
    </w:p>
    <w:p>
      <w:pPr>
        <w:spacing w:after="0" w:line="19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MARIO J. GABELLI</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GGCP, INC.</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MJG ASSOCIATES, INC.</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GABELLI FOUNDATION, INC.</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LICT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By:/s/ Douglas R. Jamieson</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Douglas R. Jamieson</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GABELLI FUNDS, LLC</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TETON ADVISORS, INC.</w:t>
      </w:r>
    </w:p>
    <w:p>
      <w:pPr>
        <w:spacing w:after="0" w:line="200" w:lineRule="exact"/>
        <w:rPr>
          <w:sz w:val="20"/>
          <w:szCs w:val="20"/>
          <w:color w:val="auto"/>
        </w:rPr>
      </w:pP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 /s/ Bruce N. Alpert__________________________</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Bruce N. Alpert</w:t>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Chief Operating Officer – Gabelli Funds, LLC</w:t>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President – Teton 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402590</wp:posOffset>
            </wp:positionV>
            <wp:extent cx="436626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6626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GAMCO ASSET MANAGEMENT INC.</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GAMCO INVESTORS, INC.</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GABELLI SECURITIES, INC.</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GABELLI &amp;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By:/s/ Douglas R. Jamieson</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Douglas R. Jamieson</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President &amp; Chief Operating Officer – GAMCO Investors, Inc.</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27075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bullet"/>
      <w:start w:val="1"/>
    </w:lvl>
  </w:abstractNum>
  <w:abstractNum w:abstractNumId="1">
    <w:nsid w:val="5577F8E1"/>
    <w:multiLevelType w:val="hybridMultilevel"/>
    <w:lvl w:ilvl="0">
      <w:lvlJc w:val="left"/>
      <w:lvlText w:val="2"/>
      <w:numFmt w:val="bullet"/>
      <w:start w:val="1"/>
    </w:lvl>
  </w:abstractNum>
  <w:abstractNum w:abstractNumId="2">
    <w:nsid w:val="440BADFC"/>
    <w:multiLevelType w:val="hybridMultilevel"/>
    <w:lvl w:ilvl="0">
      <w:lvlJc w:val="left"/>
      <w:lvlText w:val="3"/>
      <w:numFmt w:val="bullet"/>
      <w:start w:val="1"/>
    </w:lvl>
  </w:abstractNum>
  <w:abstractNum w:abstractNumId="3">
    <w:nsid w:val="5072367"/>
    <w:multiLevelType w:val="hybridMultilevel"/>
    <w:lvl w:ilvl="0">
      <w:lvlJc w:val="left"/>
      <w:lvlText w:val="4"/>
      <w:numFmt w:val="bullet"/>
      <w:start w:val="1"/>
    </w:lvl>
  </w:abstractNum>
  <w:abstractNum w:abstractNumId="4">
    <w:nsid w:val="3804823E"/>
    <w:multiLevelType w:val="hybridMultilevel"/>
    <w:lvl w:ilvl="0">
      <w:lvlJc w:val="left"/>
      <w:lvlText w:val="5"/>
      <w:numFmt w:val="bullet"/>
      <w:start w:val="1"/>
    </w:lvl>
  </w:abstractNum>
  <w:abstractNum w:abstractNumId="5">
    <w:nsid w:val="77465F01"/>
    <w:multiLevelType w:val="hybridMultilevel"/>
    <w:lvl w:ilvl="0">
      <w:lvlJc w:val="left"/>
      <w:lvlText w:val="6"/>
      <w:numFmt w:val="bullet"/>
      <w:start w:val="1"/>
    </w:lvl>
  </w:abstractNum>
  <w:abstractNum w:abstractNumId="6">
    <w:nsid w:val="7724C67E"/>
    <w:multiLevelType w:val="hybridMultilevel"/>
    <w:lvl w:ilvl="0">
      <w:lvlJc w:val="left"/>
      <w:lvlText w:val="%1"/>
      <w:numFmt w:val="decimal"/>
      <w:start w:val="11"/>
    </w:lvl>
  </w:abstractNum>
  <w:abstractNum w:abstractNumId="7">
    <w:nsid w:val="5C482A97"/>
    <w:multiLevelType w:val="hybridMultilevel"/>
    <w:lvl w:ilvl="0">
      <w:lvlJc w:val="left"/>
      <w:lvlText w:val="%1"/>
      <w:numFmt w:val="decimal"/>
      <w:start w:val="12"/>
    </w:lvl>
  </w:abstractNum>
  <w:abstractNum w:abstractNumId="8">
    <w:nsid w:val="2463B9EA"/>
    <w:multiLevelType w:val="hybridMultilevel"/>
    <w:lvl w:ilvl="0">
      <w:lvlJc w:val="left"/>
      <w:lvlText w:val="%1"/>
      <w:numFmt w:val="decimal"/>
      <w:start w:val="13"/>
    </w:lvl>
  </w:abstractNum>
  <w:abstractNum w:abstractNumId="9">
    <w:nsid w:val="5E884ADC"/>
    <w:multiLevelType w:val="hybridMultilevel"/>
    <w:lvl w:ilvl="0">
      <w:lvlJc w:val="left"/>
      <w:lvlText w:val="%1"/>
      <w:numFmt w:val="decimal"/>
      <w:start w:val="14"/>
    </w:lvl>
  </w:abstractNum>
  <w:abstractNum w:abstractNumId="10">
    <w:nsid w:val="51EAD36B"/>
    <w:multiLevelType w:val="hybridMultilevel"/>
    <w:lvl w:ilvl="0">
      <w:lvlJc w:val="left"/>
      <w:lvlText w:val="1"/>
      <w:numFmt w:val="bullet"/>
      <w:start w:val="1"/>
    </w:lvl>
  </w:abstractNum>
  <w:abstractNum w:abstractNumId="11">
    <w:nsid w:val="2D517796"/>
    <w:multiLevelType w:val="hybridMultilevel"/>
    <w:lvl w:ilvl="0">
      <w:lvlJc w:val="left"/>
      <w:lvlText w:val="2"/>
      <w:numFmt w:val="bullet"/>
      <w:start w:val="1"/>
    </w:lvl>
  </w:abstractNum>
  <w:abstractNum w:abstractNumId="12">
    <w:nsid w:val="580BD78F"/>
    <w:multiLevelType w:val="hybridMultilevel"/>
    <w:lvl w:ilvl="0">
      <w:lvlJc w:val="left"/>
      <w:lvlText w:val="3"/>
      <w:numFmt w:val="bullet"/>
      <w:start w:val="1"/>
    </w:lvl>
  </w:abstractNum>
  <w:abstractNum w:abstractNumId="13">
    <w:nsid w:val="153EA438"/>
    <w:multiLevelType w:val="hybridMultilevel"/>
    <w:lvl w:ilvl="0">
      <w:lvlJc w:val="left"/>
      <w:lvlText w:val="4"/>
      <w:numFmt w:val="bullet"/>
      <w:start w:val="1"/>
    </w:lvl>
  </w:abstractNum>
  <w:abstractNum w:abstractNumId="14">
    <w:nsid w:val="3855585C"/>
    <w:multiLevelType w:val="hybridMultilevel"/>
    <w:lvl w:ilvl="0">
      <w:lvlJc w:val="left"/>
      <w:lvlText w:val="5"/>
      <w:numFmt w:val="bullet"/>
      <w:start w:val="1"/>
    </w:lvl>
  </w:abstractNum>
  <w:abstractNum w:abstractNumId="15">
    <w:nsid w:val="70A64E2A"/>
    <w:multiLevelType w:val="hybridMultilevel"/>
    <w:lvl w:ilvl="0">
      <w:lvlJc w:val="left"/>
      <w:lvlText w:val="6"/>
      <w:numFmt w:val="bullet"/>
      <w:start w:val="1"/>
    </w:lvl>
  </w:abstractNum>
  <w:abstractNum w:abstractNumId="16">
    <w:nsid w:val="6A2342EC"/>
    <w:multiLevelType w:val="hybridMultilevel"/>
    <w:lvl w:ilvl="0">
      <w:lvlJc w:val="left"/>
      <w:lvlText w:val="%1"/>
      <w:numFmt w:val="decimal"/>
      <w:start w:val="11"/>
    </w:lvl>
  </w:abstractNum>
  <w:abstractNum w:abstractNumId="17">
    <w:nsid w:val="2A487CB0"/>
    <w:multiLevelType w:val="hybridMultilevel"/>
    <w:lvl w:ilvl="0">
      <w:lvlJc w:val="left"/>
      <w:lvlText w:val="%1"/>
      <w:numFmt w:val="decimal"/>
      <w:start w:val="12"/>
    </w:lvl>
  </w:abstractNum>
  <w:abstractNum w:abstractNumId="18">
    <w:nsid w:val="1D4ED43B"/>
    <w:multiLevelType w:val="hybridMultilevel"/>
    <w:lvl w:ilvl="0">
      <w:lvlJc w:val="left"/>
      <w:lvlText w:val="%1"/>
      <w:numFmt w:val="decimal"/>
      <w:start w:val="13"/>
    </w:lvl>
  </w:abstractNum>
  <w:abstractNum w:abstractNumId="19">
    <w:nsid w:val="725A06FB"/>
    <w:multiLevelType w:val="hybridMultilevel"/>
    <w:lvl w:ilvl="0">
      <w:lvlJc w:val="left"/>
      <w:lvlText w:val="%1"/>
      <w:numFmt w:val="decimal"/>
      <w:start w:val="14"/>
    </w:lvl>
  </w:abstractNum>
  <w:abstractNum w:abstractNumId="20">
    <w:nsid w:val="2CD89A32"/>
    <w:multiLevelType w:val="hybridMultilevel"/>
    <w:lvl w:ilvl="0">
      <w:lvlJc w:val="left"/>
      <w:lvlText w:val="1"/>
      <w:numFmt w:val="bullet"/>
      <w:start w:val="1"/>
    </w:lvl>
  </w:abstractNum>
  <w:abstractNum w:abstractNumId="21">
    <w:nsid w:val="57E4CCAF"/>
    <w:multiLevelType w:val="hybridMultilevel"/>
    <w:lvl w:ilvl="0">
      <w:lvlJc w:val="left"/>
      <w:lvlText w:val="2"/>
      <w:numFmt w:val="bullet"/>
      <w:start w:val="1"/>
    </w:lvl>
  </w:abstractNum>
  <w:abstractNum w:abstractNumId="22">
    <w:nsid w:val="7A6D8D3C"/>
    <w:multiLevelType w:val="hybridMultilevel"/>
    <w:lvl w:ilvl="0">
      <w:lvlJc w:val="left"/>
      <w:lvlText w:val="3"/>
      <w:numFmt w:val="bullet"/>
      <w:start w:val="1"/>
    </w:lvl>
  </w:abstractNum>
  <w:abstractNum w:abstractNumId="23">
    <w:nsid w:val="4B588F54"/>
    <w:multiLevelType w:val="hybridMultilevel"/>
    <w:lvl w:ilvl="0">
      <w:lvlJc w:val="left"/>
      <w:lvlText w:val="4"/>
      <w:numFmt w:val="bullet"/>
      <w:start w:val="1"/>
    </w:lvl>
  </w:abstractNum>
  <w:abstractNum w:abstractNumId="24">
    <w:nsid w:val="542289EC"/>
    <w:multiLevelType w:val="hybridMultilevel"/>
    <w:lvl w:ilvl="0">
      <w:lvlJc w:val="left"/>
      <w:lvlText w:val="5"/>
      <w:numFmt w:val="bullet"/>
      <w:start w:val="1"/>
    </w:lvl>
  </w:abstractNum>
  <w:abstractNum w:abstractNumId="25">
    <w:nsid w:val="6DE91B18"/>
    <w:multiLevelType w:val="hybridMultilevel"/>
    <w:lvl w:ilvl="0">
      <w:lvlJc w:val="left"/>
      <w:lvlText w:val="6"/>
      <w:numFmt w:val="bullet"/>
      <w:start w:val="1"/>
    </w:lvl>
  </w:abstractNum>
  <w:abstractNum w:abstractNumId="26">
    <w:nsid w:val="38437FDB"/>
    <w:multiLevelType w:val="hybridMultilevel"/>
    <w:lvl w:ilvl="0">
      <w:lvlJc w:val="left"/>
      <w:lvlText w:val="%1"/>
      <w:numFmt w:val="decimal"/>
      <w:start w:val="11"/>
    </w:lvl>
  </w:abstractNum>
  <w:abstractNum w:abstractNumId="27">
    <w:nsid w:val="7644A45C"/>
    <w:multiLevelType w:val="hybridMultilevel"/>
    <w:lvl w:ilvl="0">
      <w:lvlJc w:val="left"/>
      <w:lvlText w:val="%1"/>
      <w:numFmt w:val="decimal"/>
      <w:start w:val="12"/>
    </w:lvl>
  </w:abstractNum>
  <w:abstractNum w:abstractNumId="28">
    <w:nsid w:val="32FFF902"/>
    <w:multiLevelType w:val="hybridMultilevel"/>
    <w:lvl w:ilvl="0">
      <w:lvlJc w:val="left"/>
      <w:lvlText w:val="%1"/>
      <w:numFmt w:val="decimal"/>
      <w:start w:val="13"/>
    </w:lvl>
  </w:abstractNum>
  <w:abstractNum w:abstractNumId="29">
    <w:nsid w:val="684A481A"/>
    <w:multiLevelType w:val="hybridMultilevel"/>
    <w:lvl w:ilvl="0">
      <w:lvlJc w:val="left"/>
      <w:lvlText w:val="%1"/>
      <w:numFmt w:val="decimal"/>
      <w:start w:val="14"/>
    </w:lvl>
  </w:abstractNum>
  <w:abstractNum w:abstractNumId="30">
    <w:nsid w:val="579478FE"/>
    <w:multiLevelType w:val="hybridMultilevel"/>
    <w:lvl w:ilvl="0">
      <w:lvlJc w:val="left"/>
      <w:lvlText w:val="1"/>
      <w:numFmt w:val="bullet"/>
      <w:start w:val="1"/>
    </w:lvl>
  </w:abstractNum>
  <w:abstractNum w:abstractNumId="31">
    <w:nsid w:val="749ABB43"/>
    <w:multiLevelType w:val="hybridMultilevel"/>
    <w:lvl w:ilvl="0">
      <w:lvlJc w:val="left"/>
      <w:lvlText w:val="2"/>
      <w:numFmt w:val="bullet"/>
      <w:start w:val="1"/>
    </w:lvl>
  </w:abstractNum>
  <w:abstractNum w:abstractNumId="32">
    <w:nsid w:val="3DC240FB"/>
    <w:multiLevelType w:val="hybridMultilevel"/>
    <w:lvl w:ilvl="0">
      <w:lvlJc w:val="left"/>
      <w:lvlText w:val="3"/>
      <w:numFmt w:val="bullet"/>
      <w:start w:val="1"/>
    </w:lvl>
  </w:abstractNum>
  <w:abstractNum w:abstractNumId="33">
    <w:nsid w:val="1BA026FA"/>
    <w:multiLevelType w:val="hybridMultilevel"/>
    <w:lvl w:ilvl="0">
      <w:lvlJc w:val="left"/>
      <w:lvlText w:val="4"/>
      <w:numFmt w:val="bullet"/>
      <w:start w:val="1"/>
    </w:lvl>
  </w:abstractNum>
  <w:abstractNum w:abstractNumId="34">
    <w:nsid w:val="79A1DEAA"/>
    <w:multiLevelType w:val="hybridMultilevel"/>
    <w:lvl w:ilvl="0">
      <w:lvlJc w:val="left"/>
      <w:lvlText w:val="5"/>
      <w:numFmt w:val="bullet"/>
      <w:start w:val="1"/>
    </w:lvl>
  </w:abstractNum>
  <w:abstractNum w:abstractNumId="35">
    <w:nsid w:val="75C6C33A"/>
    <w:multiLevelType w:val="hybridMultilevel"/>
    <w:lvl w:ilvl="0">
      <w:lvlJc w:val="left"/>
      <w:lvlText w:val="6"/>
      <w:numFmt w:val="bullet"/>
      <w:start w:val="1"/>
    </w:lvl>
  </w:abstractNum>
  <w:abstractNum w:abstractNumId="36">
    <w:nsid w:val="12E685FB"/>
    <w:multiLevelType w:val="hybridMultilevel"/>
    <w:lvl w:ilvl="0">
      <w:lvlJc w:val="left"/>
      <w:lvlText w:val="%1"/>
      <w:numFmt w:val="decimal"/>
      <w:start w:val="11"/>
    </w:lvl>
  </w:abstractNum>
  <w:abstractNum w:abstractNumId="37">
    <w:nsid w:val="70C6A529"/>
    <w:multiLevelType w:val="hybridMultilevel"/>
    <w:lvl w:ilvl="0">
      <w:lvlJc w:val="left"/>
      <w:lvlText w:val="%1"/>
      <w:numFmt w:val="decimal"/>
      <w:start w:val="12"/>
    </w:lvl>
  </w:abstractNum>
  <w:abstractNum w:abstractNumId="38">
    <w:nsid w:val="520EEDD1"/>
    <w:multiLevelType w:val="hybridMultilevel"/>
    <w:lvl w:ilvl="0">
      <w:lvlJc w:val="left"/>
      <w:lvlText w:val="%1"/>
      <w:numFmt w:val="decimal"/>
      <w:start w:val="13"/>
    </w:lvl>
  </w:abstractNum>
  <w:abstractNum w:abstractNumId="39">
    <w:nsid w:val="374A3FE6"/>
    <w:multiLevelType w:val="hybridMultilevel"/>
    <w:lvl w:ilvl="0">
      <w:lvlJc w:val="left"/>
      <w:lvlText w:val="%1"/>
      <w:numFmt w:val="decimal"/>
      <w:start w:val="14"/>
    </w:lvl>
  </w:abstractNum>
  <w:abstractNum w:abstractNumId="40">
    <w:nsid w:val="4F4EF005"/>
    <w:multiLevelType w:val="hybridMultilevel"/>
    <w:lvl w:ilvl="0">
      <w:lvlJc w:val="left"/>
      <w:lvlText w:val="1"/>
      <w:numFmt w:val="bullet"/>
      <w:start w:val="1"/>
    </w:lvl>
  </w:abstractNum>
  <w:abstractNum w:abstractNumId="41">
    <w:nsid w:val="23F9C13C"/>
    <w:multiLevelType w:val="hybridMultilevel"/>
    <w:lvl w:ilvl="0">
      <w:lvlJc w:val="left"/>
      <w:lvlText w:val="2"/>
      <w:numFmt w:val="bullet"/>
      <w:start w:val="1"/>
    </w:lvl>
  </w:abstractNum>
  <w:abstractNum w:abstractNumId="42">
    <w:nsid w:val="649BB77C"/>
    <w:multiLevelType w:val="hybridMultilevel"/>
    <w:lvl w:ilvl="0">
      <w:lvlJc w:val="left"/>
      <w:lvlText w:val="3"/>
      <w:numFmt w:val="bullet"/>
      <w:start w:val="1"/>
    </w:lvl>
  </w:abstractNum>
  <w:abstractNum w:abstractNumId="43">
    <w:nsid w:val="275AC794"/>
    <w:multiLevelType w:val="hybridMultilevel"/>
    <w:lvl w:ilvl="0">
      <w:lvlJc w:val="left"/>
      <w:lvlText w:val="4"/>
      <w:numFmt w:val="bullet"/>
      <w:start w:val="1"/>
    </w:lvl>
  </w:abstractNum>
  <w:abstractNum w:abstractNumId="44">
    <w:nsid w:val="39386575"/>
    <w:multiLevelType w:val="hybridMultilevel"/>
    <w:lvl w:ilvl="0">
      <w:lvlJc w:val="left"/>
      <w:lvlText w:val="5"/>
      <w:numFmt w:val="bullet"/>
      <w:start w:val="1"/>
    </w:lvl>
  </w:abstractNum>
  <w:abstractNum w:abstractNumId="45">
    <w:nsid w:val="1CF10FD8"/>
    <w:multiLevelType w:val="hybridMultilevel"/>
    <w:lvl w:ilvl="0">
      <w:lvlJc w:val="left"/>
      <w:lvlText w:val="6"/>
      <w:numFmt w:val="bullet"/>
      <w:start w:val="1"/>
    </w:lvl>
  </w:abstractNum>
  <w:abstractNum w:abstractNumId="46">
    <w:nsid w:val="180115BE"/>
    <w:multiLevelType w:val="hybridMultilevel"/>
    <w:lvl w:ilvl="0">
      <w:lvlJc w:val="left"/>
      <w:lvlText w:val="%1"/>
      <w:numFmt w:val="decimal"/>
      <w:start w:val="11"/>
    </w:lvl>
  </w:abstractNum>
  <w:abstractNum w:abstractNumId="47">
    <w:nsid w:val="235BA861"/>
    <w:multiLevelType w:val="hybridMultilevel"/>
    <w:lvl w:ilvl="0">
      <w:lvlJc w:val="left"/>
      <w:lvlText w:val="%1"/>
      <w:numFmt w:val="decimal"/>
      <w:start w:val="13"/>
    </w:lvl>
  </w:abstractNum>
  <w:abstractNum w:abstractNumId="48">
    <w:nsid w:val="47398C89"/>
    <w:multiLevelType w:val="hybridMultilevel"/>
    <w:lvl w:ilvl="0">
      <w:lvlJc w:val="left"/>
      <w:lvlText w:val="%1"/>
      <w:numFmt w:val="decimal"/>
      <w:start w:val="14"/>
    </w:lvl>
  </w:abstractNum>
  <w:abstractNum w:abstractNumId="49">
    <w:nsid w:val="354FE9F9"/>
    <w:multiLevelType w:val="hybridMultilevel"/>
    <w:lvl w:ilvl="0">
      <w:lvlJc w:val="left"/>
      <w:lvlText w:val="1"/>
      <w:numFmt w:val="bullet"/>
      <w:start w:val="1"/>
    </w:lvl>
  </w:abstractNum>
  <w:abstractNum w:abstractNumId="50">
    <w:nsid w:val="15B5AF5C"/>
    <w:multiLevelType w:val="hybridMultilevel"/>
    <w:lvl w:ilvl="0">
      <w:lvlJc w:val="left"/>
      <w:lvlText w:val="3"/>
      <w:numFmt w:val="bullet"/>
      <w:start w:val="1"/>
    </w:lvl>
  </w:abstractNum>
  <w:abstractNum w:abstractNumId="51">
    <w:nsid w:val="741226BB"/>
    <w:multiLevelType w:val="hybridMultilevel"/>
    <w:lvl w:ilvl="0">
      <w:lvlJc w:val="left"/>
      <w:lvlText w:val="4"/>
      <w:numFmt w:val="bullet"/>
      <w:start w:val="1"/>
    </w:lvl>
  </w:abstractNum>
  <w:abstractNum w:abstractNumId="52">
    <w:nsid w:val="D34B6A8"/>
    <w:multiLevelType w:val="hybridMultilevel"/>
    <w:lvl w:ilvl="0">
      <w:lvlJc w:val="left"/>
      <w:lvlText w:val="5"/>
      <w:numFmt w:val="bullet"/>
      <w:start w:val="1"/>
    </w:lvl>
  </w:abstractNum>
  <w:abstractNum w:abstractNumId="53">
    <w:nsid w:val="10233C99"/>
    <w:multiLevelType w:val="hybridMultilevel"/>
    <w:lvl w:ilvl="0">
      <w:lvlJc w:val="left"/>
      <w:lvlText w:val="6"/>
      <w:numFmt w:val="bullet"/>
      <w:start w:val="1"/>
    </w:lvl>
  </w:abstractNum>
  <w:abstractNum w:abstractNumId="54">
    <w:nsid w:val="3F6AB60F"/>
    <w:multiLevelType w:val="hybridMultilevel"/>
    <w:lvl w:ilvl="0">
      <w:lvlJc w:val="left"/>
      <w:lvlText w:val="%1"/>
      <w:numFmt w:val="decimal"/>
      <w:start w:val="11"/>
    </w:lvl>
  </w:abstractNum>
  <w:abstractNum w:abstractNumId="55">
    <w:nsid w:val="61574095"/>
    <w:multiLevelType w:val="hybridMultilevel"/>
    <w:lvl w:ilvl="0">
      <w:lvlJc w:val="left"/>
      <w:lvlText w:val="%1"/>
      <w:numFmt w:val="decimal"/>
      <w:start w:val="13"/>
    </w:lvl>
  </w:abstractNum>
  <w:abstractNum w:abstractNumId="56">
    <w:nsid w:val="7E0C57B1"/>
    <w:multiLevelType w:val="hybridMultilevel"/>
    <w:lvl w:ilvl="0">
      <w:lvlJc w:val="left"/>
      <w:lvlText w:val="%1"/>
      <w:numFmt w:val="decimal"/>
      <w:start w:val="14"/>
    </w:lvl>
  </w:abstractNum>
  <w:abstractNum w:abstractNumId="57">
    <w:nsid w:val="77AE35EB"/>
    <w:multiLevelType w:val="hybridMultilevel"/>
    <w:lvl w:ilvl="0">
      <w:lvlJc w:val="left"/>
      <w:lvlText w:val="1"/>
      <w:numFmt w:val="bullet"/>
      <w:start w:val="1"/>
    </w:lvl>
  </w:abstractNum>
  <w:abstractNum w:abstractNumId="58">
    <w:nsid w:val="579BE4F1"/>
    <w:multiLevelType w:val="hybridMultilevel"/>
    <w:lvl w:ilvl="0">
      <w:lvlJc w:val="left"/>
      <w:lvlText w:val="3"/>
      <w:numFmt w:val="bullet"/>
      <w:start w:val="1"/>
    </w:lvl>
  </w:abstractNum>
  <w:abstractNum w:abstractNumId="59">
    <w:nsid w:val="310C50B3"/>
    <w:multiLevelType w:val="hybridMultilevel"/>
    <w:lvl w:ilvl="0">
      <w:lvlJc w:val="left"/>
      <w:lvlText w:val="4"/>
      <w:numFmt w:val="bullet"/>
      <w:start w:val="1"/>
    </w:lvl>
  </w:abstractNum>
  <w:abstractNum w:abstractNumId="60">
    <w:nsid w:val="5FF87E05"/>
    <w:multiLevelType w:val="hybridMultilevel"/>
    <w:lvl w:ilvl="0">
      <w:lvlJc w:val="left"/>
      <w:lvlText w:val="5"/>
      <w:numFmt w:val="bullet"/>
      <w:start w:val="1"/>
    </w:lvl>
  </w:abstractNum>
  <w:abstractNum w:abstractNumId="61">
    <w:nsid w:val="2F305DEF"/>
    <w:multiLevelType w:val="hybridMultilevel"/>
    <w:lvl w:ilvl="0">
      <w:lvlJc w:val="left"/>
      <w:lvlText w:val="%1"/>
      <w:numFmt w:val="decimal"/>
      <w:start w:val="11"/>
    </w:lvl>
  </w:abstractNum>
  <w:abstractNum w:abstractNumId="62">
    <w:nsid w:val="25A70BF7"/>
    <w:multiLevelType w:val="hybridMultilevel"/>
    <w:lvl w:ilvl="0">
      <w:lvlJc w:val="left"/>
      <w:lvlText w:val="%1"/>
      <w:numFmt w:val="decimal"/>
      <w:start w:val="13"/>
    </w:lvl>
  </w:abstractNum>
  <w:abstractNum w:abstractNumId="63">
    <w:nsid w:val="1DBABF00"/>
    <w:multiLevelType w:val="hybridMultilevel"/>
    <w:lvl w:ilvl="0">
      <w:lvlJc w:val="left"/>
      <w:lvlText w:val="%1"/>
      <w:numFmt w:val="decimal"/>
      <w:start w:val="14"/>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1"/>
    </w:lvl>
    <w:lvl w:ilvl="1">
      <w:lvlJc w:val="left"/>
      <w:lvlText w:val="(%2)"/>
      <w:numFmt w:val="lowerLetter"/>
      <w:start w:val="2"/>
    </w:lvl>
  </w:abstractNum>
  <w:abstractNum w:abstractNumId="66">
    <w:nsid w:val="1381823A"/>
    <w:multiLevelType w:val="hybridMultilevel"/>
    <w:lvl w:ilvl="0">
      <w:lvlJc w:val="left"/>
      <w:lvlText w:val="(%1)"/>
      <w:numFmt w:val="lowerLetter"/>
      <w:start w:val="3"/>
    </w:lvl>
    <w:lvl w:ilvl="1">
      <w:lvlJc w:val="left"/>
      <w:lvlText w:val="(%2)"/>
      <w:numFmt w:val="lowerLetter"/>
      <w:start w:val="5"/>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2019-12-11T13:11:25Z</dcterms:created>
  <dcterms:modified xsi:type="dcterms:W3CDTF">2019-12-11T13:11:25Z</dcterms:modified>
</cp:coreProperties>
</file>