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6" w:lineRule="exact"/>
        <w:rPr>
          <w:sz w:val="24"/>
          <w:szCs w:val="24"/>
          <w:color w:val="auto"/>
        </w:rPr>
      </w:pPr>
    </w:p>
    <w:p>
      <w:pPr>
        <w:ind w:left="600" w:right="340" w:hanging="592"/>
        <w:spacing w:after="0" w:line="256" w:lineRule="auto"/>
        <w:tabs>
          <w:tab w:leader="none" w:pos="6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00" w:right="320" w:hanging="592"/>
        <w:spacing w:after="0" w:line="256" w:lineRule="auto"/>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0" w:gutter="0" w:footer="0" w:header="0"/>
        </w:sectPr>
      </w:pPr>
    </w:p>
    <w:p>
      <w:pPr>
        <w:spacing w:after="0" w:line="205"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20"/>
          </w:cols>
          <w:pgMar w:left="240" w:top="585" w:right="21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jc w:val="center"/>
        <w:spacing w:after="0" w:line="207" w:lineRule="exact"/>
        <w:tabs>
          <w:tab w:leader="none" w:pos="160" w:val="left"/>
          <w:tab w:leader="none" w:pos="200" w:val="left"/>
          <w:tab w:leader="none" w:pos="1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93" w:lineRule="exact"/>
        <w:rPr>
          <w:sz w:val="24"/>
          <w:szCs w:val="24"/>
          <w:color w:val="auto"/>
        </w:rPr>
      </w:pPr>
    </w:p>
    <w:p>
      <w:pPr>
        <w:jc w:val="center"/>
        <w:spacing w:after="0" w:line="207" w:lineRule="exact"/>
        <w:tabs>
          <w:tab w:leader="none" w:pos="160" w:val="left"/>
          <w:tab w:leader="none" w:pos="200" w:val="left"/>
          <w:tab w:leader="none" w:pos="1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9"/>
              </w:rPr>
              <w:t>OUTSTANDING AT AUGUST 8, 2005</w:t>
            </w:r>
          </w:p>
        </w:tc>
        <w:tc>
          <w:tcPr>
            <w:tcW w:w="20" w:type="dxa"/>
            <w:vAlign w:val="bottom"/>
          </w:tcPr>
          <w:p>
            <w:pPr>
              <w:spacing w:after="0"/>
              <w:rPr>
                <w:sz w:val="14"/>
                <w:szCs w:val="14"/>
                <w:color w:val="auto"/>
              </w:rPr>
            </w:pP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$.05 per share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right"/>
              <w:ind w:right="2319"/>
              <w:spacing w:after="0"/>
              <w:rPr>
                <w:sz w:val="20"/>
                <w:szCs w:val="20"/>
                <w:color w:val="auto"/>
              </w:rPr>
            </w:pPr>
            <w:r>
              <w:rPr>
                <w:rFonts w:ascii="Arial" w:cs="Arial" w:eastAsia="Arial" w:hAnsi="Arial"/>
                <w:sz w:val="18"/>
                <w:szCs w:val="18"/>
                <w:color w:val="auto"/>
              </w:rPr>
              <w:t>10,257,341</w:t>
            </w:r>
          </w:p>
        </w:tc>
        <w:tc>
          <w:tcPr>
            <w:tcW w:w="20" w:type="dxa"/>
            <w:vAlign w:val="bottom"/>
          </w:tcPr>
          <w:p>
            <w:pPr>
              <w:spacing w:after="0"/>
              <w:rPr>
                <w:sz w:val="19"/>
                <w:szCs w:val="19"/>
                <w:color w:val="auto"/>
              </w:rPr>
            </w:pPr>
          </w:p>
        </w:tc>
      </w:tr>
      <w:tr>
        <w:trPr>
          <w:trHeight w:val="236"/>
        </w:trPr>
        <w:tc>
          <w:tcPr>
            <w:tcW w:w="5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88"/>
        </w:trPr>
        <w:tc>
          <w:tcPr>
            <w:tcW w:w="56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5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660" w:type="dxa"/>
            <w:vAlign w:val="bottom"/>
          </w:tcPr>
          <w:p>
            <w:pPr>
              <w:spacing w:after="0"/>
              <w:rPr>
                <w:sz w:val="18"/>
                <w:szCs w:val="18"/>
                <w:color w:val="auto"/>
              </w:rPr>
            </w:pPr>
          </w:p>
        </w:tc>
        <w:tc>
          <w:tcPr>
            <w:tcW w:w="24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7360" w:type="dxa"/>
            <w:vAlign w:val="bottom"/>
            <w:gridSpan w:val="6"/>
          </w:tcPr>
          <w:p>
            <w:pPr>
              <w:spacing w:after="0"/>
              <w:rPr>
                <w:sz w:val="18"/>
                <w:szCs w:val="18"/>
                <w:color w:val="auto"/>
              </w:rPr>
            </w:pPr>
          </w:p>
        </w:tc>
        <w:tc>
          <w:tcPr>
            <w:tcW w:w="100" w:type="dxa"/>
            <w:vAlign w:val="bottom"/>
          </w:tcPr>
          <w:p>
            <w:pPr>
              <w:spacing w:after="0"/>
              <w:rPr>
                <w:sz w:val="18"/>
                <w:szCs w:val="18"/>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780" w:type="dxa"/>
            <w:vAlign w:val="bottom"/>
            <w:gridSpan w:val="2"/>
          </w:tcPr>
          <w:p>
            <w:pPr>
              <w:spacing w:after="0"/>
              <w:rPr>
                <w:sz w:val="24"/>
                <w:szCs w:val="24"/>
                <w:color w:val="auto"/>
              </w:rPr>
            </w:pPr>
          </w:p>
        </w:tc>
        <w:tc>
          <w:tcPr>
            <w:tcW w:w="156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820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76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Balance Sheets – June 30, 2005 and April 3, 2005</w:t>
              </w:r>
            </w:hyperlink>
          </w:p>
        </w:tc>
        <w:tc>
          <w:tcPr>
            <w:tcW w:w="100" w:type="dxa"/>
            <w:vAlign w:val="bottom"/>
          </w:tcPr>
          <w:p>
            <w:pPr>
              <w:jc w:val="right"/>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Statements of Income – Three Months Ended June 30, 2005 and 2004</w:t>
              </w:r>
            </w:hyperlink>
          </w:p>
        </w:tc>
        <w:tc>
          <w:tcPr>
            <w:tcW w:w="388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76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Statements of Cash Flows – Three Months Ended June 30, 2005 and 2004</w:t>
              </w:r>
            </w:hyperlink>
          </w:p>
        </w:tc>
        <w:tc>
          <w:tcPr>
            <w:tcW w:w="100" w:type="dxa"/>
            <w:vAlign w:val="bottom"/>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5</w:t>
              </w:r>
            </w:hyperlink>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80" w:type="dxa"/>
            <w:vAlign w:val="bottom"/>
            <w:tcBorders>
              <w:top w:val="single" w:sz="8" w:color="0000EE"/>
            </w:tcBorders>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Financial Statements</w:t>
              </w:r>
            </w:hyperlink>
          </w:p>
        </w:tc>
        <w:tc>
          <w:tcPr>
            <w:tcW w:w="358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6</w:t>
              </w:r>
            </w:hyperlink>
          </w:p>
        </w:tc>
      </w:tr>
      <w:tr>
        <w:trPr>
          <w:trHeight w:val="20"/>
        </w:trPr>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2.</w:t>
              </w:r>
            </w:hyperlink>
          </w:p>
        </w:tc>
        <w:tc>
          <w:tcPr>
            <w:tcW w:w="780" w:type="dxa"/>
            <w:vAlign w:val="bottom"/>
            <w:gridSpan w:val="2"/>
          </w:tcPr>
          <w:p>
            <w:pPr>
              <w:spacing w:after="0"/>
              <w:rPr>
                <w:sz w:val="24"/>
                <w:szCs w:val="24"/>
                <w:color w:val="auto"/>
              </w:rPr>
            </w:pPr>
          </w:p>
        </w:tc>
        <w:tc>
          <w:tcPr>
            <w:tcW w:w="976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Management’s Discussion and Analysis of Financial Condition and Results of Operations</w:t>
              </w:r>
            </w:hyperlink>
          </w:p>
        </w:tc>
        <w:tc>
          <w:tcPr>
            <w:tcW w:w="100" w:type="dxa"/>
            <w:vAlign w:val="bottom"/>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8</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40"/>
          </w:cols>
          <w:pgMar w:left="240" w:top="585" w:right="21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2"/>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Item 3.</w:t>
              </w:r>
            </w:hyperlink>
          </w:p>
        </w:tc>
        <w:tc>
          <w:tcPr>
            <w:tcW w:w="780" w:type="dxa"/>
            <w:vAlign w:val="bottom"/>
            <w:gridSpan w:val="4"/>
          </w:tcPr>
          <w:p>
            <w:pPr>
              <w:spacing w:after="0"/>
              <w:rPr>
                <w:sz w:val="17"/>
                <w:szCs w:val="17"/>
                <w:color w:val="auto"/>
              </w:rPr>
            </w:pPr>
          </w:p>
        </w:tc>
        <w:tc>
          <w:tcPr>
            <w:tcW w:w="4320" w:type="dxa"/>
            <w:vAlign w:val="bottom"/>
            <w:gridSpan w:val="5"/>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Quantitative and Qualitative Disclosures about Market Risk</w:t>
              </w:r>
            </w:hyperlink>
          </w:p>
        </w:tc>
        <w:tc>
          <w:tcPr>
            <w:tcW w:w="2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13</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Item 4.</w:t>
              </w:r>
            </w:hyperlink>
          </w:p>
        </w:tc>
        <w:tc>
          <w:tcPr>
            <w:tcW w:w="780" w:type="dxa"/>
            <w:vAlign w:val="bottom"/>
            <w:gridSpan w:val="4"/>
          </w:tcPr>
          <w:p>
            <w:pPr>
              <w:spacing w:after="0"/>
              <w:rPr>
                <w:sz w:val="24"/>
                <w:szCs w:val="24"/>
                <w:color w:val="auto"/>
              </w:rPr>
            </w:pPr>
          </w:p>
        </w:tc>
        <w:tc>
          <w:tcPr>
            <w:tcW w:w="1780" w:type="dxa"/>
            <w:vAlign w:val="bottom"/>
            <w:gridSpan w:val="3"/>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Controls and Procedures</w:t>
              </w:r>
            </w:hyperlink>
          </w:p>
        </w:tc>
        <w:tc>
          <w:tcPr>
            <w:tcW w:w="2540" w:type="dxa"/>
            <w:vAlign w:val="bottom"/>
            <w:gridSpan w:val="2"/>
          </w:tcPr>
          <w:p>
            <w:pPr>
              <w:spacing w:after="0"/>
              <w:rPr>
                <w:sz w:val="24"/>
                <w:szCs w:val="24"/>
                <w:color w:val="auto"/>
              </w:rPr>
            </w:pPr>
          </w:p>
        </w:tc>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13</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300" w:type="dxa"/>
            <w:vAlign w:val="bottom"/>
            <w:gridSpan w:val="6"/>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PART II.</w:t>
              </w:r>
            </w:hyperlink>
          </w:p>
        </w:tc>
        <w:tc>
          <w:tcPr>
            <w:tcW w:w="6320" w:type="dxa"/>
            <w:vAlign w:val="bottom"/>
            <w:gridSpan w:val="6"/>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OTHER INFORMATION</w:t>
              </w:r>
            </w:hyperlink>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Item 1.</w:t>
              </w:r>
            </w:hyperlink>
          </w:p>
        </w:tc>
        <w:tc>
          <w:tcPr>
            <w:tcW w:w="180" w:type="dxa"/>
            <w:vAlign w:val="bottom"/>
            <w:tcBorders>
              <w:top w:val="single" w:sz="8" w:color="0000EE"/>
            </w:tcBorders>
          </w:tcPr>
          <w:p>
            <w:pPr>
              <w:spacing w:after="0"/>
              <w:rPr>
                <w:sz w:val="24"/>
                <w:szCs w:val="24"/>
                <w:color w:val="auto"/>
              </w:rPr>
            </w:pPr>
          </w:p>
        </w:tc>
        <w:tc>
          <w:tcPr>
            <w:tcW w:w="600" w:type="dxa"/>
            <w:vAlign w:val="bottom"/>
            <w:gridSpan w:val="3"/>
          </w:tcPr>
          <w:p>
            <w:pPr>
              <w:spacing w:after="0"/>
              <w:rPr>
                <w:sz w:val="24"/>
                <w:szCs w:val="24"/>
                <w:color w:val="auto"/>
              </w:rPr>
            </w:pPr>
          </w:p>
        </w:tc>
        <w:tc>
          <w:tcPr>
            <w:tcW w:w="1340" w:type="dxa"/>
            <w:vAlign w:val="bottom"/>
            <w:tcBorders>
              <w:top w:val="single" w:sz="8" w:color="0000EE"/>
            </w:tcBorders>
            <w:gridSpan w:val="2"/>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43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14</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Item 6.</w:t>
              </w:r>
            </w:hyperlink>
          </w:p>
        </w:tc>
        <w:tc>
          <w:tcPr>
            <w:tcW w:w="780" w:type="dxa"/>
            <w:vAlign w:val="bottom"/>
            <w:gridSpan w:val="4"/>
          </w:tcPr>
          <w:p>
            <w:pPr>
              <w:spacing w:after="0"/>
              <w:rPr>
                <w:sz w:val="24"/>
                <w:szCs w:val="24"/>
                <w:color w:val="auto"/>
              </w:rPr>
            </w:pPr>
          </w:p>
        </w:tc>
        <w:tc>
          <w:tcPr>
            <w:tcW w:w="1340" w:type="dxa"/>
            <w:vAlign w:val="bottom"/>
            <w:gridSpan w:val="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Exhibits</w:t>
              </w:r>
            </w:hyperlink>
          </w:p>
        </w:tc>
        <w:tc>
          <w:tcPr>
            <w:tcW w:w="498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14</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gridSpan w:val="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15</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gridSpan w:val="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16</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320" w:type="dxa"/>
            <w:vAlign w:val="bottom"/>
            <w:gridSpan w:val="6"/>
          </w:tcPr>
          <w:p>
            <w:pPr>
              <w:ind w:left="436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6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00" w:type="dxa"/>
            <w:vAlign w:val="bottom"/>
            <w:gridSpan w:val="2"/>
          </w:tcPr>
          <w:p>
            <w:pPr>
              <w:ind w:left="840"/>
              <w:spacing w:after="0"/>
              <w:rPr>
                <w:sz w:val="20"/>
                <w:szCs w:val="20"/>
                <w:color w:val="auto"/>
              </w:rPr>
            </w:pPr>
            <w:r>
              <w:rPr>
                <w:rFonts w:ascii="Arial" w:cs="Arial" w:eastAsia="Arial" w:hAnsi="Arial"/>
                <w:sz w:val="18"/>
                <w:szCs w:val="18"/>
                <w:b w:val="1"/>
                <w:bCs w:val="1"/>
                <w:color w:val="auto"/>
              </w:rPr>
              <w:t>PART I. FINANCIAL INFORMATION</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12"/>
          </w:tcPr>
          <w:p>
            <w:pPr>
              <w:spacing w:after="0"/>
              <w:rPr>
                <w:sz w:val="20"/>
                <w:szCs w:val="20"/>
                <w:color w:val="auto"/>
              </w:rPr>
            </w:pPr>
            <w:r>
              <w:rPr>
                <w:rFonts w:ascii="Arial" w:cs="Arial" w:eastAsia="Arial" w:hAnsi="Arial"/>
                <w:sz w:val="18"/>
                <w:szCs w:val="18"/>
                <w:color w:val="auto"/>
              </w:rPr>
              <w:t>ITEM 1. FINANCIAL STATEMENTS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20" w:type="dxa"/>
            <w:vAlign w:val="bottom"/>
            <w:gridSpan w:val="12"/>
          </w:tcPr>
          <w:p>
            <w:pPr>
              <w:spacing w:after="0"/>
              <w:rPr>
                <w:sz w:val="20"/>
                <w:szCs w:val="20"/>
                <w:color w:val="auto"/>
              </w:rPr>
            </w:pPr>
            <w:r>
              <w:rPr>
                <w:rFonts w:ascii="Arial" w:cs="Arial" w:eastAsia="Arial" w:hAnsi="Arial"/>
                <w:sz w:val="18"/>
                <w:szCs w:val="18"/>
                <w:b w:val="1"/>
                <w:bCs w:val="1"/>
                <w:color w:val="auto"/>
              </w:rPr>
              <w:t>HAWKINS, INC.</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20" w:type="dxa"/>
            <w:vAlign w:val="bottom"/>
            <w:gridSpan w:val="12"/>
          </w:tcPr>
          <w:p>
            <w:pPr>
              <w:spacing w:after="0"/>
              <w:rPr>
                <w:sz w:val="20"/>
                <w:szCs w:val="20"/>
                <w:color w:val="auto"/>
              </w:rPr>
            </w:pPr>
            <w:r>
              <w:rPr>
                <w:rFonts w:ascii="Arial" w:cs="Arial" w:eastAsia="Arial" w:hAnsi="Arial"/>
                <w:sz w:val="18"/>
                <w:szCs w:val="18"/>
                <w:b w:val="1"/>
                <w:bCs w:val="1"/>
                <w:color w:val="auto"/>
              </w:rPr>
              <w:t>CONDENSED BALANCE SHEETS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7"/>
              </w:rPr>
              <w:t>APRIL 3, 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rPr>
              <w:t>(DERIVED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JUNE 30, 2005</w:t>
            </w:r>
          </w:p>
        </w:tc>
        <w:tc>
          <w:tcPr>
            <w:tcW w:w="180" w:type="dxa"/>
            <w:vAlign w:val="bottom"/>
          </w:tcPr>
          <w:p>
            <w:pPr>
              <w:spacing w:after="0"/>
              <w:rPr>
                <w:sz w:val="12"/>
                <w:szCs w:val="12"/>
                <w:color w:val="auto"/>
              </w:rPr>
            </w:pPr>
          </w:p>
        </w:tc>
        <w:tc>
          <w:tcPr>
            <w:tcW w:w="16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11"/>
          </w:tcPr>
          <w:p>
            <w:pPr>
              <w:ind w:left="16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1,044,818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4,564,790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Investments available-for-sale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7,182,790</w:t>
            </w:r>
          </w:p>
        </w:tc>
        <w:tc>
          <w:tcPr>
            <w:tcW w:w="1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6,672,521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11"/>
          </w:tcPr>
          <w:p>
            <w:pPr>
              <w:ind w:left="160"/>
              <w:spacing w:after="0"/>
              <w:rPr>
                <w:sz w:val="20"/>
                <w:szCs w:val="20"/>
                <w:color w:val="auto"/>
              </w:rPr>
            </w:pPr>
            <w:r>
              <w:rPr>
                <w:rFonts w:ascii="Arial" w:cs="Arial" w:eastAsia="Arial" w:hAnsi="Arial"/>
                <w:sz w:val="18"/>
                <w:szCs w:val="18"/>
                <w:color w:val="auto"/>
              </w:rPr>
              <w:t>Trade receivables -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15,999,970</w:t>
            </w: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13,673,953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13,371,823</w:t>
            </w:r>
          </w:p>
        </w:tc>
        <w:tc>
          <w:tcPr>
            <w:tcW w:w="1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8,587,610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11"/>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1,878,233</w:t>
            </w: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2,223,798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11"/>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39,477,634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35,722,672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31,426,910</w:t>
            </w:r>
          </w:p>
        </w:tc>
        <w:tc>
          <w:tcPr>
            <w:tcW w:w="1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30,973,613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5"/>
              </w:rPr>
              <w:t>INTANGIBLE ASSETS - less accumulated amortization of $1,939,228 and $1,870,719, respectively</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2,423,821</w:t>
            </w:r>
          </w:p>
        </w:tc>
        <w:tc>
          <w:tcPr>
            <w:tcW w:w="1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2,492,330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15,851,718</w:t>
            </w:r>
          </w:p>
        </w:tc>
        <w:tc>
          <w:tcPr>
            <w:tcW w:w="1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16,085,074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0"/>
              </w:rPr>
              <w:t>OTHER ASSETS</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2,343,147</w:t>
            </w:r>
          </w:p>
        </w:tc>
        <w:tc>
          <w:tcPr>
            <w:tcW w:w="1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2,384,429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91,523,230</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87,658,118</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gridSpan w:val="11"/>
            <w:shd w:val="clear" w:color="auto" w:fill="CCEEFF"/>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11"/>
          </w:tcPr>
          <w:p>
            <w:pPr>
              <w:ind w:left="160"/>
              <w:spacing w:after="0"/>
              <w:rPr>
                <w:sz w:val="20"/>
                <w:szCs w:val="20"/>
                <w:color w:val="auto"/>
              </w:rPr>
            </w:pPr>
            <w:r>
              <w:rPr>
                <w:rFonts w:ascii="Arial" w:cs="Arial" w:eastAsia="Arial" w:hAnsi="Arial"/>
                <w:sz w:val="18"/>
                <w:szCs w:val="18"/>
                <w:color w:val="auto"/>
              </w:rPr>
              <w:t>Accounts payable – trade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9,147,537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5,946,189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1,846,321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11"/>
          </w:tcPr>
          <w:p>
            <w:pPr>
              <w:ind w:left="160"/>
              <w:spacing w:after="0"/>
              <w:rPr>
                <w:sz w:val="20"/>
                <w:szCs w:val="20"/>
                <w:color w:val="auto"/>
              </w:rPr>
            </w:pPr>
            <w:r>
              <w:rPr>
                <w:rFonts w:ascii="Arial" w:cs="Arial" w:eastAsia="Arial" w:hAnsi="Arial"/>
                <w:sz w:val="18"/>
                <w:szCs w:val="18"/>
                <w:color w:val="auto"/>
              </w:rPr>
              <w:t>Accrued payroll and employee benefits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2,645,665</w:t>
            </w: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3,954,968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3,451,840</w:t>
            </w:r>
          </w:p>
        </w:tc>
        <w:tc>
          <w:tcPr>
            <w:tcW w:w="1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2,510,506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100" w:type="dxa"/>
            <w:vAlign w:val="bottom"/>
            <w:gridSpan w:val="10"/>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15,245,042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14,257,984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11"/>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12,264</w:t>
            </w: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22,145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11"/>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1,177,422</w:t>
            </w: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1,178,422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11"/>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11"/>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Common stock, par value $.05 per share; 10,257,341 shares issued and outstanding</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512,867</w:t>
            </w:r>
          </w:p>
        </w:tc>
        <w:tc>
          <w:tcPr>
            <w:tcW w:w="1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512,867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11"/>
          </w:tcPr>
          <w:p>
            <w:pPr>
              <w:ind w:left="1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38,232,076</w:t>
            </w:r>
          </w:p>
        </w:tc>
        <w:tc>
          <w:tcPr>
            <w:tcW w:w="1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38,232,076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Unearned compensation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(81,103)</w:t>
            </w:r>
          </w:p>
        </w:tc>
        <w:tc>
          <w:tcPr>
            <w:tcW w:w="1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(198,702)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11"/>
          </w:tcPr>
          <w:p>
            <w:pPr>
              <w:ind w:left="1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(174,181)</w:t>
            </w:r>
          </w:p>
        </w:tc>
        <w:tc>
          <w:tcPr>
            <w:tcW w:w="180" w:type="dxa"/>
            <w:vAlign w:val="bottom"/>
          </w:tcPr>
          <w:p>
            <w:pPr>
              <w:spacing w:after="0"/>
              <w:rPr>
                <w:sz w:val="18"/>
                <w:szCs w:val="18"/>
                <w:color w:val="auto"/>
              </w:rPr>
            </w:pPr>
          </w:p>
        </w:tc>
        <w:tc>
          <w:tcPr>
            <w:tcW w:w="1620" w:type="dxa"/>
            <w:vAlign w:val="bottom"/>
            <w:gridSpan w:val="4"/>
          </w:tcPr>
          <w:p>
            <w:pPr>
              <w:jc w:val="right"/>
              <w:ind w:right="40"/>
              <w:spacing w:after="0"/>
              <w:rPr>
                <w:sz w:val="20"/>
                <w:szCs w:val="20"/>
                <w:color w:val="auto"/>
              </w:rPr>
            </w:pPr>
            <w:r>
              <w:rPr>
                <w:rFonts w:ascii="Arial" w:cs="Arial" w:eastAsia="Arial" w:hAnsi="Arial"/>
                <w:sz w:val="18"/>
                <w:szCs w:val="18"/>
                <w:color w:val="auto"/>
              </w:rPr>
              <w:t>(196,031)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36,598,843</w:t>
            </w:r>
          </w:p>
        </w:tc>
        <w:tc>
          <w:tcPr>
            <w:tcW w:w="1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33,849,357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7100" w:type="dxa"/>
            <w:vAlign w:val="bottom"/>
            <w:tcBorders>
              <w:bottom w:val="single" w:sz="8" w:color="CCEEFF"/>
            </w:tcBorders>
            <w:gridSpan w:val="10"/>
          </w:tcPr>
          <w:p>
            <w:pPr>
              <w:ind w:left="2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75,088,502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72,199,567</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left w:val="single" w:sz="8" w:color="CCEEFF"/>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91,523,230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87,658,118</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-7635875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-7635875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11440"/>
          </w:cols>
          <w:pgMar w:left="240" w:top="108" w:right="219" w:bottom="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40"/>
          </w:cols>
          <w:pgMar w:left="240" w:top="108" w:right="219" w:bottom="0" w:gutter="0" w:footer="0" w:header="0"/>
          <w:type w:val="continuous"/>
        </w:sectPr>
      </w:pPr>
    </w:p>
    <w:bookmarkStart w:id="2" w:name="page3"/>
    <w:bookmarkEnd w:id="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9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35,854,527</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29,955,818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25,968,869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21,370,342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9,885,658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8,585,476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5,898,396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3,987,262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308,224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4,295,486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4,576,804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1,546,000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2,749,486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3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10,216,688</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3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10,243,905</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3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0.27</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980" w:type="dxa"/>
            <w:vAlign w:val="bottom"/>
            <w:gridSpan w:val="2"/>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320" w:type="dxa"/>
            <w:vAlign w:val="bottom"/>
          </w:tcPr>
          <w:p>
            <w:pPr>
              <w:jc w:val="right"/>
              <w:ind w:right="245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35"/>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HAWKINS, INC.</w:t>
            </w: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9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2,749,486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2,929,304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Reconciliation to cash flows: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838,106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785,622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compensation expense</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117,599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Loss (gain) from property disposals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20,320</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accounts (using) providing cash:</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520"/>
              <w:spacing w:after="0"/>
              <w:rPr>
                <w:sz w:val="20"/>
                <w:szCs w:val="20"/>
                <w:color w:val="auto"/>
              </w:rPr>
            </w:pPr>
            <w:r>
              <w:rPr>
                <w:rFonts w:ascii="Arial" w:cs="Arial" w:eastAsia="Arial" w:hAnsi="Arial"/>
                <w:sz w:val="18"/>
                <w:szCs w:val="18"/>
                <w:color w:val="auto"/>
              </w:rPr>
              <w:t>Trade receivables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(2,326,017)</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(640,892)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(4,784,213)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3,201,348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2,221,370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(377,850)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(1,643,212)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520"/>
              <w:spacing w:after="0"/>
              <w:rPr>
                <w:sz w:val="20"/>
                <w:szCs w:val="20"/>
                <w:color w:val="auto"/>
              </w:rPr>
            </w:pPr>
            <w:r>
              <w:rPr>
                <w:rFonts w:ascii="Arial" w:cs="Arial" w:eastAsia="Arial" w:hAnsi="Arial"/>
                <w:sz w:val="18"/>
                <w:szCs w:val="18"/>
                <w:color w:val="auto"/>
              </w:rPr>
              <w:t>Other</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348,730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1,494,703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Net cash (used in) provided by operating activities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(212,491)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4,865,188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(1,245,917)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Purchases of investments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(1,809,425)</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(1,421,029)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and maturities of investments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1,553,362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Proceeds from property disposals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2,702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received on notes receivable</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38,118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(1,461,160)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Cash dividends paid</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(1,846,321)</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(1,839,004)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(1,846,321)</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(1,839,004)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-5210810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-5210810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580" w:right="2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w w:val="98"/>
              </w:rPr>
              <w:t>NET (DECREASE) INCREASE IN CASH AND CASH EQUIVALENTS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(3,519,972)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2,019,393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4,564,790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1,558,969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1,044,818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3,578,362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8"/>
              </w:rPr>
              <w:t>SUPPLEMENTAL DISCLOSURES OF CASH FLOW INFORMATION:</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3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263,000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27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780" w:type="dxa"/>
            <w:vAlign w:val="bottom"/>
          </w:tcPr>
          <w:p>
            <w:pPr>
              <w:jc w:val="right"/>
              <w:ind w:right="245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1" w:lineRule="exact"/>
        <w:rPr>
          <w:sz w:val="20"/>
          <w:szCs w:val="20"/>
          <w:color w:val="auto"/>
        </w:rPr>
      </w:pPr>
    </w:p>
    <w:p>
      <w:pPr>
        <w:ind w:left="660" w:right="80" w:hanging="652"/>
        <w:spacing w:after="0" w:line="255"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April 3, 2005,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89" w:lineRule="exact"/>
        <w:rPr>
          <w:rFonts w:ascii="Arial" w:cs="Arial" w:eastAsia="Arial" w:hAnsi="Arial"/>
          <w:sz w:val="18"/>
          <w:szCs w:val="18"/>
          <w:color w:val="auto"/>
        </w:rPr>
      </w:pPr>
    </w:p>
    <w:p>
      <w:pPr>
        <w:ind w:left="660" w:right="100"/>
        <w:spacing w:after="0" w:line="277" w:lineRule="auto"/>
        <w:rPr>
          <w:rFonts w:ascii="Arial" w:cs="Arial" w:eastAsia="Arial" w:hAnsi="Arial"/>
          <w:sz w:val="18"/>
          <w:szCs w:val="18"/>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April 3, 2005 filed with the Commission on July 1, 2005.</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results of operations for the period ended June 30, 2005 are not necessarily indicative of the results that may be expected for the full year.</w:t>
      </w:r>
    </w:p>
    <w:p>
      <w:pPr>
        <w:spacing w:after="0" w:line="236" w:lineRule="exact"/>
        <w:rPr>
          <w:rFonts w:ascii="Arial" w:cs="Arial" w:eastAsia="Arial" w:hAnsi="Arial"/>
          <w:sz w:val="17"/>
          <w:szCs w:val="17"/>
          <w:color w:val="auto"/>
        </w:rPr>
      </w:pPr>
    </w:p>
    <w:p>
      <w:pPr>
        <w:ind w:left="660" w:right="420" w:hanging="652"/>
        <w:spacing w:after="0" w:line="277"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1,539,000 at June 30, 2005. Inventory consists principally of finished goods.</w:t>
      </w:r>
    </w:p>
    <w:p>
      <w:pPr>
        <w:spacing w:after="0" w:line="170" w:lineRule="exact"/>
        <w:rPr>
          <w:rFonts w:ascii="Arial" w:cs="Arial" w:eastAsia="Arial" w:hAnsi="Arial"/>
          <w:sz w:val="18"/>
          <w:szCs w:val="18"/>
          <w:color w:val="auto"/>
        </w:rPr>
      </w:pPr>
    </w:p>
    <w:p>
      <w:pPr>
        <w:ind w:left="660" w:right="20" w:hanging="652"/>
        <w:spacing w:after="0" w:line="255"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2005, the Financial Accounting Standards Board (FASB) issued FASB Interpretation (FIN) No. 47, “Accounting for Conditional Asset Retirement Obligations” (FIN No. 47). This Interpretation clarifies the term conditional asset retirement obligation as used in SFAS No. 143, “Accounting for Asset Retirement Obligations,” and requires a liability to be recorded for a conditional obligation if the fair value of the obligation can be reasonably estimated. FIN No. 47 maintains the notion of a liability being recognized when a legal obligation exists, but clarifies the timing of accrual recognition. This Interpretation is effective for fiscal years ending after December 15, 2005. Adoption is not expected to have a material impact on the Company’s financial position or results of operations.</w:t>
      </w:r>
    </w:p>
    <w:p>
      <w:pPr>
        <w:spacing w:after="0" w:line="193" w:lineRule="exact"/>
        <w:rPr>
          <w:rFonts w:ascii="Arial" w:cs="Arial" w:eastAsia="Arial" w:hAnsi="Arial"/>
          <w:sz w:val="18"/>
          <w:szCs w:val="18"/>
          <w:color w:val="auto"/>
        </w:rPr>
      </w:pPr>
    </w:p>
    <w:p>
      <w:pPr>
        <w:ind w:left="660" w:right="20"/>
        <w:spacing w:after="0" w:line="271" w:lineRule="auto"/>
        <w:rPr>
          <w:rFonts w:ascii="Arial" w:cs="Arial" w:eastAsia="Arial" w:hAnsi="Arial"/>
          <w:sz w:val="18"/>
          <w:szCs w:val="18"/>
          <w:color w:val="auto"/>
        </w:rPr>
      </w:pPr>
      <w:r>
        <w:rPr>
          <w:rFonts w:ascii="Arial" w:cs="Arial" w:eastAsia="Arial" w:hAnsi="Arial"/>
          <w:sz w:val="17"/>
          <w:szCs w:val="17"/>
          <w:color w:val="auto"/>
        </w:rPr>
        <w:t>In June 2005, the FASB issued Statement of Financial Accounting Standard (SFAS) No. 154, “Accounting Changes and Error Corrections” (SFAS No. 154), a replacement of APB Opinion No. 20, “Accounting Changes,” and SFAS No. 3, “Reporting Accounting Changes.” SFAS No. 154 changes the requirements related to accounting for and reporting of a change in accounting principle. This Statement applies to all voluntary changes in accounting principles and changes required by a new accounting pronouncement, in the unusual instance that the pronouncement does not include specific transition provisions. SFAS No. 154 requires retrospective application of changes in accounting principles to prior periods’ financial statements versus the previous guidance which allowed the recording of the impact of an accounting change in the current period’s net income as a cumulative effect adjustment. SFAS No. 154 is effective for fiscal years beginning after December 15, 2005. Adoption is not expected to have a material impact on the Company’s financial position or results of operations.</w:t>
      </w:r>
    </w:p>
    <w:p>
      <w:pPr>
        <w:spacing w:after="0" w:line="178" w:lineRule="exact"/>
        <w:rPr>
          <w:rFonts w:ascii="Arial" w:cs="Arial" w:eastAsia="Arial" w:hAnsi="Arial"/>
          <w:sz w:val="18"/>
          <w:szCs w:val="18"/>
          <w:color w:val="auto"/>
        </w:rPr>
      </w:pPr>
    </w:p>
    <w:p>
      <w:pPr>
        <w:ind w:left="660" w:right="60" w:hanging="652"/>
        <w:spacing w:after="0" w:line="255"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the fourth quarter of fiscal 2004, the Company paid $3.0 million to resolve a personal injury lawsuit encaptioned </w:t>
      </w:r>
      <w:r>
        <w:rPr>
          <w:rFonts w:ascii="Arial" w:cs="Arial" w:eastAsia="Arial" w:hAnsi="Arial"/>
          <w:sz w:val="18"/>
          <w:szCs w:val="18"/>
          <w:i w:val="1"/>
          <w:iCs w:val="1"/>
          <w:color w:val="auto"/>
        </w:rPr>
        <w:t>Chavarria et al v. Hawkins, Inc.,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Panorama Compounding Pharmacy, and Valley Drug and Compounding, et al </w:t>
      </w:r>
      <w:r>
        <w:rPr>
          <w:rFonts w:ascii="Arial" w:cs="Arial" w:eastAsia="Arial" w:hAnsi="Arial"/>
          <w:sz w:val="18"/>
          <w:szCs w:val="18"/>
          <w:color w:val="auto"/>
        </w:rPr>
        <w:t>that arose from the alleged mislabeling of certain inventory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purchased in connection with its acquisition of St. Mary’s Chemicals, Inc. (d/b/a Universal Chemicals) in May 2000. Pursuant to the terms of the settlement, the Company denied all liability and reserved its right to pursue indemnification and contribution from third parties. In July 2004, the Company filed suit in Hennepin County, Minnesota against the former principals of Universal Chemicals, seeking indemnification for the costs the Company incurred in defending and resolving the prior litigation.</w:t>
      </w:r>
    </w:p>
    <w:p>
      <w:pPr>
        <w:spacing w:after="0" w:line="193" w:lineRule="exact"/>
        <w:rPr>
          <w:rFonts w:ascii="Arial" w:cs="Arial" w:eastAsia="Arial" w:hAnsi="Arial"/>
          <w:sz w:val="18"/>
          <w:szCs w:val="18"/>
          <w:color w:val="auto"/>
        </w:rPr>
      </w:pPr>
    </w:p>
    <w:p>
      <w:pPr>
        <w:ind w:left="660" w:right="100"/>
        <w:spacing w:after="0" w:line="272" w:lineRule="auto"/>
        <w:rPr>
          <w:rFonts w:ascii="Arial" w:cs="Arial" w:eastAsia="Arial" w:hAnsi="Arial"/>
          <w:sz w:val="18"/>
          <w:szCs w:val="18"/>
          <w:color w:val="auto"/>
        </w:rPr>
      </w:pPr>
      <w:r>
        <w:rPr>
          <w:rFonts w:ascii="Arial" w:cs="Arial" w:eastAsia="Arial" w:hAnsi="Arial"/>
          <w:sz w:val="17"/>
          <w:szCs w:val="17"/>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requires the defendants to surrender to the Company 75,358 shares of the Company’s common stock, which they received as consideration for the May 2000 acquisition. The agreement also terminates the non-competition provisions of the Company’s agreements with the defendants, relieving the Company of the obligation to pay $500,000 to the defendants over the next five years as consideration for these provisions. The settlement agreement calls for the parties to execute mutual releases and a stipulation of dismissal. The proceeds from this settlement are expected to be recorded in the financial statements during the 2006 fiscal year.</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The Company is involved in various legal actions arising from the normal course of business. Management is of the opinion that any judgment or settlement resulting from pending or threatened litigation would not have a material adverse effect on the financial position, results of operations or cash flows of the Company.</w:t>
      </w:r>
    </w:p>
    <w:p>
      <w:pPr>
        <w:sectPr>
          <w:pgSz w:w="11900" w:h="16838" w:orient="portrait"/>
          <w:cols w:equalWidth="0" w:num="1">
            <w:col w:w="11440"/>
          </w:cols>
          <w:pgMar w:left="240" w:top="140" w:right="219" w:bottom="15" w:gutter="0" w:footer="0" w:header="0"/>
        </w:sectPr>
      </w:pPr>
    </w:p>
    <w:bookmarkStart w:id="4" w:name="page5"/>
    <w:bookmarkEnd w:id="4"/>
    <w:p>
      <w:pPr>
        <w:ind w:left="660" w:right="100"/>
        <w:spacing w:after="0" w:line="288" w:lineRule="auto"/>
        <w:rPr>
          <w:sz w:val="20"/>
          <w:szCs w:val="20"/>
          <w:color w:val="auto"/>
        </w:rPr>
      </w:pPr>
      <w:r>
        <w:rPr>
          <w:rFonts w:ascii="Arial" w:cs="Arial" w:eastAsia="Arial" w:hAnsi="Arial"/>
          <w:sz w:val="16"/>
          <w:szCs w:val="16"/>
          <w:color w:val="auto"/>
        </w:rPr>
        <w:t>The Company leases land, and at the end of the lease term of two leases (currently 2018 if the leases are not renewed), the Company has a specified amount of time to remove the property and buildings. At the end of the specified amount of time, anything that remains on the land becomes the property of the lessor, and the lessor has the option to either maintain the property or remove the property at the Company’s expense. The Company has not been able to reasonably estimate the fair value of the asset retirement obligations, primarily due to the combination of the following factors: the leases do not expire in the near future; the Company has a history of extending the leases with the lessor and currently intends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SFAS 143, “Accounting for Asset Retirement Obligations,” the Company has not recorded an asset retirement obligation as of June 30, 2005. The Company will continue to monitor the factors surrounding the requirement to record an asset retirement obligation and will recognize the fair value of a liability in the period in which it is incurred and a reasonable estimate can be made.</w:t>
      </w:r>
    </w:p>
    <w:p>
      <w:pPr>
        <w:spacing w:after="0" w:line="169" w:lineRule="exact"/>
        <w:rPr>
          <w:sz w:val="20"/>
          <w:szCs w:val="20"/>
          <w:color w:val="auto"/>
        </w:rPr>
      </w:pPr>
    </w:p>
    <w:p>
      <w:pPr>
        <w:ind w:left="660" w:right="60" w:hanging="652"/>
        <w:spacing w:after="0" w:line="293" w:lineRule="auto"/>
        <w:tabs>
          <w:tab w:leader="none" w:pos="67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has three reportable segments: Industrial, Water Treatment and Pharmaceutical. Reportable segments are defined by product and type of customer. Each segment is responsible for the sales, marketing and development of its products and services. 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Reportable segments are defined by product and type of customer. The segments do not have separate accounting, administration, customer service or purchasing functions.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Reportable Segments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Industrial</w:t>
            </w:r>
          </w:p>
        </w:tc>
        <w:tc>
          <w:tcPr>
            <w:tcW w:w="140" w:type="dxa"/>
            <w:vAlign w:val="bottom"/>
          </w:tcPr>
          <w:p>
            <w:pPr>
              <w:spacing w:after="0"/>
              <w:rPr>
                <w:sz w:val="14"/>
                <w:szCs w:val="1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Water Treatment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Pharmaceutical</w:t>
            </w: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Sales</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19,856,322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13,475,507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2,522,698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35,854,527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4,461,877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4,650,987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772,794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Income/(loss) from operations</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1,282,370</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2,770,237</w:t>
            </w:r>
          </w:p>
        </w:tc>
        <w:tc>
          <w:tcPr>
            <w:tcW w:w="14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(65,345)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3,987,262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Three Months Ended June 30, 2004: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Sales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15,709,802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11,839,702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2,406,314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29,955,818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3,530,536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4,248,564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806,376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8,585,476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from operations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1,333,685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2,775,746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271,200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512"/>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information contained in this Quarterly Report on Form 10-Q for the period ended June 30, 2005 contains statements that we believe to be “forward-looking statements” within the meaning of the Private Securities Litigation Reform Act of 1995.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below under “Risk Factors” and other factors disclosed throughout this Quarterly Report on Form 10-Q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may affect actual results and should not consider the risk factors listed below to be a complete statement of all potential risks and uncertainties.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to specific factors which may be described in connection with any of the Company’s forward-looking statements, factors which could cause actual results to differ materially include, but are not limited to, the following items.</w:t>
      </w:r>
    </w:p>
    <w:p>
      <w:pPr>
        <w:spacing w:after="0" w:line="197" w:lineRule="exact"/>
        <w:rPr>
          <w:sz w:val="20"/>
          <w:szCs w:val="20"/>
          <w:color w:val="auto"/>
        </w:rPr>
      </w:pPr>
    </w:p>
    <w:p>
      <w:pPr>
        <w:ind w:left="1000" w:right="200" w:hanging="305"/>
        <w:spacing w:after="0" w:line="259" w:lineRule="auto"/>
        <w:tabs>
          <w:tab w:leader="none" w:pos="994" w:val="left"/>
        </w:tabs>
        <w:numPr>
          <w:ilvl w:val="0"/>
          <w:numId w:val="5"/>
        </w:numPr>
        <w:rPr>
          <w:rFonts w:ascii="Arial" w:cs="Arial" w:eastAsia="Arial" w:hAnsi="Arial"/>
          <w:sz w:val="21"/>
          <w:szCs w:val="21"/>
          <w:color w:val="auto"/>
        </w:rPr>
      </w:pPr>
      <w:r>
        <w:rPr>
          <w:rFonts w:ascii="Arial" w:cs="Arial" w:eastAsia="Arial" w:hAnsi="Arial"/>
          <w:sz w:val="17"/>
          <w:szCs w:val="17"/>
          <w:color w:val="auto"/>
        </w:rPr>
        <w:t>Reduced profit margins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excess production resulting in oversupply and lower prices.</w:t>
      </w:r>
    </w:p>
    <w:p>
      <w:pPr>
        <w:spacing w:after="0" w:line="213" w:lineRule="exact"/>
        <w:rPr>
          <w:rFonts w:ascii="Arial" w:cs="Arial" w:eastAsia="Arial" w:hAnsi="Arial"/>
          <w:sz w:val="21"/>
          <w:szCs w:val="21"/>
          <w:color w:val="auto"/>
        </w:rPr>
      </w:pPr>
    </w:p>
    <w:p>
      <w:pPr>
        <w:ind w:left="1000" w:right="360" w:hanging="305"/>
        <w:spacing w:after="0" w:line="297" w:lineRule="auto"/>
        <w:tabs>
          <w:tab w:leader="none" w:pos="994" w:val="left"/>
        </w:tabs>
        <w:numPr>
          <w:ilvl w:val="0"/>
          <w:numId w:val="5"/>
        </w:numPr>
        <w:rPr>
          <w:rFonts w:ascii="Arial" w:cs="Arial" w:eastAsia="Arial" w:hAnsi="Arial"/>
          <w:sz w:val="19"/>
          <w:szCs w:val="19"/>
          <w:color w:val="auto"/>
        </w:rPr>
      </w:pPr>
      <w:r>
        <w:rPr>
          <w:rFonts w:ascii="Arial" w:cs="Arial" w:eastAsia="Arial" w:hAnsi="Arial"/>
          <w:sz w:val="16"/>
          <w:szCs w:val="16"/>
          <w:color w:val="auto"/>
        </w:rPr>
        <w:t>Unforeseen liabilities arising from litigation, particularly liabilities that may arise from claims under environmental laws which may impose liability for the release of hazardous materials whether or not the Company had knowledge of or was responsible for such release.</w:t>
      </w:r>
    </w:p>
    <w:p>
      <w:pPr>
        <w:spacing w:after="0" w:line="177" w:lineRule="exact"/>
        <w:rPr>
          <w:rFonts w:ascii="Arial" w:cs="Arial" w:eastAsia="Arial" w:hAnsi="Arial"/>
          <w:sz w:val="19"/>
          <w:szCs w:val="19"/>
          <w:color w:val="auto"/>
        </w:rPr>
      </w:pPr>
    </w:p>
    <w:p>
      <w:pPr>
        <w:ind w:left="1000" w:right="240" w:hanging="305"/>
        <w:spacing w:after="0" w:line="232" w:lineRule="auto"/>
        <w:tabs>
          <w:tab w:leader="none" w:pos="994"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governmental and regulatory policies that affect the Company which may entail significant cost increases relating to the handling, storage, transportation, treatment or disposal of hazardous materials.</w:t>
      </w:r>
    </w:p>
    <w:p>
      <w:pPr>
        <w:spacing w:after="0" w:line="208" w:lineRule="exact"/>
        <w:rPr>
          <w:rFonts w:ascii="Arial" w:cs="Arial" w:eastAsia="Arial" w:hAnsi="Arial"/>
          <w:sz w:val="22"/>
          <w:szCs w:val="22"/>
          <w:color w:val="auto"/>
        </w:rPr>
      </w:pPr>
    </w:p>
    <w:p>
      <w:pPr>
        <w:ind w:left="980" w:hanging="285"/>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Increased competition which could affect our ability to raise prices or successfully enter certain markets.</w:t>
      </w:r>
    </w:p>
    <w:p>
      <w:pPr>
        <w:spacing w:after="0" w:line="206" w:lineRule="exact"/>
        <w:rPr>
          <w:rFonts w:ascii="Arial" w:cs="Arial" w:eastAsia="Arial" w:hAnsi="Arial"/>
          <w:sz w:val="22"/>
          <w:szCs w:val="22"/>
          <w:color w:val="auto"/>
        </w:rPr>
      </w:pPr>
    </w:p>
    <w:p>
      <w:pPr>
        <w:ind w:left="980" w:hanging="285"/>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customer demand which may significantly reduce revenues and income.</w:t>
      </w:r>
    </w:p>
    <w:p>
      <w:pPr>
        <w:spacing w:after="0" w:line="206" w:lineRule="exact"/>
        <w:rPr>
          <w:rFonts w:ascii="Arial" w:cs="Arial" w:eastAsia="Arial" w:hAnsi="Arial"/>
          <w:sz w:val="22"/>
          <w:szCs w:val="22"/>
          <w:color w:val="auto"/>
        </w:rPr>
      </w:pPr>
    </w:p>
    <w:p>
      <w:pPr>
        <w:ind w:left="980" w:hanging="285"/>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product costs or operating expenses which may reduce our operating margins.</w:t>
      </w:r>
    </w:p>
    <w:p>
      <w:pPr>
        <w:spacing w:after="0" w:line="206" w:lineRule="exact"/>
        <w:rPr>
          <w:rFonts w:ascii="Arial" w:cs="Arial" w:eastAsia="Arial" w:hAnsi="Arial"/>
          <w:sz w:val="22"/>
          <w:szCs w:val="22"/>
          <w:color w:val="auto"/>
        </w:rPr>
      </w:pPr>
    </w:p>
    <w:p>
      <w:pPr>
        <w:ind w:left="980" w:hanging="285"/>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Unforeseen problems in our ability to develop, introduce and gain market acceptance for new products.</w:t>
      </w:r>
    </w:p>
    <w:p>
      <w:pPr>
        <w:sectPr>
          <w:pgSz w:w="11900" w:h="16838" w:orient="portrait"/>
          <w:cols w:equalWidth="0" w:num="1">
            <w:col w:w="11440"/>
          </w:cols>
          <w:pgMar w:left="240" w:top="125" w:right="219" w:bottom="0" w:gutter="0" w:footer="0" w:header="0"/>
        </w:sectPr>
      </w:pPr>
    </w:p>
    <w:bookmarkStart w:id="5" w:name="page6"/>
    <w:bookmarkEnd w:id="5"/>
    <w:p>
      <w:pPr>
        <w:ind w:left="5660" w:right="2920" w:hanging="4965"/>
        <w:spacing w:after="0" w:line="474" w:lineRule="auto"/>
        <w:tabs>
          <w:tab w:leader="none" w:pos="978"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financial condition of our customers and their ability to purchase our products at comparable prices. 8</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ind w:left="1000" w:right="40" w:hanging="305"/>
        <w:spacing w:after="0" w:line="232" w:lineRule="auto"/>
        <w:tabs>
          <w:tab w:leader="none" w:pos="994" w:val="left"/>
        </w:tabs>
        <w:numPr>
          <w:ilvl w:val="0"/>
          <w:numId w:val="6"/>
        </w:numPr>
        <w:rPr>
          <w:rFonts w:ascii="Arial" w:cs="Arial" w:eastAsia="Arial" w:hAnsi="Arial"/>
          <w:sz w:val="22"/>
          <w:szCs w:val="22"/>
          <w:color w:val="auto"/>
        </w:rPr>
      </w:pPr>
      <w:r>
        <w:rPr>
          <w:rFonts w:ascii="Arial" w:cs="Arial" w:eastAsia="Arial" w:hAnsi="Arial"/>
          <w:sz w:val="18"/>
          <w:szCs w:val="18"/>
          <w:color w:val="auto"/>
        </w:rPr>
        <w:t>Significant changes in our business strategies, including acquisition, divestiture and restructuring activities which may affect our ability to focus on operating activities or increase costs.</w:t>
      </w:r>
    </w:p>
    <w:p>
      <w:pPr>
        <w:spacing w:after="0" w:line="230" w:lineRule="exact"/>
        <w:rPr>
          <w:rFonts w:ascii="Arial" w:cs="Arial" w:eastAsia="Arial" w:hAnsi="Arial"/>
          <w:sz w:val="22"/>
          <w:szCs w:val="22"/>
          <w:color w:val="auto"/>
        </w:rPr>
      </w:pPr>
    </w:p>
    <w:p>
      <w:pPr>
        <w:ind w:left="1000" w:right="320" w:hanging="305"/>
        <w:spacing w:after="0" w:line="232" w:lineRule="auto"/>
        <w:tabs>
          <w:tab w:leader="none" w:pos="994" w:val="left"/>
        </w:tabs>
        <w:numPr>
          <w:ilvl w:val="0"/>
          <w:numId w:val="6"/>
        </w:numPr>
        <w:rPr>
          <w:rFonts w:ascii="Arial" w:cs="Arial" w:eastAsia="Arial" w:hAnsi="Arial"/>
          <w:sz w:val="22"/>
          <w:szCs w:val="22"/>
          <w:color w:val="auto"/>
        </w:rPr>
      </w:pPr>
      <w:r>
        <w:rPr>
          <w:rFonts w:ascii="Arial" w:cs="Arial" w:eastAsia="Arial" w:hAnsi="Arial"/>
          <w:sz w:val="18"/>
          <w:szCs w:val="18"/>
          <w:color w:val="auto"/>
        </w:rPr>
        <w:t>General economic and political conditions, such as political instability or the rate of economic growth in our principal geographic or product markets.</w:t>
      </w:r>
    </w:p>
    <w:p>
      <w:pPr>
        <w:spacing w:after="0" w:line="230" w:lineRule="exact"/>
        <w:rPr>
          <w:rFonts w:ascii="Arial" w:cs="Arial" w:eastAsia="Arial" w:hAnsi="Arial"/>
          <w:sz w:val="22"/>
          <w:szCs w:val="22"/>
          <w:color w:val="auto"/>
        </w:rPr>
      </w:pPr>
    </w:p>
    <w:p>
      <w:pPr>
        <w:ind w:left="1000" w:right="40" w:hanging="305"/>
        <w:spacing w:after="0" w:line="232" w:lineRule="auto"/>
        <w:tabs>
          <w:tab w:leader="none" w:pos="994"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operating factors, such as our ability to make continued improvements in distribution efficiencies and inventory risks due to shifts in market demand.</w:t>
      </w:r>
    </w:p>
    <w:p>
      <w:pPr>
        <w:spacing w:after="0" w:line="230" w:lineRule="exact"/>
        <w:rPr>
          <w:rFonts w:ascii="Arial" w:cs="Arial" w:eastAsia="Arial" w:hAnsi="Arial"/>
          <w:sz w:val="22"/>
          <w:szCs w:val="22"/>
          <w:color w:val="auto"/>
        </w:rPr>
      </w:pPr>
    </w:p>
    <w:p>
      <w:pPr>
        <w:ind w:left="1000" w:right="60" w:hanging="305"/>
        <w:spacing w:after="0" w:line="263" w:lineRule="auto"/>
        <w:tabs>
          <w:tab w:leader="none" w:pos="994" w:val="left"/>
        </w:tabs>
        <w:numPr>
          <w:ilvl w:val="0"/>
          <w:numId w:val="6"/>
        </w:numPr>
        <w:rPr>
          <w:rFonts w:ascii="Arial" w:cs="Arial" w:eastAsia="Arial" w:hAnsi="Arial"/>
          <w:sz w:val="21"/>
          <w:szCs w:val="21"/>
          <w:color w:val="auto"/>
        </w:rPr>
      </w:pPr>
      <w:r>
        <w:rPr>
          <w:rFonts w:ascii="Arial" w:cs="Arial" w:eastAsia="Arial" w:hAnsi="Arial"/>
          <w:sz w:val="17"/>
          <w:szCs w:val="17"/>
          <w:color w:val="auto"/>
        </w:rPr>
        <w:t>Unforeseen or recurring operational problems or natural disasters at any of our facilities causing significant lost production and/or increased costs. Since 1963, flooding of the Mississippi River has required the Company’s terminal operations to be temporarily shifted out of its buildings four times, the most recent being in the spring of 2001. This had a negative impact on earnings in the third quarter of fiscal 2001 of approximately $200,000. No assurance can be given that flooding will not recur or that there will not be material damage or interruption to the Company’s operations in the future from flooding. In September 2001, a 1.5 million-gallon caustic soda storage tank was completed at the Red Rock facility, allowing it to serve as an additional terminal for bulk chemicals. Historically, the property on which the Red Rock facility is located has not been subject to flooding when Terminals 1 and 2, located on opposite sides of the Mississippi River in St. Paul, Minnesota, were not usable due to high water, and the facility was not affected by the most recent flooding in 2001. The Company believes the impact of future flooding, if any, will be reduced as the Red Rock facility is expected to allow the Company to continue normal shipping to customers during periods of high water levels.</w:t>
      </w:r>
    </w:p>
    <w:p>
      <w:pPr>
        <w:spacing w:after="0" w:line="211" w:lineRule="exact"/>
        <w:rPr>
          <w:rFonts w:ascii="Arial" w:cs="Arial" w:eastAsia="Arial" w:hAnsi="Arial"/>
          <w:sz w:val="21"/>
          <w:szCs w:val="21"/>
          <w:color w:val="auto"/>
        </w:rPr>
      </w:pPr>
    </w:p>
    <w:p>
      <w:pPr>
        <w:ind w:left="1000" w:right="80" w:hanging="305"/>
        <w:spacing w:after="0" w:line="232" w:lineRule="auto"/>
        <w:tabs>
          <w:tab w:leader="none" w:pos="994" w:val="left"/>
        </w:tabs>
        <w:numPr>
          <w:ilvl w:val="0"/>
          <w:numId w:val="6"/>
        </w:numPr>
        <w:rPr>
          <w:rFonts w:ascii="Arial" w:cs="Arial" w:eastAsia="Arial" w:hAnsi="Arial"/>
          <w:sz w:val="22"/>
          <w:szCs w:val="22"/>
          <w:color w:val="auto"/>
        </w:rPr>
      </w:pPr>
      <w:r>
        <w:rPr>
          <w:rFonts w:ascii="Arial" w:cs="Arial" w:eastAsia="Arial" w:hAnsi="Arial"/>
          <w:sz w:val="18"/>
          <w:szCs w:val="18"/>
          <w:color w:val="auto"/>
        </w:rPr>
        <w:t>Technology risks, such as failure to successfully implement new technology that will allow us to make process improvements to reduce costs or to analyze the business.</w:t>
      </w:r>
    </w:p>
    <w:p>
      <w:pPr>
        <w:spacing w:after="0" w:line="208" w:lineRule="exact"/>
        <w:rPr>
          <w:rFonts w:ascii="Arial" w:cs="Arial" w:eastAsia="Arial" w:hAnsi="Arial"/>
          <w:sz w:val="22"/>
          <w:szCs w:val="22"/>
          <w:color w:val="auto"/>
        </w:rPr>
      </w:pPr>
    </w:p>
    <w:p>
      <w:pPr>
        <w:ind w:left="980" w:hanging="285"/>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Loss of senior management or other key personnel and our ability to hire suitable replacements in a timely manner.</w:t>
      </w:r>
    </w:p>
    <w:p>
      <w:pPr>
        <w:spacing w:after="0" w:line="228" w:lineRule="exact"/>
        <w:rPr>
          <w:rFonts w:ascii="Arial" w:cs="Arial" w:eastAsia="Arial" w:hAnsi="Arial"/>
          <w:sz w:val="22"/>
          <w:szCs w:val="22"/>
          <w:color w:val="auto"/>
        </w:rPr>
      </w:pPr>
    </w:p>
    <w:p>
      <w:pPr>
        <w:ind w:left="1000" w:hanging="305"/>
        <w:spacing w:after="0" w:line="262" w:lineRule="auto"/>
        <w:tabs>
          <w:tab w:leader="none" w:pos="994" w:val="left"/>
        </w:tabs>
        <w:numPr>
          <w:ilvl w:val="0"/>
          <w:numId w:val="6"/>
        </w:numPr>
        <w:rPr>
          <w:rFonts w:ascii="Arial" w:cs="Arial" w:eastAsia="Arial" w:hAnsi="Arial"/>
          <w:sz w:val="21"/>
          <w:szCs w:val="21"/>
          <w:color w:val="auto"/>
        </w:rPr>
      </w:pPr>
      <w:r>
        <w:rPr>
          <w:rFonts w:ascii="Arial" w:cs="Arial" w:eastAsia="Arial" w:hAnsi="Arial"/>
          <w:sz w:val="17"/>
          <w:szCs w:val="17"/>
          <w:color w:val="auto"/>
        </w:rPr>
        <w:t>During the third quarter of fiscal 2005, the Company made the determination to continue to use its current operating system through the end of fiscal 2005 and until the implementation of the Company’s Enterprise Resource Planning (“ERP”) system is complete. Management’s assessment of the effectiveness of the Company’s internal controls as of April 3, 2005 that was included in the Annual Report on Form 10-K for the fiscal year ended April 3, 2005 was made on the current operating system and concludes that the internal control system was not operating effectively as of April 3, 2005. The Company is currently in the process of remediating the material weaknesses that led to this conclusion. Effective internal controls are important to the production of reliable financial reports and in helping to prevent financial fraud. If, in the future, as a result of ineffective internal controls, the Company is unable to provide reliable financial reports or prevent fraud, its business and operating results could be harmed, investors could lose confidence in its reported financial information, and the trading price of the Company’s stock could drop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-5154295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These factors are not exhaustive and new factors may emerge or existing factors may change in a manner that impacts our business. We assume no obligation and disclaim any duty to update the forward-looking statements in this Quarterly Report on Form 10-Q or any other public statement.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 (in thousands, except percentages):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3"/>
          </w:tcPr>
          <w:p>
            <w:pPr>
              <w:ind w:left="180"/>
              <w:spacing w:after="0"/>
              <w:rPr>
                <w:sz w:val="20"/>
                <w:szCs w:val="20"/>
                <w:color w:val="auto"/>
              </w:rPr>
            </w:pPr>
            <w:r>
              <w:rPr>
                <w:rFonts w:ascii="Arial" w:cs="Arial" w:eastAsia="Arial" w:hAnsi="Arial"/>
                <w:sz w:val="14"/>
                <w:szCs w:val="14"/>
                <w:b w:val="1"/>
                <w:bCs w:val="1"/>
                <w:color w:val="auto"/>
                <w:w w:val="92"/>
              </w:rPr>
              <w:t>Three months ended June 30,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3"/>
          </w:tcPr>
          <w:p>
            <w:pPr>
              <w:jc w:val="center"/>
              <w:ind w:left="53"/>
              <w:spacing w:after="0"/>
              <w:rPr>
                <w:sz w:val="20"/>
                <w:szCs w:val="20"/>
                <w:color w:val="auto"/>
              </w:rPr>
            </w:pPr>
            <w:r>
              <w:rPr>
                <w:rFonts w:ascii="Arial" w:cs="Arial" w:eastAsia="Arial" w:hAnsi="Arial"/>
                <w:sz w:val="14"/>
                <w:szCs w:val="14"/>
                <w:b w:val="1"/>
                <w:bCs w:val="1"/>
                <w:color w:val="auto"/>
                <w:w w:val="91"/>
              </w:rPr>
              <w:t>Three months ended June 30,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35,855</w:t>
            </w: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1"/>
              </w:rPr>
              <w:t>100.0%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29,956</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25,969</w:t>
            </w:r>
          </w:p>
        </w:tc>
        <w:tc>
          <w:tcPr>
            <w:tcW w:w="78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21,370</w:t>
            </w:r>
          </w:p>
        </w:tc>
        <w:tc>
          <w:tcPr>
            <w:tcW w:w="740" w:type="dxa"/>
            <w:vAlign w:val="bottom"/>
          </w:tcPr>
          <w:p>
            <w:pPr>
              <w:spacing w:after="0"/>
              <w:rPr>
                <w:sz w:val="18"/>
                <w:szCs w:val="18"/>
                <w:color w:val="auto"/>
              </w:rPr>
            </w:pP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9,886</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5,898</w:t>
            </w:r>
          </w:p>
        </w:tc>
        <w:tc>
          <w:tcPr>
            <w:tcW w:w="78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4,205</w:t>
            </w:r>
          </w:p>
        </w:tc>
        <w:tc>
          <w:tcPr>
            <w:tcW w:w="740" w:type="dxa"/>
            <w:vAlign w:val="bottom"/>
          </w:tcPr>
          <w:p>
            <w:pPr>
              <w:spacing w:after="0"/>
              <w:rPr>
                <w:sz w:val="18"/>
                <w:szCs w:val="18"/>
                <w:color w:val="auto"/>
              </w:rPr>
            </w:pP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308</w:t>
            </w:r>
          </w:p>
        </w:tc>
        <w:tc>
          <w:tcPr>
            <w:tcW w:w="78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196</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1,546</w:t>
            </w:r>
          </w:p>
        </w:tc>
        <w:tc>
          <w:tcPr>
            <w:tcW w:w="78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1,648</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Sales increased $5,898,709, or 19.7%, in the three months ended June 30, 2005 as compared to the same period a year ago. Sales of bulk chemicals, including caustic soda, were approximately 35.0% of sales compared to 32.4% in the comparable period a year ago. The change was partially attributable to an increase in the selling price and cost of caustic soda that was partially offset by a decrease in volumes sold.</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increase in sales was primarily driven by the Industrial segment, as sales increased by $4,146,520 or 26.4% in the three months ended June 30, 2005 over the comparable period in fiscal 2005. Increased sales in existing product lines coupled with an increase in the selling price and cost of caustic soda were the principal contributors to the higher revenues. Water Treatment segment sales increased by $1,635,805 or 13.8% for the three months ended June 30, 2005 as compared to the same period in fiscal 2005. This increase was primarily attributable to selling price increases associated with increases in material costs and an expansion of products sold to existing customers. Pharmaceutical sales increased 4.8% to $2,522,698 due to an increase in volumes along several existing product lines.</w:t>
      </w:r>
    </w:p>
    <w:p>
      <w:pPr>
        <w:sectPr>
          <w:pgSz w:w="11900" w:h="16838" w:orient="portrait"/>
          <w:cols w:equalWidth="0" w:num="1">
            <w:col w:w="11420"/>
          </w:cols>
          <w:pgMar w:left="240" w:top="152" w:right="239" w:bottom="0" w:gutter="0" w:footer="0" w:header="0"/>
        </w:sectPr>
      </w:pPr>
    </w:p>
    <w:bookmarkStart w:id="6" w:name="page7"/>
    <w:bookmarkEnd w:id="6"/>
    <w:p>
      <w:pPr>
        <w:jc w:val="both"/>
        <w:ind w:right="20"/>
        <w:spacing w:after="0" w:line="288" w:lineRule="auto"/>
        <w:rPr>
          <w:sz w:val="20"/>
          <w:szCs w:val="20"/>
          <w:color w:val="auto"/>
        </w:rPr>
      </w:pPr>
      <w:r>
        <w:rPr>
          <w:rFonts w:ascii="Arial" w:cs="Arial" w:eastAsia="Arial" w:hAnsi="Arial"/>
          <w:sz w:val="16"/>
          <w:szCs w:val="16"/>
          <w:color w:val="auto"/>
        </w:rPr>
        <w:t>Gross margin, as a percentage of sales, for the three months ended June 30, 2005 was 27.6%, compared to 28.7% for the comparable period a year ago. Gross margin, as a percentage of sales, for the Water Treatment segment was 34.5% for the three months ended June 30, 2005 compared to 35.9% in the comparable period of fiscal 2005. The decrease was primarily attributable to competitive pressures, which limited the ability to pass on increases in product costs.</w:t>
      </w:r>
    </w:p>
    <w:p>
      <w:pPr>
        <w:ind w:right="20"/>
        <w:spacing w:after="0" w:line="269" w:lineRule="auto"/>
        <w:rPr>
          <w:sz w:val="20"/>
          <w:szCs w:val="20"/>
          <w:color w:val="auto"/>
        </w:rPr>
      </w:pPr>
      <w:r>
        <w:rPr>
          <w:rFonts w:ascii="Arial" w:cs="Arial" w:eastAsia="Arial" w:hAnsi="Arial"/>
          <w:sz w:val="17"/>
          <w:szCs w:val="17"/>
          <w:color w:val="auto"/>
        </w:rPr>
        <w:t>Industrial segment gross margin, as a percentage of sales, was 22.5% for the three months ended June 30, 2005 which was consistent with the 22.5% in the comparable prior year period. Improved product mix was offset by fluctuations in the cost and selling price of caustic soda during fiscal 2005 and 2006. The Company attempts to maintain relatively constant dollar margins as the cost of caustic soda increases or decreases. The cost of this product is normally subject to fluctuations, which is expected to continue in future periods. By maintaining relatively stable dollar margins, the gross margin percentage will decrease when the cost of the product is increasing and will increase when the cost of the product is decreasing. Gross margin, as a percentage of sales, for the Pharmaceutical segment was 30.6% for the three months ended June 30, 2005 compared to 33.5% in the comparable period of fiscal 2005. The decrease is primarily related to an increase in operating costs for staffing increases to facilitate future growth.</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Selling, general and administrative expenses, as a percentage of sales, for the three months ended June 30, 2005 were 16.5% compared to 14.0% for the same period one year ago. The increases were primarily attributable to the higher cost of doing business for public companies in today’s environment and the ongoing implementation of an ERP system. Additionally, increases in the size of the Industrial segment sales force and attorneys’ fees related to the Company’s lawsuit against the former principals of Universal Chemicals contributed to the increase in expenses. The Company will continue to incur additional expenses associated with the Company’s efforts to continue meeting the requirements of the Sarbanes-Oxley Act and for the Company’s investment in an ERP system, including expenses for additional staffing and outside professional services. Employee compensation and benefits comprise the majority of the selling, general and administrative expenditures.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Investment income increased by $112,051 for the three months ended June 30, 2005, compared to the same period one year ago. The increase was related primarily to higher returns on the Company’s cash equivalents and available for sale securities, which consist primarily of money market accounts, certificates of deposit, municipal bonds, U.S. Government agency securities, mutual funds, and investment contracts with high-rated, stable insurance companies.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effective income tax rate was 36% for the three months ended June 30, 2005, which is comparable with the effective tax rate for the fiscal year ended April 3,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For the three-month period ended June 30, 2005, cash used in operations was $212,491 versus cash provided by operations of $4,865,188 for the same period one year ago. Increases in inventory associated with increased product costs and accounts receivable primarily related to increased sales combined with a decrease in net income were principally responsible for the decrease in cash provided by operating activities. Cash used in investing activities increased by $454,369 for the three months ended June 30, 2005 compared to the same period one year ago, primarily due to a $536,131 increase related to investment activity. This increase was partially offset by a decrease of $142,743 in property and equipment purchases during the three-month period ended June 30, 2005 compared to the same period one year ago. Capital expenditures during the quarter ended June 30, 2005 consisted primarily of ERP-related additions, the purchase of a water treatment truck and various general maintenance projects. The Company also had expenditures related to various construction-in-process (CIP) projects. Capital expenditures for the remainder of fiscal 2006 are anticipated to be approximately $5.7 million, and are expected to be primarily related to additional warehousing facilities, implementation of an ERP system, new route sales trucks and general maintenance projects.</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Cash, cash equivalents and investments available-for-sale decreased by $3,252,135 from April 3, 2005 to $23,555,250 as of June 30, 2005 due primarily to capital expenditures of $1,245,917 and dividends paid of $1,846,321 during the three-month period ended June 30, 2005. Cash equivalents consist of money market accounts and certificates of deposit with an original maturity of three months or less. Investments available-for-sale consist of investment contracts with high-rated, stable insurance companies; marketable securities consisting of corporate and municipal bonds; U.S. Government agency securities and mutual funds carried at fair value. The Company’s investment objectives in order of importance are the preservation of principal, maintenance of liquidity and rate of return. The fixed income portfolio consists primarily of investment grade securities to minimize credit risk, and they generally mature within 10 years. The Company invests in mutual funds with characteristics similar to its fixed income portfolio to enhance its investment portfolio diversification. The Company monitors the maturities of its investments to ensure that funding is available for anticipated cash needs. At June 30, 2005 and April 3, 2005, respectively, $15,328,000 and $15,570,000 of available-for-sale investments were classified as non-current assets as they were determined to be temporarily impaired and have maturity dates of one year or longer. These investments were not determined to be other-than-temporarily impaired as the Company has the intent and ability to hold these investments for a period of time sufficient to allow a recovery of fair value. Expected future cash flows from operations, cash equivalents and investments included within current assets are expected to fund the Company’s short-term working capital needs.</w:t>
      </w:r>
    </w:p>
    <w:p>
      <w:pPr>
        <w:spacing w:after="0" w:line="16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June 30, 2005, the Company had an investment portfolio of fixed income securities valued at $12,097,873 and mutual funds valued at $7,564,845, excluding $4,416,608 of those classified as cash and cash equivalents and variable rate securities.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funds, like all mutual funds, may increase or decrease due to market volatility. The mutual funds held by the Company as of June 30, 2005 consist of short-term bond funds that invest primarily in investment grade securities.</w:t>
      </w:r>
    </w:p>
    <w:p>
      <w:pPr>
        <w:spacing w:after="0" w:line="18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Expected future cash flows from operations, coupled with the Company’s strong financial position, put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at June 30, 2005 puts it in a position to obtain debt financing on favorable terms.</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Management regularly reviews opportunities to enhance the value of the Company through strategic acquisitions, other capital investments and strategic divestitures; and at this time, no material commitments for such investments or divestitures exist. Until appropriate investment opportunities are identified, the Company will invest excess cash in conservative investments.</w:t>
      </w:r>
    </w:p>
    <w:p>
      <w:pPr>
        <w:sectPr>
          <w:pgSz w:w="11900" w:h="16838" w:orient="portrait"/>
          <w:cols w:equalWidth="0" w:num="1">
            <w:col w:w="11420"/>
          </w:cols>
          <w:pgMar w:left="240" w:top="341" w:right="2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continue to incur significant expenditures in fiscal 2006 associated with the implementation of its ERP system and to continue meeting the requirements of the Sarbanes-Oxley Act. Fiscal 2006 expenses in these areas, including additional staffing and outside professional services, are expected to be relatively consistent with the additional fiscal 2005 expense of approximately $1.7 million.</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Other than as discussed above, management is not aware of any matters that have materially affected the Company’s financial results for the three months ended June 30, 2005, nor is management aware of other matters not affecting this period but expected to have a material effect on future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significant accounting policies followed by the Company are set forth in Note 1 to the Company’s financial statements in the Company’s Annual Report on Form 10-K for the fiscal year ended April 3, 2005. The accounting policies used in preparing the Company’s interim fiscal 2006 financial statements are the same as those described in the Company’s Annual Report, except as described in Note 4 to the unaudited financial statements included in this report.</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considers the following policies to involve the most judgment in the preparation of the Company’s financial statements.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the product has been shipped to the customer if there is evidence that the customer has agreed</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the products, the price and terms of sale are fixed, and collection of the receivable is reasonably assured.</w:t>
      </w:r>
    </w:p>
    <w:p>
      <w:pPr>
        <w:spacing w:after="0" w:line="1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Statement of Financial Accounting Standards (SFAS) No. 115, “Accounting for Certain Investments in Debt and Equity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(SEC) Staff Accounting Bulletin (SAB) 59, “Accounting for Noncurrent Marketable Equity Securities,” provide guidance on 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 adverse effect on the fair value and amount of the impairment as necessary. If market, industry and/or investee conditions deteriorate, we may incur future impairments.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Accounts receivable are reduced by an allowance for amounts that may become uncollectible in the future.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allowance for doubtful accounts on a quarterly basis.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usage and sales and, if necessary, writes down the value of inventory deemed obsolete or excess to market.</w:t>
      </w:r>
    </w:p>
    <w:p>
      <w:pPr>
        <w:spacing w:after="0" w:line="1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color w:val="auto"/>
        </w:rPr>
        <w:t xml:space="preserve">LIFO Reserve – </w:t>
      </w:r>
      <w:r>
        <w:rPr>
          <w:rFonts w:ascii="Arial" w:cs="Arial" w:eastAsia="Arial" w:hAnsi="Arial"/>
          <w:sz w:val="17"/>
          <w:szCs w:val="17"/>
          <w:color w:val="auto"/>
        </w:rPr>
        <w:t>Inventories are primarily valued with cost being determined using the last-in, first-out (LIFO) method. We may incur significant fluctuations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our gross margins due primarily to changes in the cost of a single, large-volume component of inventory. The price of this inventory component may vary depending on the balance between supply and demand. Management reviews the LIFO reserve on a quarterly basis.</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Impairment of Long-Lived Assets – </w:t>
      </w:r>
      <w:r>
        <w:rPr>
          <w:rFonts w:ascii="Arial" w:cs="Arial" w:eastAsia="Arial" w:hAnsi="Arial"/>
          <w:sz w:val="18"/>
          <w:szCs w:val="18"/>
          <w:color w:val="auto"/>
        </w:rPr>
        <w:t>We evaluate the carrying value of long-lived assets, including intangible assets subject to amortization and property, plant,</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when events and changes in circumstances warrant such a review. The carrying value of long-lived assets is considered impaired when the projected future undiscounted cash flows from such assets are less than their carrying value. In that event, a loss is recognized equal to the amount by which the carrying value exceeds the fair value of the long-lived assets. We periodically review the appropriateness of the estimated useful lives of our long-lived assets.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the preparation of the Company’s financial statements, management calculates income taxes. This includes estimating current tax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The Company routinely monitors the potential impact of such situations and believes that it is properly reserved. Valuations related to amounts owed and tax rates could be impacted by changes to tax codes, changes in statutory tax rates, the Company’s future taxable income levels and the results of tax audits.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At June 30, 2005, the Company had an investment portfolio of fixed income securities of $12,097,873, mutual funds of $7,564,845, insurance contracts of $3,371,790 and cash and cash equivalents of $1,044,818.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during the holding period. The value of the mutual funds, like all mutual funds, may increase or decrease due to market volatility. The insurance contracts are variable rate contracts that reset on a quarterly basis. A hypothetical 1% change in rates would impact investment income by approximately $34,000,</w:t>
      </w:r>
    </w:p>
    <w:p>
      <w:pPr>
        <w:sectPr>
          <w:pgSz w:w="11900" w:h="16838" w:orient="portrait"/>
          <w:cols w:equalWidth="0" w:num="1">
            <w:col w:w="11400"/>
          </w:cols>
          <w:pgMar w:left="240" w:top="341" w:right="259" w:bottom="0" w:gutter="0" w:footer="0" w:header="0"/>
        </w:sectPr>
      </w:pPr>
    </w:p>
    <w:bookmarkStart w:id="8" w:name="page9"/>
    <w:bookmarkEnd w:id="8"/>
    <w:p>
      <w:pPr>
        <w:ind w:right="460"/>
        <w:spacing w:after="0" w:line="277" w:lineRule="auto"/>
        <w:rPr>
          <w:sz w:val="20"/>
          <w:szCs w:val="20"/>
          <w:color w:val="auto"/>
        </w:rPr>
      </w:pPr>
      <w:r>
        <w:rPr>
          <w:rFonts w:ascii="Arial" w:cs="Arial" w:eastAsia="Arial" w:hAnsi="Arial"/>
          <w:sz w:val="18"/>
          <w:szCs w:val="18"/>
          <w:color w:val="auto"/>
        </w:rPr>
        <w:t>based upon the amount of variable rate insurance contracts held at June 30, 2005. The Company adjusts the carrying value of its investments down if an impairment occurs that is other than temporary.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is subject to the risk inherent in the cyclical nature of commodity chemical prices. However, the Company does not currently purchase forward contracts or otherwise engage in hedging activities with respect to the purchase of commodity chemicals.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conducted an evaluation, under the supervision and with the participation of the Company’s management, including the Chief Executive Officer and Chief Financial Officer, of the effectiveness of the design and operation of its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Due to the material weaknesses described in the Company’s Annual Report on Form 10-K for the fiscal year ended April 3, 2005, the Chief Executive Officer and Chief Financial Officer concluded that the Company’s disclosure controls and procedures were not effective as of the end of the period covered by this report in alerting them on a timely basis to material information relating to the Company required to be included in the Company’s reports filed or submitted under the Exchange Act. The Chief Executive Officer and Chief Financial Officer believe that the Company is currently in process of remediating these deficiencies.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Management, with oversight from the Audit Committee, has been aggressively addressing the material weaknesses disclosed in its Annual Report on</w:t>
      </w:r>
    </w:p>
    <w:p>
      <w:pPr>
        <w:spacing w:after="0" w:line="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Form 10-K for the fiscal year ended April 3, 2005 and is committed to effectively remediating known weaknesses as expeditiously as possible. Although the Company’s remediation efforts are well underway, control weaknesses will not be considered remediated until new internal controls over financial reporting are implemented and operational for a period of time and are tested, and management and its independent registered public accounting firm conclude that these controls are operating effectively. Due to the timing of this process, there were no changes in the Company’s internal control over financial reporting that occurred during the first quarter ended June 30, 2005 that have materially affected, or are reasonably likely to materially affect its internal control over financial reporting.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the fourth quarter of fiscal 2004, the Company paid $3.0 million to resolve a personal injury lawsuit encaptioned </w:t>
      </w:r>
      <w:r>
        <w:rPr>
          <w:rFonts w:ascii="Arial" w:cs="Arial" w:eastAsia="Arial" w:hAnsi="Arial"/>
          <w:sz w:val="18"/>
          <w:szCs w:val="18"/>
          <w:i w:val="1"/>
          <w:iCs w:val="1"/>
          <w:color w:val="auto"/>
        </w:rPr>
        <w:t>Chavarria et al v. Hawkins, Inc.,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Panorama Compounding Pharmacy, and Valley Drug and Compounding, et al </w:t>
      </w:r>
      <w:r>
        <w:rPr>
          <w:rFonts w:ascii="Arial" w:cs="Arial" w:eastAsia="Arial" w:hAnsi="Arial"/>
          <w:sz w:val="18"/>
          <w:szCs w:val="18"/>
          <w:color w:val="auto"/>
        </w:rPr>
        <w:t>that arose from the alleged mislabeling of certain inventory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in connection with its acquisition of St. Mary’s Chemicals, Inc. (d/b/a Universal Chemicals) in May 2000. Pursuant to the terms of the settlement, the Company denied all liability and reserved its right to pursue indemnification and contribution from third parties. In July 2004, the Company filed suit in Hennepin County, Minnesota against the former principals of Universal Chemicals, seeking indemnification for the costs the Company incurred in defending and resolving the prior litigation.</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requires the defendants to surrender to the Company 75,358 shares of the Company’s common stock, which they received as consideration for the May 2000 acquisition. The agreement also terminates the non-competition provisions of the Company’s agreements with the defendants, relieving the Company of the obligation to pay $500,000 to the defendants over the next five years as consideration for these provisions. The settlement agreement calls for the parties to execute mutual releases and a stipulation of dismissal.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Index</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80" w:type="dxa"/>
            <w:vAlign w:val="bottom"/>
          </w:tcPr>
          <w:p>
            <w:pPr>
              <w:spacing w:after="0"/>
              <w:rPr>
                <w:sz w:val="14"/>
                <w:szCs w:val="14"/>
                <w:color w:val="auto"/>
              </w:rPr>
            </w:pPr>
          </w:p>
        </w:tc>
        <w:tc>
          <w:tcPr>
            <w:tcW w:w="6380" w:type="dxa"/>
            <w:vAlign w:val="bottom"/>
            <w:gridSpan w:val="2"/>
          </w:tcPr>
          <w:p>
            <w:pPr>
              <w:ind w:left="2280"/>
              <w:spacing w:after="0"/>
              <w:rPr>
                <w:sz w:val="20"/>
                <w:szCs w:val="20"/>
                <w:color w:val="auto"/>
              </w:rPr>
            </w:pPr>
            <w:r>
              <w:rPr>
                <w:rFonts w:ascii="Arial" w:cs="Arial" w:eastAsia="Arial" w:hAnsi="Arial"/>
                <w:sz w:val="14"/>
                <w:szCs w:val="14"/>
                <w:b w:val="1"/>
                <w:bCs w:val="1"/>
                <w:color w:val="auto"/>
              </w:rPr>
              <w:t>Description</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6"/>
                <w:szCs w:val="16"/>
                <w:color w:val="auto"/>
              </w:rPr>
            </w:pPr>
          </w:p>
        </w:tc>
        <w:tc>
          <w:tcPr>
            <w:tcW w:w="72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2"/>
              </w:rPr>
              <w:t>Amended and Second Restated Articles of Incorporation as amended through February 27, 2001.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Incorporated by Reference</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(1)</w:t>
            </w:r>
          </w:p>
        </w:tc>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3.2</w:t>
            </w:r>
          </w:p>
        </w:tc>
        <w:tc>
          <w:tcPr>
            <w:tcW w:w="7360" w:type="dxa"/>
            <w:vAlign w:val="bottom"/>
            <w:gridSpan w:val="3"/>
          </w:tcPr>
          <w:p>
            <w:pPr>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31.1</w:t>
            </w:r>
          </w:p>
        </w:tc>
        <w:tc>
          <w:tcPr>
            <w:tcW w:w="7360" w:type="dxa"/>
            <w:vAlign w:val="bottom"/>
            <w:gridSpan w:val="3"/>
          </w:tcPr>
          <w:p>
            <w:pPr>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31.2</w:t>
            </w:r>
          </w:p>
        </w:tc>
        <w:tc>
          <w:tcPr>
            <w:tcW w:w="7360" w:type="dxa"/>
            <w:vAlign w:val="bottom"/>
            <w:gridSpan w:val="3"/>
          </w:tcPr>
          <w:p>
            <w:pPr>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32.1</w:t>
            </w:r>
          </w:p>
        </w:tc>
        <w:tc>
          <w:tcPr>
            <w:tcW w:w="980" w:type="dxa"/>
            <w:vAlign w:val="bottom"/>
          </w:tcPr>
          <w:p>
            <w:pPr>
              <w:spacing w:after="0"/>
              <w:rPr>
                <w:sz w:val="20"/>
                <w:szCs w:val="20"/>
                <w:color w:val="auto"/>
              </w:rPr>
            </w:pPr>
            <w:r>
              <w:rPr>
                <w:rFonts w:ascii="Arial" w:cs="Arial" w:eastAsia="Arial" w:hAnsi="Arial"/>
                <w:sz w:val="18"/>
                <w:szCs w:val="18"/>
                <w:color w:val="auto"/>
                <w:w w:val="91"/>
              </w:rPr>
              <w:t>Section 1350</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30"/>
        </w:trPr>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32.2</w:t>
            </w:r>
          </w:p>
        </w:tc>
        <w:tc>
          <w:tcPr>
            <w:tcW w:w="980" w:type="dxa"/>
            <w:vAlign w:val="bottom"/>
          </w:tcPr>
          <w:p>
            <w:pPr>
              <w:spacing w:after="0"/>
              <w:rPr>
                <w:sz w:val="20"/>
                <w:szCs w:val="20"/>
                <w:color w:val="auto"/>
              </w:rPr>
            </w:pPr>
            <w:r>
              <w:rPr>
                <w:rFonts w:ascii="Arial" w:cs="Arial" w:eastAsia="Arial" w:hAnsi="Arial"/>
                <w:sz w:val="18"/>
                <w:szCs w:val="18"/>
                <w:color w:val="auto"/>
                <w:w w:val="91"/>
              </w:rPr>
              <w:t>Section 1350</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900" w:hanging="352"/>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25" w:lineRule="exact"/>
        <w:rPr>
          <w:rFonts w:ascii="Arial" w:cs="Arial" w:eastAsia="Arial" w:hAnsi="Arial"/>
          <w:sz w:val="18"/>
          <w:szCs w:val="18"/>
          <w:color w:val="auto"/>
        </w:rPr>
      </w:pPr>
    </w:p>
    <w:p>
      <w:pPr>
        <w:ind w:left="900" w:hanging="352"/>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ectPr>
          <w:pgSz w:w="11900" w:h="16838" w:orient="portrait"/>
          <w:cols w:equalWidth="0" w:num="1">
            <w:col w:w="11420"/>
          </w:cols>
          <w:pgMar w:left="240" w:top="125" w:right="239" w:bottom="0" w:gutter="0" w:footer="0" w:header="0"/>
          <w:type w:val="continuous"/>
        </w:sectPr>
      </w:pPr>
    </w:p>
    <w:bookmarkStart w:id="9" w:name="page10"/>
    <w:bookmarkEnd w:id="9"/>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rPr>
              <w:t>HAWKINS, INC.</w:t>
            </w:r>
          </w:p>
        </w:tc>
        <w:tc>
          <w:tcPr>
            <w:tcW w:w="4360" w:type="dxa"/>
            <w:vAlign w:val="bottom"/>
          </w:tcPr>
          <w:p>
            <w:pPr>
              <w:spacing w:after="0"/>
              <w:rPr>
                <w:sz w:val="20"/>
                <w:szCs w:val="20"/>
                <w:color w:val="auto"/>
              </w:rPr>
            </w:pPr>
          </w:p>
        </w:tc>
      </w:tr>
      <w:tr>
        <w:trPr>
          <w:trHeight w:val="432"/>
        </w:trPr>
        <w:tc>
          <w:tcPr>
            <w:tcW w:w="2000" w:type="dxa"/>
            <w:vAlign w:val="bottom"/>
            <w:gridSpan w:val="2"/>
          </w:tcPr>
          <w:p>
            <w:pPr>
              <w:spacing w:after="0"/>
              <w:rPr>
                <w:sz w:val="20"/>
                <w:szCs w:val="20"/>
                <w:color w:val="auto"/>
              </w:rPr>
            </w:pPr>
            <w:r>
              <w:rPr>
                <w:rFonts w:ascii="Arial" w:cs="Arial" w:eastAsia="Arial" w:hAnsi="Arial"/>
                <w:sz w:val="18"/>
                <w:szCs w:val="18"/>
                <w:color w:val="auto"/>
              </w:rPr>
              <w:t>By:</w:t>
            </w:r>
          </w:p>
        </w:tc>
        <w:tc>
          <w:tcPr>
            <w:tcW w:w="4360" w:type="dxa"/>
            <w:vAlign w:val="bottom"/>
          </w:tcPr>
          <w:p>
            <w:pPr>
              <w:jc w:val="center"/>
              <w:ind w:right="1510"/>
              <w:spacing w:after="0"/>
              <w:rPr>
                <w:sz w:val="20"/>
                <w:szCs w:val="20"/>
                <w:color w:val="auto"/>
              </w:rPr>
            </w:pPr>
            <w:r>
              <w:rPr>
                <w:rFonts w:ascii="Arial" w:cs="Arial" w:eastAsia="Arial" w:hAnsi="Arial"/>
                <w:sz w:val="18"/>
                <w:szCs w:val="18"/>
                <w:color w:val="auto"/>
                <w:w w:val="92"/>
              </w:rPr>
              <w:t>/s/ Marvin E. Dee</w:t>
            </w:r>
          </w:p>
        </w:tc>
      </w:tr>
      <w:tr>
        <w:trPr>
          <w:trHeight w:val="224"/>
        </w:trPr>
        <w:tc>
          <w:tcPr>
            <w:tcW w:w="40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4360" w:type="dxa"/>
            <w:vAlign w:val="bottom"/>
            <w:tcBorders>
              <w:top w:val="single" w:sz="8" w:color="auto"/>
            </w:tcBorders>
          </w:tcPr>
          <w:p>
            <w:pPr>
              <w:jc w:val="center"/>
              <w:ind w:right="1530"/>
              <w:spacing w:after="0"/>
              <w:rPr>
                <w:sz w:val="20"/>
                <w:szCs w:val="20"/>
                <w:color w:val="auto"/>
              </w:rPr>
            </w:pPr>
            <w:r>
              <w:rPr>
                <w:rFonts w:ascii="Arial" w:cs="Arial" w:eastAsia="Arial" w:hAnsi="Arial"/>
                <w:sz w:val="18"/>
                <w:szCs w:val="18"/>
                <w:color w:val="auto"/>
                <w:w w:val="92"/>
              </w:rPr>
              <w:t>Marvin E. Dee</w:t>
            </w:r>
          </w:p>
        </w:tc>
      </w:tr>
    </w:tbl>
    <w:p>
      <w:pPr>
        <w:spacing w:after="0" w:line="18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Vice President, Chief Financial Officer, Secretary and Treasurer</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0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4"/>
              </w:rPr>
              <w:t>Exhibit</w:t>
            </w:r>
          </w:p>
        </w:tc>
        <w:tc>
          <w:tcPr>
            <w:tcW w:w="980" w:type="dxa"/>
            <w:vAlign w:val="bottom"/>
          </w:tcPr>
          <w:p>
            <w:pPr>
              <w:spacing w:after="0"/>
              <w:rPr>
                <w:sz w:val="14"/>
                <w:szCs w:val="14"/>
                <w:color w:val="auto"/>
              </w:rPr>
            </w:pPr>
          </w:p>
        </w:tc>
        <w:tc>
          <w:tcPr>
            <w:tcW w:w="6320" w:type="dxa"/>
            <w:vAlign w:val="bottom"/>
            <w:gridSpan w:val="2"/>
          </w:tcPr>
          <w:p>
            <w:pPr>
              <w:ind w:left="2220"/>
              <w:spacing w:after="0"/>
              <w:rPr>
                <w:sz w:val="20"/>
                <w:szCs w:val="20"/>
                <w:color w:val="auto"/>
              </w:rPr>
            </w:pPr>
            <w:r>
              <w:rPr>
                <w:rFonts w:ascii="Arial" w:cs="Arial" w:eastAsia="Arial" w:hAnsi="Arial"/>
                <w:sz w:val="14"/>
                <w:szCs w:val="14"/>
                <w:b w:val="1"/>
                <w:bCs w:val="1"/>
                <w:color w:val="auto"/>
              </w:rPr>
              <w:t>Description</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4"/>
              </w:rPr>
              <w:t>Method of Filing</w:t>
            </w:r>
          </w:p>
        </w:tc>
      </w:t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6"/>
                <w:szCs w:val="16"/>
                <w:color w:val="auto"/>
              </w:rPr>
            </w:pPr>
          </w:p>
        </w:tc>
        <w:tc>
          <w:tcPr>
            <w:tcW w:w="70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0"/>
              </w:rPr>
              <w:t>Amended and Second Restated Articles of Incorporation as amended through February 27, 2001.</w:t>
            </w:r>
          </w:p>
        </w:tc>
        <w:tc>
          <w:tcPr>
            <w:tcW w:w="220" w:type="dxa"/>
            <w:vAlign w:val="bottom"/>
          </w:tcPr>
          <w:p>
            <w:pPr>
              <w:spacing w:after="0"/>
              <w:rPr>
                <w:sz w:val="16"/>
                <w:szCs w:val="16"/>
                <w:color w:val="auto"/>
              </w:rPr>
            </w:pPr>
          </w:p>
        </w:tc>
        <w:tc>
          <w:tcPr>
            <w:tcW w:w="2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Incorporated by Reference</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(1)</w:t>
            </w:r>
          </w:p>
        </w:tc>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3.2</w:t>
            </w:r>
          </w:p>
        </w:tc>
        <w:tc>
          <w:tcPr>
            <w:tcW w:w="7300" w:type="dxa"/>
            <w:vAlign w:val="bottom"/>
            <w:gridSpan w:val="3"/>
          </w:tcPr>
          <w:p>
            <w:pPr>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Incorporated by Reference</w:t>
            </w:r>
          </w:p>
        </w:tc>
      </w:tr>
      <w:tr>
        <w:trPr>
          <w:trHeight w:val="216"/>
        </w:trPr>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31.1</w:t>
            </w:r>
          </w:p>
        </w:tc>
        <w:tc>
          <w:tcPr>
            <w:tcW w:w="7300" w:type="dxa"/>
            <w:vAlign w:val="bottom"/>
            <w:gridSpan w:val="3"/>
          </w:tcPr>
          <w:p>
            <w:pPr>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31.2</w:t>
            </w:r>
          </w:p>
        </w:tc>
        <w:tc>
          <w:tcPr>
            <w:tcW w:w="7300" w:type="dxa"/>
            <w:vAlign w:val="bottom"/>
            <w:gridSpan w:val="3"/>
          </w:tcPr>
          <w:p>
            <w:pPr>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32.1</w:t>
            </w:r>
          </w:p>
        </w:tc>
        <w:tc>
          <w:tcPr>
            <w:tcW w:w="980" w:type="dxa"/>
            <w:vAlign w:val="bottom"/>
          </w:tcPr>
          <w:p>
            <w:pPr>
              <w:spacing w:after="0"/>
              <w:rPr>
                <w:sz w:val="20"/>
                <w:szCs w:val="20"/>
                <w:color w:val="auto"/>
              </w:rPr>
            </w:pPr>
            <w:r>
              <w:rPr>
                <w:rFonts w:ascii="Arial" w:cs="Arial" w:eastAsia="Arial" w:hAnsi="Arial"/>
                <w:sz w:val="18"/>
                <w:szCs w:val="18"/>
                <w:color w:val="auto"/>
                <w:w w:val="91"/>
              </w:rPr>
              <w:t>Section 1350</w:t>
            </w: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30"/>
        </w:trPr>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32.2</w:t>
            </w:r>
          </w:p>
        </w:tc>
        <w:tc>
          <w:tcPr>
            <w:tcW w:w="980" w:type="dxa"/>
            <w:vAlign w:val="bottom"/>
          </w:tcPr>
          <w:p>
            <w:pPr>
              <w:spacing w:after="0"/>
              <w:rPr>
                <w:sz w:val="20"/>
                <w:szCs w:val="20"/>
                <w:color w:val="auto"/>
              </w:rPr>
            </w:pPr>
            <w:r>
              <w:rPr>
                <w:rFonts w:ascii="Arial" w:cs="Arial" w:eastAsia="Arial" w:hAnsi="Arial"/>
                <w:sz w:val="18"/>
                <w:szCs w:val="18"/>
                <w:color w:val="auto"/>
                <w:w w:val="91"/>
              </w:rPr>
              <w:t>Section 1350</w:t>
            </w: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7754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84" w:lineRule="exact"/>
        <w:rPr>
          <w:sz w:val="20"/>
          <w:szCs w:val="20"/>
          <w:color w:val="auto"/>
        </w:rPr>
      </w:pPr>
    </w:p>
    <w:p>
      <w:pPr>
        <w:ind w:left="900" w:hanging="352"/>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25" w:lineRule="exact"/>
        <w:rPr>
          <w:rFonts w:ascii="Arial" w:cs="Arial" w:eastAsia="Arial" w:hAnsi="Arial"/>
          <w:sz w:val="18"/>
          <w:szCs w:val="18"/>
          <w:color w:val="auto"/>
        </w:rPr>
      </w:pPr>
    </w:p>
    <w:p>
      <w:pPr>
        <w:ind w:left="900" w:hanging="352"/>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1000" w:hanging="34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left="980" w:right="40" w:hanging="324"/>
        <w:spacing w:after="0" w:line="264" w:lineRule="auto"/>
        <w:tabs>
          <w:tab w:leader="none" w:pos="993"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right="180" w:hanging="324"/>
        <w:spacing w:after="0" w:line="308" w:lineRule="auto"/>
        <w:tabs>
          <w:tab w:leader="none" w:pos="993"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40" w:hanging="324"/>
        <w:spacing w:after="0" w:line="264" w:lineRule="auto"/>
        <w:tabs>
          <w:tab w:leader="none" w:pos="99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81" w:lineRule="exact"/>
        <w:rPr>
          <w:rFonts w:ascii="Arial" w:cs="Arial" w:eastAsia="Arial" w:hAnsi="Arial"/>
          <w:sz w:val="18"/>
          <w:szCs w:val="18"/>
          <w:color w:val="auto"/>
        </w:rPr>
      </w:pPr>
    </w:p>
    <w:p>
      <w:pPr>
        <w:ind w:left="1300" w:right="120" w:hanging="320"/>
        <w:spacing w:after="0" w:line="264" w:lineRule="auto"/>
        <w:tabs>
          <w:tab w:leader="none" w:pos="130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00" w:hanging="320"/>
        <w:spacing w:after="0" w:line="264" w:lineRule="auto"/>
        <w:tabs>
          <w:tab w:leader="none" w:pos="130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5"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980" w:right="100" w:hanging="324"/>
        <w:spacing w:after="0" w:line="342" w:lineRule="auto"/>
        <w:tabs>
          <w:tab w:leader="none" w:pos="99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680"/>
        <w:spacing w:after="0" w:line="342" w:lineRule="auto"/>
        <w:tabs>
          <w:tab w:leader="none" w:pos="1311"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360"/>
        <w:spacing w:after="0" w:line="277" w:lineRule="auto"/>
        <w:tabs>
          <w:tab w:leader="none" w:pos="132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2005</w:t>
      </w:r>
    </w:p>
    <w:p>
      <w:pPr>
        <w:spacing w:after="0" w:line="225"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John R. Hawkins</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-130810</wp:posOffset>
            </wp:positionV>
            <wp:extent cx="24784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1000" w:hanging="344"/>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left="980" w:right="40" w:hanging="324"/>
        <w:spacing w:after="0" w:line="264" w:lineRule="auto"/>
        <w:tabs>
          <w:tab w:leader="none" w:pos="9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right="180" w:hanging="324"/>
        <w:spacing w:after="0" w:line="308" w:lineRule="auto"/>
        <w:tabs>
          <w:tab w:leader="none" w:pos="993"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40" w:hanging="324"/>
        <w:spacing w:after="0" w:line="264" w:lineRule="auto"/>
        <w:tabs>
          <w:tab w:leader="none" w:pos="9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81" w:lineRule="exact"/>
        <w:rPr>
          <w:rFonts w:ascii="Arial" w:cs="Arial" w:eastAsia="Arial" w:hAnsi="Arial"/>
          <w:sz w:val="18"/>
          <w:szCs w:val="18"/>
          <w:color w:val="auto"/>
        </w:rPr>
      </w:pPr>
    </w:p>
    <w:p>
      <w:pPr>
        <w:ind w:left="1300" w:right="120" w:hanging="320"/>
        <w:spacing w:after="0" w:line="264"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00" w:hanging="320"/>
        <w:spacing w:after="0" w:line="264" w:lineRule="auto"/>
        <w:tabs>
          <w:tab w:leader="none" w:pos="13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980" w:right="100" w:hanging="324"/>
        <w:spacing w:after="0" w:line="342" w:lineRule="auto"/>
        <w:tabs>
          <w:tab w:leader="none" w:pos="99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680"/>
        <w:spacing w:after="0" w:line="342" w:lineRule="auto"/>
        <w:tabs>
          <w:tab w:leader="none" w:pos="1309"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360"/>
        <w:spacing w:after="0" w:line="277"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2005</w:t>
      </w:r>
    </w:p>
    <w:p>
      <w:pPr>
        <w:spacing w:after="0" w:line="22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Marvin E. Dee</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-130810</wp:posOffset>
            </wp:positionV>
            <wp:extent cx="2349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2005 as filed with the Securities and Exchange Commission on the date hereof (the “Report”), I, John R. Hawkins, Chief Executive Officer of the Company, certify, pursuant to 18 U.S.C. § 1350, as adopted pursuant to §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2005 as filed with the Securities and Exchange Commission on the date hereof (the “Report”), I, Marvin E. Dee, Chief Financial Officer of the Company, certify, pursuant to 18 U.S.C. § 1350, as adopted pursuant to §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6"/>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2019-12-12T09:42:31Z</dcterms:created>
  <dcterms:modified xsi:type="dcterms:W3CDTF">2019-12-12T09:42:31Z</dcterms:modified>
</cp:coreProperties>
</file>