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February 3, 2016</w:t>
      </w:r>
    </w:p>
    <w:p>
      <w:pPr>
        <w:spacing w:after="0" w:line="200" w:lineRule="exact"/>
        <w:rPr>
          <w:sz w:val="24"/>
          <w:szCs w:val="24"/>
          <w:color w:val="auto"/>
        </w:rPr>
      </w:pPr>
    </w:p>
    <w:p>
      <w:pPr>
        <w:spacing w:after="0" w:line="366"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February 3, 2016, Hawkins, Inc. issued a press release announcing financial results for its fiscal 2016 third quarter ended December 27, 2015.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20" w:firstLine="878"/>
        <w:spacing w:after="0" w:line="277" w:lineRule="auto"/>
        <w:rPr>
          <w:sz w:val="20"/>
          <w:szCs w:val="20"/>
          <w:color w:val="auto"/>
        </w:rPr>
      </w:pPr>
      <w:r>
        <w:rPr>
          <w:rFonts w:ascii="Arial" w:cs="Arial" w:eastAsia="Arial" w:hAnsi="Arial"/>
          <w:sz w:val="18"/>
          <w:szCs w:val="18"/>
          <w:color w:val="auto"/>
        </w:rPr>
        <w:t>Exhibit 99.1—Press Release, dated February 3, 2016, announcing financial results of Hawkins, Inc. for its fiscal 2016 third quarter ended December 27, 2015.</w:t>
      </w:r>
    </w:p>
    <w:p>
      <w:pPr>
        <w:sectPr>
          <w:pgSz w:w="11900" w:h="16838" w:orient="portrait"/>
          <w:cols w:equalWidth="0" w:num="1">
            <w:col w:w="11100"/>
          </w:cols>
          <w:pgMar w:left="240" w:top="580" w:right="5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February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Press Release, dated February 3, 2016,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2016 third quarter ended December 27, 2015.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8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February 3,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FISCAL 2016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Minneapolis, MN, February 3, 2016 – Hawkins, Inc. (Nasdaq: HWKN) today announced third quarter results for fiscal 2016. Sales of $88.4 million for the three months ended December 27, 2015 represented an increase of 5.4% from $83.8 million for the same period of the prior year. Adjusted net income for the third quarter of fiscal 2016 was $3.0 million, or $0.28 per diluted share, compared to net income of $3.1 million, or $0.30 per diluted share, for the third quarter of the previous year. Adjusted net income for the third quarter of fiscal 2016 excludes pre-tax expenses of $2.7 million (approximately $2.1 million after tax, or $0.20 per diluted share) related to our acquisition of Stauber Performance Ingredients (“Stauber”) during the third quarter of fiscal 2016. Including the after-tax impact of the acquisition-related expenses, GAAP net income was $0.8 million, or $0.08 per diluted share, compared to net income of $3.1 million, or $0.30 per diluted share for the same period in fiscal 2015.</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nine months ended December 27, 2015 Hawkins reported sales of $284.5 million as compared to $270.7 million for the same period of the prior year. Adjusted net income for the first nine months of fiscal 2016 was $15.4 million, or $1.46 per diluted share, compared to $15.3 million, or $1.44 per diluted share for the first nine months of fiscal 2015. Adjusted net income for the first nine months of fiscal 2016 excludes pre-tax expenses of $2.7 million (approximately $2.1 million after tax, or $0.20 per diluted share) related to our acquisition of Stauber. Including the after tax impact of the acquisition-related expenses, GAAP net income was $13.3 million, or $1.25 per diluted share for the first nine months of fiscal 2016, compared to $15.3 million, or $1.44 per diluted share for the same period in fiscal 2015.</w:t>
      </w:r>
    </w:p>
    <w:p>
      <w:pPr>
        <w:spacing w:after="0" w:line="19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we reported in early January, we are extremely pleased to have closed on the Stauber acquisition,” said Patrick Hawkins, Chief Executive Officer and President. “My enthusiasm for the Stauber business and its potential as part of Hawkins has continued to grow as we have had the opportunity to work more closely with the Stauber team. I believe our organizations fit together very well as we are both laser-focused on customer service and high quality products. As can be expected with a transaction of this magnitude, we incurred a large amount of expenses this past quarter to get the deal done, but because of the timing of the closing, we had no additional revenues or margin from the Stauber business in the quarter. The Stauber results are reported in our new Health and Nutrition segment. As previously stated, we expect the acquisition to be accretive to earnings in the first year post-transaction.”</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reporting higher gross profits this quarter compared to last year in both our existing Water Treatment and Industrial segments, but higher SG&amp;A costs drove operating income lower,” Mr. Hawkins continued. “As we have stated for the last few quarters, we have been proactively adding sales and support resources in both segments and are expecting these investments to drive bottom-line growth in the near to mid-term as these new resources become fully integrated. Our Industrial and Water Treatment segments continue to be negatively impacted by lower product volumes sold into the oil and gas industry. In addition, we are seeing lower selling prices from lower product costs on our larger bulk commodity products, which mostly impact our Industrial segment.”</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third quarter of fiscal 2016, Industrial segment sales were $59.3 million, an increase of $1.5 million from the same period of the prior year. The growth in sales was driven by increased sales volumes, particularly sales of our products that carry higher per-unit selling prices, partially offset by lower selling prices resulting from lower product costs on certain high volume bulk products. Water Treatment segment sales were $29.0 million for the most recent quarter, an increase of $3.0 million, or 11.7%, from the same period of the prior year. Sales at our acquired locations increased by $2.7 million compared to the prior year. The majority of these locations were acquired during the third quarter of fiscal 2015 with additional business acquired late in the second quarter of fiscal 2016. Also contributing to the year-over-year increase was a moderate increase in overall sales volumes at our other existing locations.</w:t>
      </w:r>
    </w:p>
    <w:p>
      <w:pPr>
        <w:sectPr>
          <w:pgSz w:w="11900" w:h="16838" w:orient="portrait"/>
          <w:cols w:equalWidth="0" w:num="1">
            <w:col w:w="11420"/>
          </w:cols>
          <w:pgMar w:left="240" w:top="746" w:right="239" w:bottom="1440" w:gutter="0" w:footer="0" w:header="0"/>
          <w:type w:val="continuous"/>
        </w:sectPr>
      </w:pPr>
    </w:p>
    <w:bookmarkStart w:id="5" w:name="page6"/>
    <w:bookmarkEnd w:id="5"/>
    <w:p>
      <w:pPr>
        <w:ind w:right="160"/>
        <w:spacing w:after="0" w:line="264" w:lineRule="auto"/>
        <w:rPr>
          <w:sz w:val="20"/>
          <w:szCs w:val="20"/>
          <w:color w:val="auto"/>
        </w:rPr>
      </w:pPr>
      <w:r>
        <w:rPr>
          <w:rFonts w:ascii="Arial" w:cs="Arial" w:eastAsia="Arial" w:hAnsi="Arial"/>
          <w:sz w:val="18"/>
          <w:szCs w:val="18"/>
          <w:color w:val="auto"/>
        </w:rPr>
        <w:t>Company-wide gross profit for the third quarter of fiscal 2016 was $14.7 million, or 16.6% of sales, an increase of 7.8% from $13.6 million, or 16.3% of sales, for the same period of the prior year. The LIFO method of valuing inventory had a nominal impact on gross profit for the quarter, and decreased gross profit by $0.3 million for the same period of the prior year.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for the Industrial segment was $7.5 million, or 12.6% of sales, for the quarter, compared to $7.0 million, or 12.1% of sales, for the same period of the prior year. The increase in gross profit dollars was driven by an increase in sales volumes year over year, particularly sales of certain products that generate higher per-unit margins. The LIFO method of valuing inventory had a nominal impact on gross profit in the third quarter of the current year but decreased gross profit by $0.3 million in the prior year.</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profit for the Water Treatment segment was $7.2 million, or 24.9% of sales, for the quarter, compared to $6.6 million, or 25.5% of sales, for the same period of the prior year. The increase in gross profit dollars was primarily driven by profits from our acquired locations. In addition, product margins at many of our other locations increased year over year on increased volumes, offset somewhat by increased operating expenses. The LIFO method of valuing inventory had a nominal impact on gross profit in the third quarter of the current year and prior year.</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Company-wide selling, general and administrative expenses were $12.8 million for the quarter, compared to $8.7 million for the same period of the prior year. We incurred $2.7 million of expenses in connection with the Stauber acquisition, which are included in our new Health and Nutrition segment. In our Water Treatment segment, the $0.7 million expense increase was driven by our acquired locations, largely due to the added costs as a result of the Davis acquisition late in the second quarter of fiscal 2016, as well as increased expenses related to additional sales personnel in our other locations. Expenses also increased by $0.7 million in our Industrial segment driven by the addition of sales personnel and other increased wages and benefits costs.</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borrowed $131.0 million to partially fund the acquisition of Stauber in the third quarter of fiscal 2016. As a result, adjusted EBITDA, a non-GAAP financial measure, has become an important performance indicator and a key compliance measure under the terms of our new Credit Agreement. An explanation of the computation of adjusted EBITDA is presented below. Adjusted EBITDA for the three months ended December 27, 2015 was $8.5 million compared to $8.6 million for the same period in the prior year, due to lower operating income from our Industrial and Water Treatment segments. Due to the timing of the Stauber acquisition, no operating activity is included in our third quarter or year-to-date adjusted EBITDA for our new Health and Nutrition segment. Our results will include this segment starting with the fourth quarter of fiscal 2016.</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income tax rate of 56.1% during the during the third quarter of fiscal 2016 was significantly impacted by approximately $0.5 million of tax expense associated with $1.3 million of Stauber acquisition-related expenditures which are not deductible for tax purposes and were recorded as discrete items during the three months ended December 27, 2015, partially offset by an approximately $0.2 million tax benefit related to other state tax related discrete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net income, adjusted diluted earnings per share and adjusted EBITDA.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Management uses each of these non-GAAP financial measures internally to understand, manage and evaluate our business and to make operating decisions.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these non-GAAP financial measures reflect an additional way of viewing aspects of our operations that, when viewed with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ectPr>
          <w:pgSz w:w="11900" w:h="16838" w:orient="portrait"/>
          <w:cols w:equalWidth="0" w:num="1">
            <w:col w:w="11400"/>
          </w:cols>
          <w:pgMar w:left="240" w:top="1017" w:right="259" w:bottom="1440" w:gutter="0" w:footer="0" w:header="0"/>
        </w:sectPr>
      </w:pPr>
    </w:p>
    <w:bookmarkStart w:id="6" w:name="page7"/>
    <w:bookmarkEnd w:id="6"/>
    <w:p>
      <w:pPr>
        <w:jc w:val="both"/>
        <w:ind w:right="18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Three months ended December 27, 2015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5"/>
          </w:tcPr>
          <w:p>
            <w:pPr>
              <w:jc w:val="right"/>
              <w:ind w:right="550"/>
              <w:spacing w:after="0"/>
              <w:rPr>
                <w:sz w:val="20"/>
                <w:szCs w:val="20"/>
                <w:color w:val="auto"/>
              </w:rPr>
            </w:pPr>
            <w:r>
              <w:rPr>
                <w:rFonts w:ascii="Arial" w:cs="Arial" w:eastAsia="Arial" w:hAnsi="Arial"/>
                <w:sz w:val="16"/>
                <w:szCs w:val="16"/>
                <w:b w:val="1"/>
                <w:bCs w:val="1"/>
                <w:color w:val="auto"/>
              </w:rPr>
              <w:t>Three months ended December 28, 2014</w:t>
            </w:r>
          </w:p>
        </w:tc>
      </w:tr>
      <w:tr>
        <w:trPr>
          <w:trHeight w:val="258"/>
        </w:trPr>
        <w:tc>
          <w:tcPr>
            <w:tcW w:w="2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w:t>
            </w:r>
          </w:p>
        </w:tc>
      </w:tr>
      <w:tr>
        <w:trPr>
          <w:trHeight w:val="234"/>
        </w:trPr>
        <w:tc>
          <w:tcPr>
            <w:tcW w:w="2940" w:type="dxa"/>
            <w:vAlign w:val="bottom"/>
          </w:tcPr>
          <w:p>
            <w:pPr>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Net Income</w:t>
            </w:r>
          </w:p>
        </w:tc>
        <w:tc>
          <w:tcPr>
            <w:tcW w:w="16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(1)</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w:t>
            </w:r>
          </w:p>
        </w:tc>
      </w:tr>
      <w:tr>
        <w:trPr>
          <w:trHeight w:val="27"/>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As Reported (GAAP)</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815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4,960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56"/>
        </w:trPr>
        <w:tc>
          <w:tcPr>
            <w:tcW w:w="2940" w:type="dxa"/>
            <w:vAlign w:val="bottom"/>
          </w:tcPr>
          <w:p>
            <w:pPr>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2,690</w:t>
            </w:r>
          </w:p>
        </w:tc>
        <w:tc>
          <w:tcPr>
            <w:tcW w:w="26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2,145</w:t>
            </w:r>
          </w:p>
        </w:tc>
        <w:tc>
          <w:tcPr>
            <w:tcW w:w="1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As Adjusted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4,547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2,960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4,960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8890</wp:posOffset>
            </wp:positionV>
            <wp:extent cx="5360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10,528,126 shares used in calculating diluted earnings per share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10,614,740 shares used in calculating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-276860</wp:posOffset>
            </wp:positionV>
            <wp:extent cx="5360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6"/>
          </w:tcPr>
          <w:p>
            <w:pPr>
              <w:ind w:left="600"/>
              <w:spacing w:after="0"/>
              <w:rPr>
                <w:sz w:val="20"/>
                <w:szCs w:val="20"/>
                <w:color w:val="auto"/>
              </w:rPr>
            </w:pPr>
            <w:r>
              <w:rPr>
                <w:rFonts w:ascii="Arial" w:cs="Arial" w:eastAsia="Arial" w:hAnsi="Arial"/>
                <w:sz w:val="16"/>
                <w:szCs w:val="16"/>
                <w:b w:val="1"/>
                <w:bCs w:val="1"/>
                <w:color w:val="auto"/>
              </w:rPr>
              <w:t>Nine months ended December 27, 2015</w:t>
            </w:r>
          </w:p>
        </w:tc>
        <w:tc>
          <w:tcPr>
            <w:tcW w:w="140" w:type="dxa"/>
            <w:vAlign w:val="bottom"/>
          </w:tcPr>
          <w:p>
            <w:pPr>
              <w:spacing w:after="0"/>
              <w:rPr>
                <w:sz w:val="18"/>
                <w:szCs w:val="18"/>
                <w:color w:val="auto"/>
              </w:rPr>
            </w:pPr>
          </w:p>
        </w:tc>
        <w:tc>
          <w:tcPr>
            <w:tcW w:w="3960" w:type="dxa"/>
            <w:vAlign w:val="bottom"/>
            <w:gridSpan w:val="5"/>
          </w:tcPr>
          <w:p>
            <w:pPr>
              <w:jc w:val="right"/>
              <w:ind w:right="610"/>
              <w:spacing w:after="0"/>
              <w:rPr>
                <w:sz w:val="20"/>
                <w:szCs w:val="20"/>
                <w:color w:val="auto"/>
              </w:rPr>
            </w:pPr>
            <w:r>
              <w:rPr>
                <w:rFonts w:ascii="Arial" w:cs="Arial" w:eastAsia="Arial" w:hAnsi="Arial"/>
                <w:sz w:val="16"/>
                <w:szCs w:val="16"/>
                <w:b w:val="1"/>
                <w:bCs w:val="1"/>
                <w:color w:val="auto"/>
              </w:rPr>
              <w:t>Nine months ended December 28, 2014</w:t>
            </w:r>
          </w:p>
        </w:tc>
      </w:tr>
      <w:tr>
        <w:trPr>
          <w:trHeight w:val="258"/>
        </w:trPr>
        <w:tc>
          <w:tcPr>
            <w:tcW w:w="2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34"/>
        </w:trPr>
        <w:tc>
          <w:tcPr>
            <w:tcW w:w="2940" w:type="dxa"/>
            <w:vAlign w:val="bottom"/>
          </w:tcPr>
          <w:p>
            <w:pPr>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(3)</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 (4)</w:t>
            </w:r>
          </w:p>
        </w:tc>
      </w:tr>
      <w:tr>
        <w:trPr>
          <w:trHeight w:val="27"/>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As Reported (GAAP)</w:t>
            </w:r>
          </w:p>
        </w:tc>
        <w:tc>
          <w:tcPr>
            <w:tcW w:w="14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22,215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13,284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24,428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15,314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56"/>
        </w:trPr>
        <w:tc>
          <w:tcPr>
            <w:tcW w:w="2940" w:type="dxa"/>
            <w:vAlign w:val="bottom"/>
          </w:tcPr>
          <w:p>
            <w:pPr>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2,690</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2,145</w:t>
            </w: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As 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24,905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15,429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24,428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15,314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8890</wp:posOffset>
            </wp:positionV>
            <wp:extent cx="5360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10,591,543 shares used in calculating diluted earnings per share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10,623,148 shares used in calculating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-276860</wp:posOffset>
            </wp:positionV>
            <wp:extent cx="5360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Pr>
          <w:p>
            <w:pPr>
              <w:spacing w:after="0"/>
              <w:rPr>
                <w:sz w:val="20"/>
                <w:szCs w:val="20"/>
                <w:color w:val="auto"/>
              </w:rPr>
            </w:pPr>
          </w:p>
        </w:tc>
        <w:tc>
          <w:tcPr>
            <w:tcW w:w="27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2"/>
        </w:trPr>
        <w:tc>
          <w:tcPr>
            <w:tcW w:w="5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28,</w:t>
            </w:r>
          </w:p>
        </w:tc>
        <w:tc>
          <w:tcPr>
            <w:tcW w:w="18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28,</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Arial" w:cs="Arial" w:eastAsia="Arial" w:hAnsi="Arial"/>
                <w:sz w:val="18"/>
                <w:szCs w:val="18"/>
                <w:color w:val="auto"/>
              </w:rPr>
              <w:t>(In thousands)</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27,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Net Income (GAAP)</w:t>
            </w: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Interest (income) expense, net</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Non-recurring costs, Stauber acquisition</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36,671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7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March 29, 2015,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400"/>
          </w:cols>
          <w:pgMar w:left="240" w:top="949"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2016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2016</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2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w w:val="96"/>
              </w:rPr>
              <w:t>December 28,</w:t>
            </w:r>
          </w:p>
        </w:tc>
        <w:tc>
          <w:tcPr>
            <w:tcW w:w="24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28,</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83,825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(70,183)</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(220,482)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13,642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50,260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(8,697)</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(25,843)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4,945</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4,960</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(1,814)</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10,478,266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10,564,990</w:t>
            </w:r>
          </w:p>
        </w:tc>
        <w:tc>
          <w:tcPr>
            <w:tcW w:w="24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10,534,933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10,564,401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10,528,126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10,614,740</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10,591,543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10,623,148</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0.38</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2019-12-05T06:48:32Z</dcterms:created>
  <dcterms:modified xsi:type="dcterms:W3CDTF">2019-12-05T06:48:32Z</dcterms:modified>
</cp:coreProperties>
</file>