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3"/>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ind w:left="2643"/>
        <w:spacing w:after="0"/>
        <w:tabs>
          <w:tab w:leader="none" w:pos="4323" w:val="left"/>
        </w:tabs>
        <w:rPr>
          <w:sz w:val="20"/>
          <w:szCs w:val="20"/>
          <w:color w:val="auto"/>
        </w:rPr>
      </w:pPr>
      <w:r>
        <w:rPr>
          <w:rFonts w:ascii="Courier New" w:cs="Courier New" w:eastAsia="Courier New" w:hAnsi="Courier New"/>
          <w:sz w:val="16"/>
          <w:szCs w:val="16"/>
          <w:color w:val="auto"/>
        </w:rPr>
        <w:t>WASHINGTON, D.C.</w:t>
        <w:tab/>
        <w:t>20549</w:t>
      </w:r>
    </w:p>
    <w:p>
      <w:pPr>
        <w:spacing w:after="0" w:line="183" w:lineRule="exact"/>
        <w:rPr>
          <w:sz w:val="24"/>
          <w:szCs w:val="24"/>
          <w:color w:val="auto"/>
        </w:rPr>
      </w:pPr>
    </w:p>
    <w:p>
      <w:pPr>
        <w:ind w:left="2263"/>
        <w:spacing w:after="0"/>
        <w:rPr>
          <w:sz w:val="20"/>
          <w:szCs w:val="20"/>
          <w:color w:val="auto"/>
        </w:rPr>
      </w:pPr>
      <w:r>
        <w:rPr>
          <w:rFonts w:ascii="Courier New" w:cs="Courier New" w:eastAsia="Courier New" w:hAnsi="Courier New"/>
          <w:sz w:val="16"/>
          <w:szCs w:val="16"/>
          <w:color w:val="auto"/>
        </w:rPr>
        <w:t>______________________________</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SCHEDULE 14A INFORMATION</w:t>
      </w:r>
    </w:p>
    <w:p>
      <w:pPr>
        <w:spacing w:after="0" w:line="186" w:lineRule="exact"/>
        <w:rPr>
          <w:sz w:val="24"/>
          <w:szCs w:val="24"/>
          <w:color w:val="auto"/>
        </w:rPr>
      </w:pPr>
    </w:p>
    <w:p>
      <w:pPr>
        <w:ind w:left="1703"/>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8" w:lineRule="exact"/>
        <w:rPr>
          <w:sz w:val="24"/>
          <w:szCs w:val="24"/>
          <w:color w:val="auto"/>
        </w:rPr>
      </w:pPr>
    </w:p>
    <w:p>
      <w:pPr>
        <w:ind w:left="2183"/>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 w:lineRule="exact"/>
        <w:rPr>
          <w:sz w:val="24"/>
          <w:szCs w:val="24"/>
          <w:color w:val="auto"/>
        </w:rPr>
      </w:pPr>
    </w:p>
    <w:p>
      <w:pPr>
        <w:ind w:left="2923"/>
        <w:spacing w:after="0"/>
        <w:tabs>
          <w:tab w:leader="none" w:pos="4623" w:val="left"/>
        </w:tabs>
        <w:rPr>
          <w:sz w:val="20"/>
          <w:szCs w:val="20"/>
          <w:color w:val="auto"/>
        </w:rPr>
      </w:pPr>
      <w:r>
        <w:rPr>
          <w:rFonts w:ascii="Courier New" w:cs="Courier New" w:eastAsia="Courier New" w:hAnsi="Courier New"/>
          <w:sz w:val="16"/>
          <w:szCs w:val="16"/>
          <w:color w:val="auto"/>
        </w:rPr>
        <w:t>(AMENDMENT NO.</w:t>
      </w:r>
      <w:r>
        <w:rPr>
          <w:sz w:val="20"/>
          <w:szCs w:val="20"/>
          <w:color w:val="auto"/>
        </w:rPr>
        <w:tab/>
      </w:r>
      <w:r>
        <w:rPr>
          <w:rFonts w:ascii="Courier New" w:cs="Courier New" w:eastAsia="Courier New" w:hAnsi="Courier New"/>
          <w:sz w:val="12"/>
          <w:szCs w:val="12"/>
          <w:color w:val="auto"/>
        </w:rPr>
        <w:t>)</w:t>
      </w:r>
    </w:p>
    <w:p>
      <w:pPr>
        <w:sectPr>
          <w:pgSz w:w="11900" w:h="16838" w:orient="portrait"/>
          <w:cols w:equalWidth="0" w:num="1">
            <w:col w:w="10222"/>
          </w:cols>
          <w:pgMar w:left="237" w:top="598" w:right="1440" w:bottom="1440" w:gutter="0" w:footer="0" w:header="0"/>
        </w:sectPr>
      </w:pPr>
    </w:p>
    <w:p>
      <w:pPr>
        <w:spacing w:after="0" w:line="364" w:lineRule="exact"/>
        <w:rPr>
          <w:sz w:val="24"/>
          <w:szCs w:val="24"/>
          <w:color w:val="auto"/>
        </w:rPr>
      </w:pPr>
    </w:p>
    <w:p>
      <w:pPr>
        <w:ind w:left="383"/>
        <w:spacing w:after="0"/>
        <w:rPr>
          <w:sz w:val="20"/>
          <w:szCs w:val="20"/>
          <w:color w:val="auto"/>
        </w:rPr>
      </w:pPr>
      <w:r>
        <w:rPr>
          <w:rFonts w:ascii="Courier New" w:cs="Courier New" w:eastAsia="Courier New" w:hAnsi="Courier New"/>
          <w:sz w:val="16"/>
          <w:szCs w:val="16"/>
          <w:color w:val="auto"/>
        </w:rPr>
        <w:t>Filed by the Registrant</w:t>
      </w:r>
    </w:p>
    <w:p>
      <w:pPr>
        <w:spacing w:after="0" w:line="5" w:lineRule="exact"/>
        <w:rPr>
          <w:sz w:val="24"/>
          <w:szCs w:val="24"/>
          <w:color w:val="auto"/>
        </w:rPr>
      </w:pPr>
    </w:p>
    <w:p>
      <w:pPr>
        <w:ind w:left="383"/>
        <w:spacing w:after="0"/>
        <w:rPr>
          <w:sz w:val="20"/>
          <w:szCs w:val="20"/>
          <w:color w:val="auto"/>
        </w:rPr>
      </w:pPr>
      <w:r>
        <w:rPr>
          <w:rFonts w:ascii="Courier New" w:cs="Courier New" w:eastAsia="Courier New" w:hAnsi="Courier New"/>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4"/>
          <w:szCs w:val="24"/>
          <w:color w:val="auto"/>
        </w:rPr>
      </w:pPr>
    </w:p>
    <w:p>
      <w:pPr>
        <w:sectPr>
          <w:pgSz w:w="11900" w:h="16838" w:orient="portrait"/>
          <w:cols w:equalWidth="0" w:num="2">
            <w:col w:w="4343" w:space="380"/>
            <w:col w:w="5499"/>
          </w:cols>
          <w:pgMar w:left="237" w:top="598" w:right="1440" w:bottom="1440" w:gutter="0" w:footer="0" w:header="0"/>
          <w:type w:val="continuous"/>
        </w:sectPr>
      </w:pPr>
    </w:p>
    <w:p>
      <w:pPr>
        <w:ind w:left="3"/>
        <w:spacing w:after="0"/>
        <w:rPr>
          <w:sz w:val="20"/>
          <w:szCs w:val="20"/>
          <w:color w:val="auto"/>
        </w:rPr>
      </w:pPr>
      <w:r>
        <w:rPr>
          <w:rFonts w:ascii="Courier New" w:cs="Courier New" w:eastAsia="Courier New" w:hAnsi="Courier New"/>
          <w:sz w:val="16"/>
          <w:szCs w:val="16"/>
          <w:color w:val="auto"/>
        </w:rPr>
        <w:t>Check the appropriate box:</w:t>
      </w:r>
    </w:p>
    <w:p>
      <w:pPr>
        <w:spacing w:after="0" w:line="183" w:lineRule="exact"/>
        <w:rPr>
          <w:sz w:val="24"/>
          <w:szCs w:val="24"/>
          <w:color w:val="auto"/>
        </w:rPr>
      </w:pPr>
    </w:p>
    <w:p>
      <w:pPr>
        <w:ind w:left="383"/>
        <w:spacing w:after="0"/>
        <w:rPr>
          <w:sz w:val="20"/>
          <w:szCs w:val="20"/>
          <w:color w:val="auto"/>
        </w:rPr>
      </w:pPr>
      <w:r>
        <w:rPr>
          <w:rFonts w:ascii="Courier New" w:cs="Courier New" w:eastAsia="Courier New" w:hAnsi="Courier New"/>
          <w:sz w:val="16"/>
          <w:szCs w:val="16"/>
          <w:color w:val="auto"/>
        </w:rPr>
        <w:t>Check the appropriate box:</w:t>
      </w:r>
    </w:p>
    <w:p>
      <w:pPr>
        <w:spacing w:after="0" w:line="1" w:lineRule="exact"/>
        <w:rPr>
          <w:sz w:val="24"/>
          <w:szCs w:val="24"/>
          <w:color w:val="auto"/>
        </w:rPr>
      </w:pPr>
    </w:p>
    <w:p>
      <w:pPr>
        <w:ind w:left="383"/>
        <w:spacing w:after="0"/>
        <w:tabs>
          <w:tab w:leader="none" w:pos="823" w:val="left"/>
        </w:tabs>
        <w:rPr>
          <w:sz w:val="20"/>
          <w:szCs w:val="20"/>
          <w:color w:val="auto"/>
        </w:rPr>
      </w:pPr>
      <w:r>
        <w:rPr>
          <w:rFonts w:ascii="Courier New" w:cs="Courier New" w:eastAsia="Courier New" w:hAnsi="Courier New"/>
          <w:sz w:val="16"/>
          <w:szCs w:val="16"/>
          <w:color w:val="auto"/>
        </w:rPr>
        <w:t>/X/</w:t>
        <w:tab/>
        <w:t>Preliminary Proxy Statement</w:t>
      </w:r>
    </w:p>
    <w:p>
      <w:pPr>
        <w:spacing w:after="0" w:line="5" w:lineRule="exact"/>
        <w:rPr>
          <w:sz w:val="24"/>
          <w:szCs w:val="24"/>
          <w:color w:val="auto"/>
        </w:rPr>
      </w:pPr>
    </w:p>
    <w:p>
      <w:pPr>
        <w:ind w:left="843" w:right="3119" w:hanging="465"/>
        <w:spacing w:after="0" w:line="237" w:lineRule="auto"/>
        <w:tabs>
          <w:tab w:leader="none" w:pos="55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1" w:lineRule="exact"/>
        <w:rPr>
          <w:rFonts w:ascii="Courier New" w:cs="Courier New" w:eastAsia="Courier New" w:hAnsi="Courier New"/>
          <w:sz w:val="16"/>
          <w:szCs w:val="16"/>
          <w:color w:val="auto"/>
        </w:rPr>
      </w:pPr>
    </w:p>
    <w:p>
      <w:pPr>
        <w:ind w:left="563" w:hanging="185"/>
        <w:spacing w:after="0"/>
        <w:tabs>
          <w:tab w:leader="none" w:pos="5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Proxy Statement</w:t>
      </w:r>
    </w:p>
    <w:p>
      <w:pPr>
        <w:ind w:left="563" w:hanging="185"/>
        <w:spacing w:after="0"/>
        <w:tabs>
          <w:tab w:leader="none" w:pos="5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ind w:left="563" w:hanging="185"/>
        <w:spacing w:after="0"/>
        <w:tabs>
          <w:tab w:leader="none" w:pos="5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Section 240.14a-11(c) or Section</w:t>
      </w:r>
    </w:p>
    <w:p>
      <w:pPr>
        <w:spacing w:after="0" w:line="1"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240.14a-12</w:t>
      </w:r>
    </w:p>
    <w:p>
      <w:pPr>
        <w:spacing w:after="0" w:line="1"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HAWKINS CHEMICAL, INC</w:t>
      </w:r>
    </w:p>
    <w:p>
      <w:pPr>
        <w:spacing w:after="0" w:line="5"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5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186"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3" w:lineRule="exact"/>
        <w:rPr>
          <w:sz w:val="24"/>
          <w:szCs w:val="24"/>
          <w:color w:val="auto"/>
        </w:rPr>
      </w:pPr>
    </w:p>
    <w:p>
      <w:pPr>
        <w:ind w:left="3"/>
        <w:spacing w:after="0"/>
        <w:tabs>
          <w:tab w:leader="none" w:pos="443"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No fee required</w:t>
      </w:r>
    </w:p>
    <w:p>
      <w:pPr>
        <w:spacing w:after="0" w:line="186" w:lineRule="exact"/>
        <w:rPr>
          <w:sz w:val="24"/>
          <w:szCs w:val="24"/>
          <w:color w:val="auto"/>
        </w:rPr>
      </w:pPr>
    </w:p>
    <w:p>
      <w:pPr>
        <w:ind w:left="463" w:right="3879" w:hanging="463"/>
        <w:spacing w:after="0" w:line="237" w:lineRule="auto"/>
        <w:tabs>
          <w:tab w:leader="none" w:pos="17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 and 0-11</w:t>
      </w:r>
    </w:p>
    <w:p>
      <w:pPr>
        <w:spacing w:after="0" w:line="183" w:lineRule="exact"/>
        <w:rPr>
          <w:rFonts w:ascii="Courier New" w:cs="Courier New" w:eastAsia="Courier New" w:hAnsi="Courier New"/>
          <w:sz w:val="16"/>
          <w:szCs w:val="16"/>
          <w:color w:val="auto"/>
        </w:rPr>
      </w:pPr>
    </w:p>
    <w:p>
      <w:pPr>
        <w:ind w:left="763" w:hanging="385"/>
        <w:spacing w:after="0"/>
        <w:tabs>
          <w:tab w:leader="none" w:pos="76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63" w:hanging="385"/>
        <w:spacing w:after="0"/>
        <w:tabs>
          <w:tab w:leader="none" w:pos="76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763" w:right="2939" w:hanging="385"/>
        <w:spacing w:after="0" w:line="238" w:lineRule="auto"/>
        <w:tabs>
          <w:tab w:leader="none" w:pos="76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4"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63" w:hanging="385"/>
        <w:spacing w:after="0"/>
        <w:tabs>
          <w:tab w:leader="none" w:pos="76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63" w:hanging="385"/>
        <w:spacing w:after="0"/>
        <w:tabs>
          <w:tab w:leader="none" w:pos="76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paid previously with preliminary materials.</w:t>
      </w:r>
    </w:p>
    <w:p>
      <w:pPr>
        <w:spacing w:after="0" w:line="186" w:lineRule="exact"/>
        <w:rPr>
          <w:rFonts w:ascii="Courier New" w:cs="Courier New" w:eastAsia="Courier New" w:hAnsi="Courier New"/>
          <w:sz w:val="16"/>
          <w:szCs w:val="16"/>
          <w:color w:val="auto"/>
        </w:rPr>
      </w:pPr>
    </w:p>
    <w:p>
      <w:pPr>
        <w:ind w:left="383" w:right="2759" w:hanging="383"/>
        <w:spacing w:after="0" w:line="239" w:lineRule="auto"/>
        <w:tabs>
          <w:tab w:leader="none" w:pos="19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3" w:lineRule="exact"/>
        <w:rPr>
          <w:rFonts w:ascii="Courier New" w:cs="Courier New" w:eastAsia="Courier New" w:hAnsi="Courier New"/>
          <w:sz w:val="16"/>
          <w:szCs w:val="16"/>
          <w:color w:val="auto"/>
        </w:rPr>
      </w:pPr>
    </w:p>
    <w:p>
      <w:pPr>
        <w:ind w:left="763" w:hanging="385"/>
        <w:spacing w:after="0"/>
        <w:tabs>
          <w:tab w:leader="none" w:pos="76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63" w:hanging="385"/>
        <w:spacing w:after="0"/>
        <w:tabs>
          <w:tab w:leader="none" w:pos="76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63" w:hanging="385"/>
        <w:spacing w:after="0"/>
        <w:tabs>
          <w:tab w:leader="none" w:pos="76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63" w:hanging="385"/>
        <w:spacing w:after="0"/>
        <w:tabs>
          <w:tab w:leader="none" w:pos="76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82" w:lineRule="exact"/>
        <w:rPr>
          <w:rFonts w:ascii="Courier New" w:cs="Courier New" w:eastAsia="Courier New" w:hAnsi="Courier New"/>
          <w:sz w:val="16"/>
          <w:szCs w:val="16"/>
          <w:color w:val="auto"/>
        </w:rPr>
      </w:pPr>
    </w:p>
    <w:p>
      <w:pPr>
        <w:ind w:left="7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598" w:right="1440" w:bottom="1440" w:gutter="0" w:footer="0" w:header="0"/>
          <w:type w:val="continuous"/>
        </w:sectPr>
      </w:pPr>
    </w:p>
    <w:bookmarkStart w:id="1" w:name="page2"/>
    <w:bookmarkEnd w:id="1"/>
    <w:p>
      <w:pPr>
        <w:jc w:val="right"/>
        <w:ind w:right="2659"/>
        <w:spacing w:after="0"/>
        <w:rPr>
          <w:sz w:val="20"/>
          <w:szCs w:val="20"/>
          <w:color w:val="auto"/>
        </w:rPr>
      </w:pPr>
      <w:r>
        <w:rPr>
          <w:rFonts w:ascii="Courier New" w:cs="Courier New" w:eastAsia="Courier New" w:hAnsi="Courier New"/>
          <w:sz w:val="16"/>
          <w:szCs w:val="16"/>
          <w:color w:val="auto"/>
        </w:rPr>
        <w:t>PRELIMINARY COPY</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[LOGO]</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HAWKINS CHEMICAL, INC.</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3100 EAST HENNEPIN AVENUE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MINNEAPOLIS, MINNESOTA 55413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TO BE HELD</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FEBRUARY 24, 1999</w:t>
      </w:r>
    </w:p>
    <w:p>
      <w:pPr>
        <w:spacing w:after="0" w:line="186"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The annual meeting of shareholders of Hawkins Chemical, Inc. (the "Company") will be held at Midland Hills Country Club, 2001 Fulham Street, St. Paul, Minnesota, on Wednesday, February 24, 1999, at 3:00 P.M., Central Standard Time, for the following purposes:</w:t>
      </w:r>
    </w:p>
    <w:p>
      <w:pPr>
        <w:spacing w:after="0" w:line="183" w:lineRule="exact"/>
        <w:rPr>
          <w:sz w:val="20"/>
          <w:szCs w:val="20"/>
          <w:color w:val="auto"/>
        </w:rPr>
      </w:pPr>
    </w:p>
    <w:p>
      <w:pPr>
        <w:ind w:left="760" w:hanging="385"/>
        <w:spacing w:after="0"/>
        <w:tabs>
          <w:tab w:leader="none" w:pos="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seven directors.</w:t>
      </w:r>
    </w:p>
    <w:p>
      <w:pPr>
        <w:spacing w:after="0" w:line="186" w:lineRule="exact"/>
        <w:rPr>
          <w:rFonts w:ascii="Courier New" w:cs="Courier New" w:eastAsia="Courier New" w:hAnsi="Courier New"/>
          <w:sz w:val="16"/>
          <w:szCs w:val="16"/>
          <w:color w:val="auto"/>
        </w:rPr>
      </w:pPr>
    </w:p>
    <w:p>
      <w:pPr>
        <w:ind w:left="760" w:right="2759" w:hanging="385"/>
        <w:spacing w:after="0" w:line="239" w:lineRule="auto"/>
        <w:tabs>
          <w:tab w:leader="none" w:pos="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proposal to amend the Company's Amended and Second Restated Articles of Incorporation to increase the number of the Company's authorized shares of common stock from 15,000,000 shares to 30,000,000 shares.</w:t>
      </w:r>
    </w:p>
    <w:p>
      <w:pPr>
        <w:spacing w:after="0" w:line="187" w:lineRule="exact"/>
        <w:rPr>
          <w:rFonts w:ascii="Courier New" w:cs="Courier New" w:eastAsia="Courier New" w:hAnsi="Courier New"/>
          <w:sz w:val="16"/>
          <w:szCs w:val="16"/>
          <w:color w:val="auto"/>
        </w:rPr>
      </w:pPr>
    </w:p>
    <w:p>
      <w:pPr>
        <w:ind w:left="760" w:right="2759" w:hanging="385"/>
        <w:spacing w:after="0" w:line="237" w:lineRule="auto"/>
        <w:tabs>
          <w:tab w:leader="none" w:pos="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thereof.</w:t>
      </w:r>
    </w:p>
    <w:p>
      <w:pPr>
        <w:spacing w:after="0" w:line="188"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The Board of Directors has fixed the close of business on January 19, 1999 as the record date for determining the shareholders entitled to vote at the annual meeting. Accordingly, only shareholders of record at the close of business on that date will be entitled to vote at the meeting. The Company's transfer books will not be closed.</w:t>
      </w:r>
    </w:p>
    <w:p>
      <w:pPr>
        <w:spacing w:after="0" w:line="185"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6"/>
          <w:szCs w:val="16"/>
          <w:color w:val="auto"/>
        </w:rPr>
        <w:t>Dated: January 22, 1999.</w:t>
      </w:r>
      <w:r>
        <w:rPr>
          <w:sz w:val="20"/>
          <w:szCs w:val="20"/>
          <w:color w:val="auto"/>
        </w:rPr>
        <w:tab/>
      </w:r>
      <w:r>
        <w:rPr>
          <w:rFonts w:ascii="Courier New" w:cs="Courier New" w:eastAsia="Courier New" w:hAnsi="Courier New"/>
          <w:sz w:val="15"/>
          <w:szCs w:val="15"/>
          <w:color w:val="auto"/>
        </w:rPr>
        <w:t>BY ORDER OF THE BOARD OF DIRECTORS</w:t>
      </w:r>
    </w:p>
    <w:p>
      <w:pPr>
        <w:spacing w:after="0" w:line="183"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JOHN R. HAWKINS, SECRETARY</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IMPORTANT: TO ASSURE THE NECESSARY REPRESENTATION AT THE ANNUAL MEETING, YOU ARE URGED TO SIGN AND RETURN THE ENCLOSED PROXY PROMPTLY TO SAVE THE COMPANY THE EXPENSE OF ADDITIONAL SOLICITATION. DOING SO WILL NOT PREVENT YOU FROM VOTING IN PERSON IF YOU SO DESIRE.</w:t>
      </w:r>
    </w:p>
    <w:p>
      <w:pPr>
        <w:sectPr>
          <w:pgSz w:w="11900" w:h="16838" w:orient="portrait"/>
          <w:cols w:equalWidth="0" w:num="1">
            <w:col w:w="10219"/>
          </w:cols>
          <w:pgMar w:left="240" w:top="477" w:right="1440" w:bottom="1440" w:gutter="0" w:footer="0" w:header="0"/>
        </w:sectPr>
      </w:pPr>
    </w:p>
    <w:bookmarkStart w:id="2" w:name="page3"/>
    <w:bookmarkEnd w:id="2"/>
    <w:p>
      <w:pPr>
        <w:jc w:val="right"/>
        <w:ind w:right="2659"/>
        <w:spacing w:after="0"/>
        <w:rPr>
          <w:sz w:val="20"/>
          <w:szCs w:val="20"/>
          <w:color w:val="auto"/>
        </w:rPr>
      </w:pPr>
      <w:r>
        <w:rPr>
          <w:rFonts w:ascii="Courier New" w:cs="Courier New" w:eastAsia="Courier New" w:hAnsi="Courier New"/>
          <w:sz w:val="16"/>
          <w:szCs w:val="16"/>
          <w:color w:val="auto"/>
        </w:rPr>
        <w:t>PRELIMINARY COPY</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PROXY STATEMENT</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HAWKINS CHEMICAL, INC.</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3100 EAST HENNEPIN AVENUE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MINNEAPOLIS, MINNESOTA 55413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JANUARY 22, 1999</w:t>
      </w:r>
    </w:p>
    <w:p>
      <w:pPr>
        <w:spacing w:after="0" w:line="186" w:lineRule="exact"/>
        <w:rPr>
          <w:sz w:val="20"/>
          <w:szCs w:val="20"/>
          <w:color w:val="auto"/>
        </w:rPr>
      </w:pPr>
    </w:p>
    <w:p>
      <w:pPr>
        <w:ind w:right="2759" w:firstLine="378"/>
        <w:spacing w:after="0" w:line="239" w:lineRule="auto"/>
        <w:rPr>
          <w:sz w:val="20"/>
          <w:szCs w:val="20"/>
          <w:color w:val="auto"/>
        </w:rPr>
      </w:pPr>
      <w:r>
        <w:rPr>
          <w:rFonts w:ascii="Courier New" w:cs="Courier New" w:eastAsia="Courier New" w:hAnsi="Courier New"/>
          <w:sz w:val="16"/>
          <w:szCs w:val="16"/>
          <w:color w:val="auto"/>
        </w:rPr>
        <w:t>The following statement is furnished in connection with the solicitation of proxies by the Board of Directors of Hawkins Chemical, Inc. (the "Company") to be voted at the annual meeting of shareholders of the Company to be held on Wednesday, February 24, 1999, or at any adjournment or adjournments of such meeting. Distribution of this proxy statement and proxy to the shareholders began on or about January 22, 1999.</w:t>
      </w:r>
    </w:p>
    <w:p>
      <w:pPr>
        <w:spacing w:after="0" w:line="18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SOLICITATION</w:t>
      </w:r>
    </w:p>
    <w:p>
      <w:pPr>
        <w:spacing w:after="0" w:line="186" w:lineRule="exact"/>
        <w:rPr>
          <w:sz w:val="20"/>
          <w:szCs w:val="20"/>
          <w:color w:val="auto"/>
        </w:rPr>
      </w:pPr>
    </w:p>
    <w:p>
      <w:pPr>
        <w:ind w:right="2759" w:firstLine="378"/>
        <w:spacing w:after="0" w:line="258" w:lineRule="auto"/>
        <w:rPr>
          <w:sz w:val="20"/>
          <w:szCs w:val="20"/>
          <w:color w:val="auto"/>
        </w:rPr>
      </w:pPr>
      <w:r>
        <w:rPr>
          <w:rFonts w:ascii="Courier New" w:cs="Courier New" w:eastAsia="Courier New" w:hAnsi="Courier New"/>
          <w:sz w:val="15"/>
          <w:szCs w:val="15"/>
          <w:color w:val="auto"/>
        </w:rPr>
        <w:t>The cost of soliciting proxies and of the notices of the meeting, including the preparation, assembly and mailing of proxies and this statement, will be borne by the Company. In addition to the use of the mails, proxies may be solicited personally or by telephone or telegraph by directors, officers and regular employees of the Company. Furthermore, arrangements may be made with brokers, banks and similar organizations to send proxies and proxy materials to beneficial owners for voting instructions. The Company will reimburse such organizations for their expenses.</w:t>
      </w:r>
    </w:p>
    <w:p>
      <w:pPr>
        <w:spacing w:after="0" w:line="172"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REVOCATION AND VOTING OF PROXY</w:t>
      </w:r>
    </w:p>
    <w:p>
      <w:pPr>
        <w:spacing w:after="0" w:line="186"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use at the meeting by (1) delivering a written notice expressly revoking the proxy to the Secretary at the Company's offices, (2) signing and forwarding to the Company at its offices a later dated proxy, or (3) attending the annual meeting and casting his or her votes personally.</w:t>
      </w:r>
    </w:p>
    <w:p>
      <w:pPr>
        <w:spacing w:after="0" w:line="187"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Unless otherwise directed in the accompanying proxy, the persons named therein will vote FOR the nominees for director as set forth in this Notice of Annual Meeting of Shareholders. As to any other business which may properly come before the meeting, they will vote in accordance with their best judgment. The Company does not presently know of any other business.</w:t>
      </w:r>
    </w:p>
    <w:p>
      <w:pPr>
        <w:spacing w:after="0" w:line="189" w:lineRule="exact"/>
        <w:rPr>
          <w:sz w:val="20"/>
          <w:szCs w:val="20"/>
          <w:color w:val="auto"/>
        </w:rPr>
      </w:pPr>
    </w:p>
    <w:p>
      <w:pPr>
        <w:ind w:right="2659" w:firstLine="378"/>
        <w:spacing w:after="0" w:line="258" w:lineRule="auto"/>
        <w:rPr>
          <w:sz w:val="20"/>
          <w:szCs w:val="20"/>
          <w:color w:val="auto"/>
        </w:rPr>
      </w:pPr>
      <w:r>
        <w:rPr>
          <w:rFonts w:ascii="Courier New" w:cs="Courier New" w:eastAsia="Courier New" w:hAnsi="Courier New"/>
          <w:sz w:val="15"/>
          <w:szCs w:val="15"/>
          <w:color w:val="auto"/>
        </w:rPr>
        <w:t>A majority of the outstanding shares will constitute a quorum at the annual meeting. Abstentions and broker non-votes are counted for purposes of determining the presence or absence of a quorum for the transaction of business. Pursuant to Minnesota law and the Company's Articles of Incorporation, abstentions are counted in determining the total number of the votes cast on proposals presented to shareholders, but will not be treated as votes in favor of the proposals. Broker non-votes are not counted for purposes of determining the total number of votes cast on proposals presented to shareholders.</w:t>
      </w:r>
    </w:p>
    <w:p>
      <w:pPr>
        <w:spacing w:after="0" w:line="172"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OUTSTANDING SHARES AND VOTING RIGHTS</w:t>
      </w:r>
    </w:p>
    <w:p>
      <w:pPr>
        <w:spacing w:after="0" w:line="186"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As of the close of business on January 5, 1999, there were outstanding 11,323,030 shares of common stock, par value $.05 per share, which is the only outstanding class of stock of the Company. Holders of common shares are entitled to one vote for each share held on the record date with respect to all matters that may be brought before the meeting. The record date for determining the shareholders entitled to vote at the 1999 annual meeting is January 19, 1999. There is no cumulative voting for directors.</w:t>
      </w:r>
    </w:p>
    <w:p>
      <w:pPr>
        <w:sectPr>
          <w:pgSz w:w="11900" w:h="16838" w:orient="portrait"/>
          <w:cols w:equalWidth="0" w:num="1">
            <w:col w:w="10219"/>
          </w:cols>
          <w:pgMar w:left="240" w:top="477" w:right="1440" w:bottom="1440" w:gutter="0" w:footer="0" w:header="0"/>
        </w:sectPr>
      </w:pPr>
    </w:p>
    <w:bookmarkStart w:id="3" w:name="page4"/>
    <w:bookmarkEnd w:id="3"/>
    <w:p>
      <w:pPr>
        <w:ind w:left="1143"/>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6" w:lineRule="exact"/>
        <w:rPr>
          <w:sz w:val="20"/>
          <w:szCs w:val="20"/>
          <w:color w:val="auto"/>
        </w:rPr>
      </w:pPr>
    </w:p>
    <w:p>
      <w:pPr>
        <w:ind w:left="3" w:right="300" w:firstLine="378"/>
        <w:spacing w:after="0"/>
        <w:rPr>
          <w:sz w:val="20"/>
          <w:szCs w:val="20"/>
          <w:color w:val="auto"/>
        </w:rPr>
      </w:pPr>
      <w:r>
        <w:rPr>
          <w:rFonts w:ascii="Courier New" w:cs="Courier New" w:eastAsia="Courier New" w:hAnsi="Courier New"/>
          <w:sz w:val="16"/>
          <w:szCs w:val="16"/>
          <w:color w:val="auto"/>
        </w:rPr>
        <w:t>Section 16(a) of the Securities Exchange Act of 1934 requires the Company's executive officers and directors to file initial reports of ownership and reports of changes in ownership of common stock of the Company with the Securities and Exchange Commission. Executive officers, directors and persons who beneficially own more than ten percent of the common stock of the Company are required by SEC regulations to furnish the Company with copies of all Section 16(a) forms they file. Based solely on a review of the copies of such forms furnished to the Company, and written representations from the Company's executive officers and directors, all Section 16(a) filing requirements applicable to the Company's executive officers and directors have been satisfied.</w:t>
      </w:r>
    </w:p>
    <w:p>
      <w:pPr>
        <w:spacing w:after="0" w:line="185" w:lineRule="exact"/>
        <w:rPr>
          <w:sz w:val="20"/>
          <w:szCs w:val="20"/>
          <w:color w:val="auto"/>
        </w:rPr>
      </w:pPr>
    </w:p>
    <w:p>
      <w:pPr>
        <w:jc w:val="center"/>
        <w:ind w:right="197"/>
        <w:spacing w:after="0"/>
        <w:rPr>
          <w:sz w:val="20"/>
          <w:szCs w:val="20"/>
          <w:color w:val="auto"/>
        </w:rPr>
      </w:pPr>
      <w:r>
        <w:rPr>
          <w:rFonts w:ascii="Courier New" w:cs="Courier New" w:eastAsia="Courier New" w:hAnsi="Courier New"/>
          <w:sz w:val="16"/>
          <w:szCs w:val="16"/>
          <w:color w:val="auto"/>
        </w:rPr>
        <w:t>SECURITY OWNERSHIP OF MANAGEMENT</w:t>
      </w:r>
    </w:p>
    <w:p>
      <w:pPr>
        <w:spacing w:after="0" w:line="1" w:lineRule="exact"/>
        <w:rPr>
          <w:sz w:val="20"/>
          <w:szCs w:val="20"/>
          <w:color w:val="auto"/>
        </w:rPr>
      </w:pPr>
    </w:p>
    <w:p>
      <w:pPr>
        <w:jc w:val="center"/>
        <w:ind w:right="197"/>
        <w:spacing w:after="0"/>
        <w:rPr>
          <w:sz w:val="20"/>
          <w:szCs w:val="20"/>
          <w:color w:val="auto"/>
        </w:rPr>
      </w:pPr>
      <w:r>
        <w:rPr>
          <w:rFonts w:ascii="Courier New" w:cs="Courier New" w:eastAsia="Courier New" w:hAnsi="Courier New"/>
          <w:sz w:val="16"/>
          <w:szCs w:val="16"/>
          <w:color w:val="auto"/>
        </w:rPr>
        <w:t>AND BENEFICIAL OWNERSHIP</w:t>
      </w:r>
    </w:p>
    <w:p>
      <w:pPr>
        <w:spacing w:after="0" w:line="186" w:lineRule="exact"/>
        <w:rPr>
          <w:sz w:val="20"/>
          <w:szCs w:val="20"/>
          <w:color w:val="auto"/>
        </w:rPr>
      </w:pPr>
    </w:p>
    <w:p>
      <w:pPr>
        <w:ind w:left="3" w:right="300" w:firstLine="378"/>
        <w:spacing w:after="0" w:line="239" w:lineRule="auto"/>
        <w:rPr>
          <w:sz w:val="20"/>
          <w:szCs w:val="20"/>
          <w:color w:val="auto"/>
        </w:rPr>
      </w:pPr>
      <w:r>
        <w:rPr>
          <w:rFonts w:ascii="Courier New" w:cs="Courier New" w:eastAsia="Courier New" w:hAnsi="Courier New"/>
          <w:sz w:val="16"/>
          <w:szCs w:val="16"/>
          <w:color w:val="auto"/>
        </w:rPr>
        <w:t>The following table contains information as of October 31, 1998 concerning the beneficial ownership of the Company's common shares by all directors and nominees, by all current directors and officers as a group and by persons known to the Company to beneficially own more than 5% of its common shares. Unless otherwise noted, the address for each person listed below is the Company's executive offices.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BENEFICIAL OWNER</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Howard J. Hawkins...............................................................</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3100 East Hennepin Avenue</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Minneapolis, MN 55413</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Norman P. Anderson..............................................................</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225 Holly Road</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Hopkins, MN 55343</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Carl J. Ahlgren.................................................................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Howard M. Hawkins...............................................................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Dean L. Hahn....................................................................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Donald L. Shipp.................................................................</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John R. Hawkins.................................................................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John S. McKeon..................................................................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Duane M. Jergenson..............................................................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 Robert Gey...................................................................</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All current directors and officers as a group (12 persons)......................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Trustees, Hawkins Chemical, Inc.</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Employee Stock Ownership Plan and Trust.........................................</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3l00 East Hennepin Avenue</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Minneapolis, MN 55413</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83" w:hanging="383"/>
        <w:spacing w:after="0"/>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w:t>
      </w:r>
    </w:p>
    <w:p>
      <w:pPr>
        <w:spacing w:after="0" w:line="186" w:lineRule="exact"/>
        <w:rPr>
          <w:sz w:val="20"/>
          <w:szCs w:val="20"/>
          <w:color w:val="auto"/>
        </w:rPr>
      </w:pPr>
    </w:p>
    <w:p>
      <w:pPr>
        <w:ind w:left="383" w:right="300" w:hanging="383"/>
        <w:spacing w:after="0" w:line="237" w:lineRule="auto"/>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noted, all shares shown are held by individuals possessing sole voting and investment power with respect to such shares.</w:t>
      </w:r>
    </w:p>
    <w:p>
      <w:pPr>
        <w:spacing w:after="0" w:line="187" w:lineRule="exact"/>
        <w:rPr>
          <w:rFonts w:ascii="Courier New" w:cs="Courier New" w:eastAsia="Courier New" w:hAnsi="Courier New"/>
          <w:sz w:val="16"/>
          <w:szCs w:val="16"/>
          <w:color w:val="auto"/>
        </w:rPr>
      </w:pPr>
    </w:p>
    <w:p>
      <w:pPr>
        <w:ind w:left="383" w:right="200" w:hanging="383"/>
        <w:spacing w:after="0" w:line="239" w:lineRule="auto"/>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191,665 shares owned by the wife of Mr. Hawkins as to which Mr. Hawkins may be deemed to share voting and investment power, but as to which he disclaims beneficial ownership, as well as 36,903 shares that Mr. Hawkins holds jointly with his wife as to which he shares voting and investment power. Does not include shares representing the beneficial interest of Mr. Hawkins as of October 31, 1998 in the Company's Employee Stock Ownership Plan (134,512 shares).</w:t>
      </w:r>
    </w:p>
    <w:p>
      <w:pPr>
        <w:spacing w:after="0" w:line="18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42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PERCENT OF</w:t>
            </w:r>
          </w:p>
        </w:tc>
      </w:tr>
      <w:tr>
        <w:trPr>
          <w:trHeight w:val="182"/>
        </w:trPr>
        <w:tc>
          <w:tcPr>
            <w:tcW w:w="1420" w:type="dxa"/>
            <w:vAlign w:val="bottom"/>
          </w:tcPr>
          <w:p>
            <w:pPr>
              <w:spacing w:after="0"/>
              <w:rPr>
                <w:sz w:val="20"/>
                <w:szCs w:val="20"/>
                <w:color w:val="auto"/>
              </w:rPr>
            </w:pPr>
            <w:r>
              <w:rPr>
                <w:rFonts w:ascii="Courier New" w:cs="Courier New" w:eastAsia="Courier New" w:hAnsi="Courier New"/>
                <w:sz w:val="16"/>
                <w:szCs w:val="16"/>
                <w:color w:val="auto"/>
              </w:rPr>
              <w:t>SHARES(a)</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CLASS</w:t>
            </w:r>
          </w:p>
        </w:tc>
      </w:tr>
      <w:tr>
        <w:trPr>
          <w:trHeight w:val="182"/>
        </w:trPr>
        <w:tc>
          <w:tcPr>
            <w:tcW w:w="14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492,515(b)</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w:t>
            </w:r>
          </w:p>
        </w:tc>
      </w:tr>
      <w:tr>
        <w:trPr>
          <w:trHeight w:val="546"/>
        </w:trPr>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417,005</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w:t>
            </w:r>
          </w:p>
        </w:tc>
      </w:tr>
      <w:tr>
        <w:trPr>
          <w:trHeight w:val="546"/>
        </w:trPr>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97,757(c)</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169,548(d)</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w:t>
            </w:r>
          </w:p>
        </w:tc>
      </w:tr>
      <w:tr>
        <w:trPr>
          <w:trHeight w:val="182"/>
        </w:trPr>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104,966(e)</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132,306(f)</w:t>
            </w: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w:t>
            </w:r>
          </w:p>
        </w:tc>
      </w:tr>
      <w:tr>
        <w:trPr>
          <w:trHeight w:val="182"/>
        </w:trPr>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74,164(g)</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16,507(h)</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3,275</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1" w:lineRule="exact"/>
        <w:rPr>
          <w:sz w:val="20"/>
          <w:szCs w:val="20"/>
          <w:color w:val="auto"/>
        </w:rPr>
      </w:pPr>
    </w:p>
    <w:p>
      <w:pPr>
        <w:ind w:left="2360" w:hanging="1413"/>
        <w:spacing w:after="0"/>
        <w:tabs>
          <w:tab w:leader="none" w:pos="23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1,526,651(i)13.4%</w:t>
      </w:r>
    </w:p>
    <w:p>
      <w:pPr>
        <w:spacing w:after="0" w:line="183" w:lineRule="exact"/>
        <w:rPr>
          <w:sz w:val="20"/>
          <w:szCs w:val="20"/>
          <w:color w:val="auto"/>
        </w:rPr>
      </w:pPr>
    </w:p>
    <w:p>
      <w:pPr>
        <w:ind w:left="200"/>
        <w:spacing w:after="0"/>
        <w:tabs>
          <w:tab w:leader="none" w:pos="2060" w:val="left"/>
        </w:tabs>
        <w:rPr>
          <w:sz w:val="20"/>
          <w:szCs w:val="20"/>
          <w:color w:val="auto"/>
        </w:rPr>
      </w:pPr>
      <w:r>
        <w:rPr>
          <w:rFonts w:ascii="Courier New" w:cs="Courier New" w:eastAsia="Courier New" w:hAnsi="Courier New"/>
          <w:sz w:val="16"/>
          <w:szCs w:val="16"/>
          <w:color w:val="auto"/>
        </w:rPr>
        <w:t>2,499,582(j)</w:t>
      </w:r>
      <w:r>
        <w:rPr>
          <w:sz w:val="20"/>
          <w:szCs w:val="20"/>
          <w:color w:val="auto"/>
        </w:rPr>
        <w:tab/>
      </w:r>
      <w:r>
        <w:rPr>
          <w:rFonts w:ascii="Courier New" w:cs="Courier New" w:eastAsia="Courier New" w:hAnsi="Courier New"/>
          <w:sz w:val="16"/>
          <w:szCs w:val="16"/>
          <w:color w:val="auto"/>
        </w:rPr>
        <w:t>22.0%</w:t>
      </w:r>
    </w:p>
    <w:p>
      <w:pPr>
        <w:sectPr>
          <w:pgSz w:w="11900" w:h="16838" w:orient="portrait"/>
          <w:cols w:equalWidth="0" w:num="2">
            <w:col w:w="7763" w:space="180"/>
            <w:col w:w="2740"/>
          </w:cols>
          <w:pgMar w:left="237" w:top="477" w:right="979" w:bottom="1440" w:gutter="0" w:footer="0" w:header="0"/>
        </w:sectPr>
      </w:pPr>
    </w:p>
    <w:bookmarkStart w:id="4" w:name="page5"/>
    <w:bookmarkEnd w:id="4"/>
    <w:p>
      <w:pPr>
        <w:ind w:left="383" w:right="2839" w:hanging="383"/>
        <w:spacing w:after="0" w:line="262" w:lineRule="auto"/>
        <w:tabs>
          <w:tab w:leader="none" w:pos="38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45,565 shares held in trust for the benefit of Mr. Ahlgren's wife as to which Mr. Ahlgren disclaims beneficial ownership, and 24,758 shares held in trust as to which Mr. Ahlgren shares voting and investment power.</w:t>
      </w:r>
    </w:p>
    <w:p>
      <w:pPr>
        <w:spacing w:after="0" w:line="171" w:lineRule="exact"/>
        <w:rPr>
          <w:rFonts w:ascii="Courier New" w:cs="Courier New" w:eastAsia="Courier New" w:hAnsi="Courier New"/>
          <w:sz w:val="15"/>
          <w:szCs w:val="15"/>
          <w:color w:val="auto"/>
        </w:rPr>
      </w:pPr>
    </w:p>
    <w:p>
      <w:pPr>
        <w:ind w:left="383" w:right="2659" w:hanging="383"/>
        <w:spacing w:after="0" w:line="258" w:lineRule="auto"/>
        <w:tabs>
          <w:tab w:leader="none" w:pos="38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65,195 shares held by the wife of Mr. Hawkins as to which he may be deemed to share voting and investment power, but as to which he disclaims beneficial ownership; and 99,469 shares that Mr. Hawkins holds jointly with his wife as to which he shares voting and investment power. Does not include shares representing the beneficial interest of Mr. Hawkins as of October 31, 1998 in the Company's Employee Stock Ownership Plan (122,833 shares).</w:t>
      </w:r>
    </w:p>
    <w:p>
      <w:pPr>
        <w:spacing w:after="0" w:line="177" w:lineRule="exact"/>
        <w:rPr>
          <w:rFonts w:ascii="Courier New" w:cs="Courier New" w:eastAsia="Courier New" w:hAnsi="Courier New"/>
          <w:sz w:val="15"/>
          <w:szCs w:val="15"/>
          <w:color w:val="auto"/>
        </w:rPr>
      </w:pPr>
    </w:p>
    <w:p>
      <w:pPr>
        <w:ind w:left="383" w:right="2759" w:hanging="383"/>
        <w:spacing w:after="0" w:line="239" w:lineRule="auto"/>
        <w:tabs>
          <w:tab w:leader="none" w:pos="38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8,292 shares that Mr. Hahn holds jointly with his wife as to which he shares voting and investment power. Does not include shares representing Mr. Hahn's beneficial interest as of October 31, 1998 in the Company's Employee Stock Ownership Plan (201,106 shares).</w:t>
      </w:r>
    </w:p>
    <w:p>
      <w:pPr>
        <w:spacing w:after="0" w:line="187" w:lineRule="exact"/>
        <w:rPr>
          <w:rFonts w:ascii="Courier New" w:cs="Courier New" w:eastAsia="Courier New" w:hAnsi="Courier New"/>
          <w:sz w:val="16"/>
          <w:szCs w:val="16"/>
          <w:color w:val="auto"/>
        </w:rPr>
      </w:pPr>
    </w:p>
    <w:p>
      <w:pPr>
        <w:ind w:left="383" w:right="2659" w:hanging="383"/>
        <w:spacing w:after="0" w:line="239" w:lineRule="auto"/>
        <w:tabs>
          <w:tab w:leader="none" w:pos="38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60,000 shares held by the wife of Mr. Shipp as to which he may be deemed to share voting and investment power, but as to which he disclaims beneficial ownership; and 70,509 shares that Mr. Shipp holds jointly with his wife as to which he shares voting and investment power. Does not include shares representing Mr. Shipp's beneficial interest as of October 31, 1998 in the Company's Employee Stock Ownership Plan (174,838 shares).</w:t>
      </w:r>
    </w:p>
    <w:p>
      <w:pPr>
        <w:spacing w:after="0" w:line="190" w:lineRule="exact"/>
        <w:rPr>
          <w:rFonts w:ascii="Courier New" w:cs="Courier New" w:eastAsia="Courier New" w:hAnsi="Courier New"/>
          <w:sz w:val="16"/>
          <w:szCs w:val="16"/>
          <w:color w:val="auto"/>
        </w:rPr>
      </w:pPr>
    </w:p>
    <w:p>
      <w:pPr>
        <w:ind w:left="383" w:right="2659" w:hanging="383"/>
        <w:spacing w:after="0" w:line="239" w:lineRule="auto"/>
        <w:tabs>
          <w:tab w:leader="none" w:pos="38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40,897 shares held by Mr. Hawkins as custodian for one minor child as to which he has sole voting and investment power, but as to which he disclaims beneficial ownership, as well as 13,986 shares held by Mr. Hawkins jointly with his wife as to which he shares voting and investment power. Does not include shares representing the beneficial interest of Mr. Hawkins as of October 31, 1998 in the Company's Employee Stock Ownership Plan (116,280 shares).</w:t>
      </w:r>
    </w:p>
    <w:p>
      <w:pPr>
        <w:spacing w:after="0" w:line="191" w:lineRule="exact"/>
        <w:rPr>
          <w:rFonts w:ascii="Courier New" w:cs="Courier New" w:eastAsia="Courier New" w:hAnsi="Courier New"/>
          <w:sz w:val="16"/>
          <w:szCs w:val="16"/>
          <w:color w:val="auto"/>
        </w:rPr>
      </w:pPr>
    </w:p>
    <w:p>
      <w:pPr>
        <w:jc w:val="both"/>
        <w:ind w:left="383" w:right="2659" w:hanging="383"/>
        <w:spacing w:after="0" w:line="238" w:lineRule="auto"/>
        <w:tabs>
          <w:tab w:leader="none" w:pos="38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1,097 shares held by Mr. McKeon as custodian for his minor children as to which Mr. McKeon has sole voting and investment power, but as to which he disclaims beneficial ownership.</w:t>
      </w:r>
    </w:p>
    <w:p>
      <w:pPr>
        <w:spacing w:after="0" w:line="188" w:lineRule="exact"/>
        <w:rPr>
          <w:rFonts w:ascii="Courier New" w:cs="Courier New" w:eastAsia="Courier New" w:hAnsi="Courier New"/>
          <w:sz w:val="16"/>
          <w:szCs w:val="16"/>
          <w:color w:val="auto"/>
        </w:rPr>
      </w:pPr>
    </w:p>
    <w:p>
      <w:pPr>
        <w:ind w:left="383" w:right="2759" w:hanging="383"/>
        <w:spacing w:after="0"/>
        <w:tabs>
          <w:tab w:leader="none" w:pos="38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5,022 shares owned by an officer (who is not also a director or nominee) jointly with his wife as to which he shares voting and investment power; and 12,158 shares owned by an officer (who is not also a director or nominee) jointly with his wife as to which he shares voting and investment power; and 1,428 shares held custodially for three minor children. Not included in the total are shares representing the beneficial ownership of certain officers as of October 31, 1998 in the Company's Employee Stock Ownership Plan (90,328 shares).</w:t>
      </w:r>
    </w:p>
    <w:p>
      <w:pPr>
        <w:spacing w:after="0" w:line="186" w:lineRule="exact"/>
        <w:rPr>
          <w:rFonts w:ascii="Courier New" w:cs="Courier New" w:eastAsia="Courier New" w:hAnsi="Courier New"/>
          <w:sz w:val="16"/>
          <w:szCs w:val="16"/>
          <w:color w:val="auto"/>
        </w:rPr>
      </w:pPr>
    </w:p>
    <w:p>
      <w:pPr>
        <w:ind w:left="383" w:right="2659" w:hanging="383"/>
        <w:spacing w:after="0" w:line="256" w:lineRule="auto"/>
        <w:tabs>
          <w:tab w:leader="none" w:pos="38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trustees of the Hawkins Chemical, Inc. Employee Stock Ownership Plan and Trust and of the Hawkins Chemical, Inc. Money Purchase Pension Plan and Trust are Howard J. Hawkins, Dean L. Hahn, Donald L. Shipp, Howard M.</w:t>
      </w:r>
    </w:p>
    <w:p>
      <w:pPr>
        <w:spacing w:after="0" w:line="1" w:lineRule="exact"/>
        <w:rPr>
          <w:rFonts w:ascii="Courier New" w:cs="Courier New" w:eastAsia="Courier New" w:hAnsi="Courier New"/>
          <w:sz w:val="15"/>
          <w:szCs w:val="15"/>
          <w:color w:val="auto"/>
        </w:rPr>
      </w:pPr>
    </w:p>
    <w:p>
      <w:pPr>
        <w:ind w:left="383" w:right="275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Hawkins, and John R. Hawkins. Although these individuals could be deemed to "beneficially own" all of the shares held by these Plans because of their shared voting and investment power with respect to those shares, they have not been included in the share ownership figures listed above for these individuals or for all current directors and officers as a group. Voting rights as to shares of the Company's stock are passed through to participants under the Employee Stock Ownership Plan, but not under the Money Purchase Pension Plan.</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PROPOSALS TO BE ACTED UPON AT THE ANNUAL MEETING</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ELECTION OF DIRECTORS</w:t>
      </w:r>
    </w:p>
    <w:p>
      <w:pPr>
        <w:spacing w:after="0" w:line="1"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(PROPOSAL 1)</w:t>
      </w:r>
    </w:p>
    <w:p>
      <w:pPr>
        <w:spacing w:after="0" w:line="186" w:lineRule="exact"/>
        <w:rPr>
          <w:sz w:val="20"/>
          <w:szCs w:val="20"/>
          <w:color w:val="auto"/>
        </w:rPr>
      </w:pPr>
    </w:p>
    <w:p>
      <w:pPr>
        <w:ind w:left="3" w:right="2659" w:firstLine="378"/>
        <w:spacing w:after="0" w:line="239" w:lineRule="auto"/>
        <w:rPr>
          <w:sz w:val="20"/>
          <w:szCs w:val="20"/>
          <w:color w:val="auto"/>
        </w:rPr>
      </w:pPr>
      <w:r>
        <w:rPr>
          <w:rFonts w:ascii="Courier New" w:cs="Courier New" w:eastAsia="Courier New" w:hAnsi="Courier New"/>
          <w:sz w:val="16"/>
          <w:szCs w:val="16"/>
          <w:color w:val="auto"/>
        </w:rPr>
        <w:t>At the forthcoming annual meeting, seven persons are to be elected to the Company's Board of Directors, each to hold office for the ensuing year or until his successor is duly elected and qualified. The Company's By-Laws provide for a Board of Directors of not fewer than three nor more than eleven directors. The Company's By-Laws provide that the nominees must be elected by the affirmative vote of the holders of a majority of the voting power of the shares represented at the meeting (whether in person</w:t>
      </w:r>
    </w:p>
    <w:p>
      <w:pPr>
        <w:spacing w:after="0" w:line="18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2"/>
          </w:cols>
          <w:pgMar w:left="237" w:top="481" w:right="1440" w:bottom="1440" w:gutter="0" w:footer="0" w:header="0"/>
        </w:sectPr>
      </w:pPr>
    </w:p>
    <w:bookmarkStart w:id="5" w:name="page6"/>
    <w:bookmarkEnd w:id="5"/>
    <w:p>
      <w:pPr>
        <w:ind w:right="1720"/>
        <w:spacing w:after="0" w:line="259" w:lineRule="auto"/>
        <w:rPr>
          <w:sz w:val="20"/>
          <w:szCs w:val="20"/>
          <w:color w:val="auto"/>
        </w:rPr>
      </w:pPr>
      <w:r>
        <w:rPr>
          <w:rFonts w:ascii="Courier New" w:cs="Courier New" w:eastAsia="Courier New" w:hAnsi="Courier New"/>
          <w:sz w:val="15"/>
          <w:szCs w:val="15"/>
          <w:color w:val="auto"/>
        </w:rPr>
        <w:t>or by proxy). Proxies will be voted for the election of all nominees unless you direct otherwise. Should any nominee decline or be unable to accept such nomination or to serve as a director (an event which management does not now expect to occur), proxies will be voted for a substitute nominee or nominees in accordance with the best judgment of the person or persons acting under them.</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ABOUT NOMINEES</w:t>
      </w:r>
    </w:p>
    <w:p>
      <w:pPr>
        <w:spacing w:after="0" w:line="186" w:lineRule="exact"/>
        <w:rPr>
          <w:sz w:val="20"/>
          <w:szCs w:val="20"/>
          <w:color w:val="auto"/>
        </w:rPr>
      </w:pPr>
    </w:p>
    <w:p>
      <w:pPr>
        <w:ind w:right="1620" w:firstLine="378"/>
        <w:spacing w:after="0" w:line="239" w:lineRule="auto"/>
        <w:rPr>
          <w:sz w:val="20"/>
          <w:szCs w:val="20"/>
          <w:color w:val="auto"/>
        </w:rPr>
      </w:pPr>
      <w:r>
        <w:rPr>
          <w:rFonts w:ascii="Courier New" w:cs="Courier New" w:eastAsia="Courier New" w:hAnsi="Courier New"/>
          <w:sz w:val="16"/>
          <w:szCs w:val="16"/>
          <w:color w:val="auto"/>
        </w:rPr>
        <w:t>All nominees who are now directors of the Company have served continuously since the year indicated below. The following information, including the principal occupation or employment of each nominee, has been furnished to the Company by the respective nominees, as of December 15, 1998; all occupations are with the Company unless otherwise noted.</w:t>
      </w:r>
    </w:p>
    <w:p>
      <w:pPr>
        <w:spacing w:after="0" w:line="200" w:lineRule="exact"/>
        <w:rPr>
          <w:sz w:val="20"/>
          <w:szCs w:val="20"/>
          <w:color w:val="auto"/>
        </w:rPr>
      </w:pPr>
    </w:p>
    <w:p>
      <w:pPr>
        <w:spacing w:after="0" w:line="349"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PRINCIPAL OCCUPATION</w:t>
      </w:r>
    </w:p>
    <w:p>
      <w:pPr>
        <w:spacing w:after="0" w:line="1"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6"/>
          <w:szCs w:val="16"/>
          <w:color w:val="auto"/>
        </w:rPr>
        <w:t>NOMINEE</w:t>
      </w:r>
      <w:r>
        <w:rPr>
          <w:sz w:val="20"/>
          <w:szCs w:val="20"/>
          <w:color w:val="auto"/>
        </w:rPr>
        <w:tab/>
      </w:r>
      <w:r>
        <w:rPr>
          <w:rFonts w:ascii="Courier New" w:cs="Courier New" w:eastAsia="Courier New" w:hAnsi="Courier New"/>
          <w:sz w:val="16"/>
          <w:szCs w:val="16"/>
          <w:color w:val="auto"/>
        </w:rPr>
        <w:t>AND EMPLOYMENT</w:t>
      </w:r>
    </w:p>
    <w:p>
      <w:pPr>
        <w:spacing w:after="0" w:line="1"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183"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Dean L. Hahn........................</w:t>
      </w:r>
      <w:r>
        <w:rPr>
          <w:sz w:val="20"/>
          <w:szCs w:val="20"/>
          <w:color w:val="auto"/>
        </w:rPr>
        <w:tab/>
      </w:r>
      <w:r>
        <w:rPr>
          <w:rFonts w:ascii="Courier New" w:cs="Courier New" w:eastAsia="Courier New" w:hAnsi="Courier New"/>
          <w:sz w:val="15"/>
          <w:szCs w:val="15"/>
          <w:color w:val="auto"/>
        </w:rPr>
        <w:t>Chairman of the Board and Chief Executive Officer since</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1996; President from 1983 to 1996.</w:t>
      </w:r>
    </w:p>
    <w:p>
      <w:pPr>
        <w:spacing w:after="0" w:line="1"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Donald L. Shipp.....................</w:t>
      </w:r>
      <w:r>
        <w:rPr>
          <w:sz w:val="20"/>
          <w:szCs w:val="20"/>
          <w:color w:val="auto"/>
        </w:rPr>
        <w:tab/>
      </w:r>
      <w:r>
        <w:rPr>
          <w:rFonts w:ascii="Courier New" w:cs="Courier New" w:eastAsia="Courier New" w:hAnsi="Courier New"/>
          <w:sz w:val="15"/>
          <w:szCs w:val="15"/>
          <w:color w:val="auto"/>
        </w:rPr>
        <w:t>Vice Chairman since December 1998; President from 1996 to</w:t>
      </w:r>
    </w:p>
    <w:p>
      <w:pPr>
        <w:spacing w:after="0" w:line="5" w:lineRule="exact"/>
        <w:rPr>
          <w:sz w:val="20"/>
          <w:szCs w:val="20"/>
          <w:color w:val="auto"/>
        </w:rPr>
      </w:pPr>
    </w:p>
    <w:p>
      <w:pPr>
        <w:ind w:left="3600" w:right="680"/>
        <w:spacing w:after="0" w:line="256" w:lineRule="auto"/>
        <w:rPr>
          <w:sz w:val="20"/>
          <w:szCs w:val="20"/>
          <w:color w:val="auto"/>
        </w:rPr>
      </w:pPr>
      <w:r>
        <w:rPr>
          <w:rFonts w:ascii="Courier New" w:cs="Courier New" w:eastAsia="Courier New" w:hAnsi="Courier New"/>
          <w:sz w:val="15"/>
          <w:szCs w:val="15"/>
          <w:color w:val="auto"/>
        </w:rPr>
        <w:t>December 1998; Executive Vice President from 1983 to 1996; President of Feed-Rite Controls, Inc., then a subsidiary of the Company, from 1967 to 1996.</w:t>
      </w:r>
    </w:p>
    <w:p>
      <w:pPr>
        <w:spacing w:after="0"/>
        <w:tabs>
          <w:tab w:leader="none" w:pos="3580" w:val="left"/>
        </w:tabs>
        <w:rPr>
          <w:sz w:val="20"/>
          <w:szCs w:val="20"/>
          <w:color w:val="auto"/>
        </w:rPr>
      </w:pPr>
      <w:r>
        <w:rPr>
          <w:rFonts w:ascii="Courier New" w:cs="Courier New" w:eastAsia="Courier New" w:hAnsi="Courier New"/>
          <w:sz w:val="16"/>
          <w:szCs w:val="16"/>
          <w:color w:val="auto"/>
        </w:rPr>
        <w:t>John R. Hawkins.....................</w:t>
      </w:r>
      <w:r>
        <w:rPr>
          <w:sz w:val="20"/>
          <w:szCs w:val="20"/>
          <w:color w:val="auto"/>
        </w:rPr>
        <w:tab/>
      </w:r>
      <w:r>
        <w:rPr>
          <w:rFonts w:ascii="Courier New" w:cs="Courier New" w:eastAsia="Courier New" w:hAnsi="Courier New"/>
          <w:sz w:val="15"/>
          <w:szCs w:val="15"/>
          <w:color w:val="auto"/>
        </w:rPr>
        <w:t>President since December 1998; Executive Vice President</w:t>
      </w:r>
    </w:p>
    <w:p>
      <w:pPr>
        <w:spacing w:after="0" w:line="5" w:lineRule="exact"/>
        <w:rPr>
          <w:sz w:val="20"/>
          <w:szCs w:val="20"/>
          <w:color w:val="auto"/>
        </w:rPr>
      </w:pPr>
    </w:p>
    <w:p>
      <w:pPr>
        <w:ind w:left="3600" w:right="300"/>
        <w:spacing w:after="0" w:line="237" w:lineRule="auto"/>
        <w:rPr>
          <w:sz w:val="20"/>
          <w:szCs w:val="20"/>
          <w:color w:val="auto"/>
        </w:rPr>
      </w:pPr>
      <w:r>
        <w:rPr>
          <w:rFonts w:ascii="Courier New" w:cs="Courier New" w:eastAsia="Courier New" w:hAnsi="Courier New"/>
          <w:sz w:val="16"/>
          <w:szCs w:val="16"/>
          <w:color w:val="auto"/>
        </w:rPr>
        <w:t>from 1997 to December 1998; Vice President of Sales from 1987 to 1997; Secretary since 1991.</w:t>
      </w:r>
    </w:p>
    <w:p>
      <w:pPr>
        <w:spacing w:after="0" w:line="2"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Howard M. Hawkins...................</w:t>
      </w:r>
      <w:r>
        <w:rPr>
          <w:sz w:val="20"/>
          <w:szCs w:val="20"/>
          <w:color w:val="auto"/>
        </w:rPr>
        <w:tab/>
      </w:r>
      <w:r>
        <w:rPr>
          <w:rFonts w:ascii="Courier New" w:cs="Courier New" w:eastAsia="Courier New" w:hAnsi="Courier New"/>
          <w:sz w:val="15"/>
          <w:szCs w:val="15"/>
          <w:color w:val="auto"/>
        </w:rPr>
        <w:t>Treasurer since 1973; Vice President since 1996.</w:t>
      </w:r>
    </w:p>
    <w:p>
      <w:pPr>
        <w:spacing w:after="0" w:line="1"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John S. McKeon......................</w:t>
      </w:r>
      <w:r>
        <w:rPr>
          <w:sz w:val="20"/>
          <w:szCs w:val="20"/>
          <w:color w:val="auto"/>
        </w:rPr>
        <w:tab/>
      </w:r>
      <w:r>
        <w:rPr>
          <w:rFonts w:ascii="Courier New" w:cs="Courier New" w:eastAsia="Courier New" w:hAnsi="Courier New"/>
          <w:sz w:val="15"/>
          <w:szCs w:val="15"/>
          <w:color w:val="auto"/>
        </w:rPr>
        <w:t>President of Golden Valley Microwave Foods, Inc. since</w:t>
      </w:r>
    </w:p>
    <w:p>
      <w:pPr>
        <w:spacing w:after="0" w:line="5" w:lineRule="exact"/>
        <w:rPr>
          <w:sz w:val="20"/>
          <w:szCs w:val="20"/>
          <w:color w:val="auto"/>
        </w:rPr>
      </w:pPr>
    </w:p>
    <w:p>
      <w:pPr>
        <w:ind w:left="3600" w:right="200"/>
        <w:spacing w:after="0" w:line="238" w:lineRule="auto"/>
        <w:rPr>
          <w:sz w:val="20"/>
          <w:szCs w:val="20"/>
          <w:color w:val="auto"/>
        </w:rPr>
      </w:pPr>
      <w:r>
        <w:rPr>
          <w:rFonts w:ascii="Courier New" w:cs="Courier New" w:eastAsia="Courier New" w:hAnsi="Courier New"/>
          <w:sz w:val="16"/>
          <w:szCs w:val="16"/>
          <w:color w:val="auto"/>
        </w:rPr>
        <w:t>August 1993; President of McKeon Associates, Inc. 1991 to 1993 (corporate finance consulting); Vice President of Northstar Industries, Inc. 1976 to 1990.</w:t>
      </w:r>
    </w:p>
    <w:p>
      <w:pPr>
        <w:spacing w:after="0" w:line="2"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Duane M. Jergenson..................</w:t>
      </w:r>
      <w:r>
        <w:rPr>
          <w:sz w:val="20"/>
          <w:szCs w:val="20"/>
          <w:color w:val="auto"/>
        </w:rPr>
        <w:tab/>
      </w:r>
      <w:r>
        <w:rPr>
          <w:rFonts w:ascii="Courier New" w:cs="Courier New" w:eastAsia="Courier New" w:hAnsi="Courier New"/>
          <w:sz w:val="15"/>
          <w:szCs w:val="15"/>
          <w:color w:val="auto"/>
        </w:rPr>
        <w:t>Vice President, Operations of Taylor Corporation since</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1985.</w:t>
      </w:r>
    </w:p>
    <w:p>
      <w:pPr>
        <w:spacing w:after="0" w:line="1"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G. Robert Gey.......................</w:t>
      </w:r>
      <w:r>
        <w:rPr>
          <w:sz w:val="20"/>
          <w:szCs w:val="20"/>
          <w:color w:val="auto"/>
        </w:rPr>
        <w:tab/>
      </w:r>
      <w:r>
        <w:rPr>
          <w:rFonts w:ascii="Courier New" w:cs="Courier New" w:eastAsia="Courier New" w:hAnsi="Courier New"/>
          <w:sz w:val="15"/>
          <w:szCs w:val="15"/>
          <w:color w:val="auto"/>
        </w:rPr>
        <w:t>President, Pentair Service Equipment Business since 1996;</w:t>
      </w:r>
    </w:p>
    <w:p>
      <w:pPr>
        <w:spacing w:after="0" w:line="5" w:lineRule="exact"/>
        <w:rPr>
          <w:sz w:val="20"/>
          <w:szCs w:val="20"/>
          <w:color w:val="auto"/>
        </w:rPr>
      </w:pPr>
    </w:p>
    <w:p>
      <w:pPr>
        <w:ind w:left="3600" w:right="380"/>
        <w:spacing w:after="0" w:line="239" w:lineRule="auto"/>
        <w:rPr>
          <w:sz w:val="20"/>
          <w:szCs w:val="20"/>
          <w:color w:val="auto"/>
        </w:rPr>
      </w:pPr>
      <w:r>
        <w:rPr>
          <w:rFonts w:ascii="Courier New" w:cs="Courier New" w:eastAsia="Courier New" w:hAnsi="Courier New"/>
          <w:sz w:val="16"/>
          <w:szCs w:val="16"/>
          <w:color w:val="auto"/>
        </w:rPr>
        <w:t>Vice President, Pentair Corporate Development from 1995 to 1996; President, Niagara Paper Corp. from 1992 to 1995; various positions with Pentair, Inc. from 1983 to 1992.</w:t>
      </w:r>
    </w:p>
    <w:p>
      <w:pPr>
        <w:spacing w:after="0" w:line="369" w:lineRule="exact"/>
        <w:rPr>
          <w:sz w:val="20"/>
          <w:szCs w:val="20"/>
          <w:color w:val="auto"/>
        </w:rPr>
      </w:pPr>
    </w:p>
    <w:p>
      <w:pPr>
        <w:ind w:right="1720" w:firstLine="378"/>
        <w:spacing w:after="0" w:line="239" w:lineRule="auto"/>
        <w:rPr>
          <w:sz w:val="20"/>
          <w:szCs w:val="20"/>
          <w:color w:val="auto"/>
        </w:rPr>
      </w:pPr>
      <w:r>
        <w:rPr>
          <w:rFonts w:ascii="Courier New" w:cs="Courier New" w:eastAsia="Courier New" w:hAnsi="Courier New"/>
          <w:sz w:val="16"/>
          <w:szCs w:val="16"/>
          <w:color w:val="auto"/>
        </w:rPr>
        <w:t>Howard M. Hawkins is the brother of John R. Hawkins. Donald L. Shipp is the father-in-law of Kurt R. Norman, Vice President of the Hawkins Water Treatment Group. There are no other family relationships between officers or directors of the Company.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INFORMATION ABOUT THE BOARD OF DIRECTORS</w:t>
      </w:r>
    </w:p>
    <w:p>
      <w:pPr>
        <w:spacing w:after="0" w:line="186" w:lineRule="exact"/>
        <w:rPr>
          <w:sz w:val="20"/>
          <w:szCs w:val="20"/>
          <w:color w:val="auto"/>
        </w:rPr>
      </w:pPr>
    </w:p>
    <w:p>
      <w:pPr>
        <w:ind w:right="1720" w:firstLine="378"/>
        <w:spacing w:after="0"/>
        <w:rPr>
          <w:sz w:val="20"/>
          <w:szCs w:val="20"/>
          <w:color w:val="auto"/>
        </w:rPr>
      </w:pPr>
      <w:r>
        <w:rPr>
          <w:rFonts w:ascii="Courier New" w:cs="Courier New" w:eastAsia="Courier New" w:hAnsi="Courier New"/>
          <w:sz w:val="16"/>
          <w:szCs w:val="16"/>
          <w:color w:val="auto"/>
        </w:rPr>
        <w:t>The Board of Directors held four meetings in fiscal 1998. All directors attended at least 75% of the total number of meetings of the Board and the committees on which they served. The Audit Committee, which presently consists of Howard M. Hawkins, John S. McKeon and Duane M. Jergenson, is responsible for selecting auditors, ensuring the fiscal integrity of the Company, and establishing and reviewing internal controls. The Audit Committee held one meeting during fiscal 1998. The Compensation Committee, which consists of John S. McKeon, Carl J. Ahlgren, Norman P. Anderson and Duane M. Jergenson, is responsible for establishing compensation policies for the Company and for reviewing and setting compensation for</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DIRECTOR</w:t>
      </w:r>
    </w:p>
    <w:p>
      <w:pPr>
        <w:spacing w:after="0" w:line="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AGE</w:t>
      </w:r>
      <w:r>
        <w:rPr>
          <w:sz w:val="20"/>
          <w:szCs w:val="20"/>
          <w:color w:val="auto"/>
        </w:rPr>
        <w:tab/>
      </w:r>
      <w:r>
        <w:rPr>
          <w:rFonts w:ascii="Courier New" w:cs="Courier New" w:eastAsia="Courier New" w:hAnsi="Courier New"/>
          <w:sz w:val="16"/>
          <w:szCs w:val="16"/>
          <w:color w:val="auto"/>
        </w:rPr>
        <w:t>SINCE</w:t>
      </w:r>
    </w:p>
    <w:p>
      <w:pPr>
        <w:spacing w:after="0" w:line="5" w:lineRule="exact"/>
        <w:rPr>
          <w:sz w:val="20"/>
          <w:szCs w:val="20"/>
          <w:color w:val="auto"/>
        </w:rPr>
      </w:pPr>
    </w:p>
    <w:p>
      <w:pPr>
        <w:ind w:left="1040" w:hanging="842"/>
        <w:spacing w:after="0"/>
        <w:tabs>
          <w:tab w:leader="none" w:pos="10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80"/>
        <w:spacing w:after="0"/>
        <w:tabs>
          <w:tab w:leader="none" w:pos="1400"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6"/>
          <w:szCs w:val="16"/>
          <w:color w:val="auto"/>
        </w:rPr>
        <w:t>1974</w:t>
      </w:r>
    </w:p>
    <w:p>
      <w:pPr>
        <w:spacing w:after="0" w:line="183" w:lineRule="exact"/>
        <w:rPr>
          <w:sz w:val="20"/>
          <w:szCs w:val="20"/>
          <w:color w:val="auto"/>
        </w:rPr>
      </w:pPr>
    </w:p>
    <w:p>
      <w:pPr>
        <w:ind w:left="380"/>
        <w:spacing w:after="0"/>
        <w:tabs>
          <w:tab w:leader="none" w:pos="140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6"/>
          <w:szCs w:val="16"/>
          <w:color w:val="auto"/>
        </w:rPr>
        <w:t>1977</w:t>
      </w:r>
    </w:p>
    <w:p>
      <w:pPr>
        <w:spacing w:after="0" w:line="200" w:lineRule="exact"/>
        <w:rPr>
          <w:sz w:val="20"/>
          <w:szCs w:val="20"/>
          <w:color w:val="auto"/>
        </w:rPr>
      </w:pPr>
    </w:p>
    <w:p>
      <w:pPr>
        <w:spacing w:after="0" w:line="346" w:lineRule="exact"/>
        <w:rPr>
          <w:sz w:val="20"/>
          <w:szCs w:val="20"/>
          <w:color w:val="auto"/>
        </w:rPr>
      </w:pPr>
    </w:p>
    <w:p>
      <w:pPr>
        <w:ind w:left="380"/>
        <w:spacing w:after="0"/>
        <w:tabs>
          <w:tab w:leader="none" w:pos="1400"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6"/>
          <w:szCs w:val="16"/>
          <w:color w:val="auto"/>
        </w:rPr>
        <w:t>1989</w:t>
      </w:r>
    </w:p>
    <w:p>
      <w:pPr>
        <w:spacing w:after="0" w:line="364"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2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3"/>
              </w:rPr>
              <w:t>54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1976</w:t>
            </w:r>
          </w:p>
        </w:tc>
      </w:tr>
      <w:tr>
        <w:trPr>
          <w:trHeight w:val="182"/>
        </w:trPr>
        <w:tc>
          <w:tcPr>
            <w:tcW w:w="62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3"/>
              </w:rPr>
              <w:t>54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1984</w:t>
            </w:r>
          </w:p>
        </w:tc>
      </w:tr>
    </w:tbl>
    <w:p>
      <w:pPr>
        <w:spacing w:after="0" w:line="200" w:lineRule="exact"/>
        <w:rPr>
          <w:sz w:val="20"/>
          <w:szCs w:val="20"/>
          <w:color w:val="auto"/>
        </w:rPr>
      </w:pPr>
    </w:p>
    <w:p>
      <w:pPr>
        <w:spacing w:after="0" w:line="346" w:lineRule="exact"/>
        <w:rPr>
          <w:sz w:val="20"/>
          <w:szCs w:val="20"/>
          <w:color w:val="auto"/>
        </w:rPr>
      </w:pPr>
    </w:p>
    <w:p>
      <w:pPr>
        <w:ind w:left="1420" w:hanging="1033"/>
        <w:spacing w:after="0"/>
        <w:tabs>
          <w:tab w:leader="none" w:pos="1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1996</w:t>
      </w:r>
    </w:p>
    <w:p>
      <w:pPr>
        <w:spacing w:after="0" w:line="182" w:lineRule="exact"/>
        <w:rPr>
          <w:rFonts w:ascii="Courier New" w:cs="Courier New" w:eastAsia="Courier New" w:hAnsi="Courier New"/>
          <w:sz w:val="16"/>
          <w:szCs w:val="16"/>
          <w:color w:val="auto"/>
        </w:rPr>
      </w:pPr>
    </w:p>
    <w:p>
      <w:pPr>
        <w:ind w:left="1140" w:hanging="753"/>
        <w:spacing w:after="0"/>
        <w:tabs>
          <w:tab w:leader="none" w:pos="11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nominee</w:t>
      </w:r>
    </w:p>
    <w:p>
      <w:pPr>
        <w:sectPr>
          <w:pgSz w:w="11900" w:h="16838" w:orient="portrait"/>
          <w:cols w:equalWidth="0" w:num="2">
            <w:col w:w="9180" w:space="360"/>
            <w:col w:w="1980"/>
          </w:cols>
          <w:pgMar w:left="240" w:top="481" w:right="139" w:bottom="1440" w:gutter="0" w:footer="0" w:header="0"/>
        </w:sectPr>
      </w:pPr>
    </w:p>
    <w:bookmarkStart w:id="6" w:name="page7"/>
    <w:bookmarkEnd w:id="6"/>
    <w:p>
      <w:pPr>
        <w:ind w:right="2839"/>
        <w:spacing w:after="0" w:line="237" w:lineRule="auto"/>
        <w:rPr>
          <w:sz w:val="20"/>
          <w:szCs w:val="20"/>
          <w:color w:val="auto"/>
        </w:rPr>
      </w:pPr>
      <w:r>
        <w:rPr>
          <w:rFonts w:ascii="Courier New" w:cs="Courier New" w:eastAsia="Courier New" w:hAnsi="Courier New"/>
          <w:sz w:val="16"/>
          <w:szCs w:val="16"/>
          <w:color w:val="auto"/>
        </w:rPr>
        <w:t>senior executives of the Company. The Compensation Committee held at least six meetings during fiscal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NOMINATION</w:t>
      </w:r>
    </w:p>
    <w:p>
      <w:pPr>
        <w:spacing w:after="0" w:line="186"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Sections 8 through 11 of Article II of the Company's By-Laws, adopted by the Board on August 23, 1988, provide that a candidate may not be nominated for election as a director at the annual meeting of shareholders unless the nomination was previously submitted to the Board or its nominating committee. A standing nominating committee has not been established although the Board has authority to do so. A shareholder wishing to nominate a candidate for director must do so no later than sixty days following the end of the Company's fiscal year. Nominations are deemed made when the Secretary of the Company receives all of the following: (1) all information about the nominee that may be required to be provided in any proxy statement pursuant to the Securities Exchange Act of 1934 and regulations promulgated thereunder; (2) an executed directors' questionnaire provided by the Company and completed by the nominee; (3) the nominee's statement consenting to his nomination and agreeing to serve, if elected; and (4) evidence that the person making the nomination is a shareholder. After reviewing the submission, the Board or the appointed nominating committee may, but need not, designate one or more of the nominees to appear as an alternate candidate on any proxy solicited by management or any proxy statement furnished by management. The number of such alternate candidates may not exceed the number of directors to be elected at that annual meeting. Exclusion of any eligible candidate from a proxy solicited by management does not affect the right of shareholders to nominate, vote for, or elect such candidate at any shareholders' meeting held within twelve months after submission of the nomination material described above.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COMPENSATION</w:t>
      </w:r>
    </w:p>
    <w:p>
      <w:pPr>
        <w:spacing w:after="0" w:line="186" w:lineRule="exact"/>
        <w:rPr>
          <w:sz w:val="20"/>
          <w:szCs w:val="20"/>
          <w:color w:val="auto"/>
        </w:rPr>
      </w:pPr>
    </w:p>
    <w:p>
      <w:pPr>
        <w:ind w:right="2759" w:firstLine="378"/>
        <w:spacing w:after="0" w:line="239" w:lineRule="auto"/>
        <w:rPr>
          <w:sz w:val="20"/>
          <w:szCs w:val="20"/>
          <w:color w:val="auto"/>
        </w:rPr>
      </w:pPr>
      <w:r>
        <w:rPr>
          <w:rFonts w:ascii="Courier New" w:cs="Courier New" w:eastAsia="Courier New" w:hAnsi="Courier New"/>
          <w:sz w:val="16"/>
          <w:szCs w:val="16"/>
          <w:color w:val="auto"/>
        </w:rPr>
        <w:t>During fiscal 1998, each director who is not an employee of the Company was paid $10,000 as an annual retainer plus $750 for each meeting attended. In addition to his regular director's fees, Carl J. Ahlgren received $1,500 in fiscal 1998 for his work in preparing last year's annual report.</w:t>
      </w:r>
    </w:p>
    <w:p>
      <w:pPr>
        <w:spacing w:after="0" w:line="187" w:lineRule="exact"/>
        <w:rPr>
          <w:sz w:val="20"/>
          <w:szCs w:val="20"/>
          <w:color w:val="auto"/>
        </w:rPr>
      </w:pPr>
    </w:p>
    <w:p>
      <w:pPr>
        <w:ind w:right="2759" w:firstLine="378"/>
        <w:spacing w:after="0" w:line="237" w:lineRule="auto"/>
        <w:rPr>
          <w:sz w:val="20"/>
          <w:szCs w:val="20"/>
          <w:color w:val="auto"/>
        </w:rPr>
      </w:pPr>
      <w:r>
        <w:rPr>
          <w:rFonts w:ascii="Courier New" w:cs="Courier New" w:eastAsia="Courier New" w:hAnsi="Courier New"/>
          <w:sz w:val="16"/>
          <w:szCs w:val="16"/>
          <w:color w:val="auto"/>
        </w:rPr>
        <w:t>THE BOARD OF DIRECTORS RECOMMENDS A VOTE "FOR" THE ELECTION OF ALL NOMINEES FOR DIRECTOR.</w:t>
      </w:r>
    </w:p>
    <w:p>
      <w:pPr>
        <w:spacing w:after="0" w:line="18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INCREASE OF THE COMPANY'S AUTHORIZED COMMON STOCK</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(PROPOSAL 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86"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At present, the Amended and Second Restated Articles of Incorporation of the Company authorize the issuance of 15,000,000 shares of Common Stock, $.05 par value. As of January 5, 1999, 11,323,030 shares of the Company's authorized shares of Common Stock were issued and outstanding and 3,676,970 shares were authorized but unissued. Of the authorized and unissued, no shares are reserved for issuance pursuant to outstanding options, warrants and other convertible securities of the Company. Accordingly, as of January 5, 1999, there were 3,676,970 shares of Common Stock available for issuance or sale by the Company other than those issuable as described above.</w:t>
      </w:r>
    </w:p>
    <w:p>
      <w:pPr>
        <w:spacing w:after="0" w:line="188"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The Board of Directors has unanimously proposed that the Company's Amended and Second Restated Articles of Incorporation be amended to increase the authorized number of shares of Common Stock from 15,000,000 to 30,000,000. The shareholders of the Company are being asked to approve this amendment at the Annual Meeting.</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8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PURPOSE AND EFFECTS OF THE PROPOSED AMENDMENT</w:t>
      </w:r>
    </w:p>
    <w:p>
      <w:pPr>
        <w:spacing w:after="0" w:line="186" w:lineRule="exact"/>
        <w:rPr>
          <w:sz w:val="20"/>
          <w:szCs w:val="20"/>
          <w:color w:val="auto"/>
        </w:rPr>
      </w:pPr>
    </w:p>
    <w:p>
      <w:pPr>
        <w:ind w:right="2659" w:firstLine="378"/>
        <w:spacing w:after="0" w:line="257" w:lineRule="auto"/>
        <w:rPr>
          <w:sz w:val="20"/>
          <w:szCs w:val="20"/>
          <w:color w:val="auto"/>
        </w:rPr>
      </w:pPr>
      <w:r>
        <w:rPr>
          <w:rFonts w:ascii="Courier New" w:cs="Courier New" w:eastAsia="Courier New" w:hAnsi="Courier New"/>
          <w:sz w:val="15"/>
          <w:szCs w:val="15"/>
          <w:color w:val="auto"/>
        </w:rPr>
        <w:t>The Board of Directors believes that it is necessary and desirable to increase the number of shares of Common Stock the Company is authorized to issue to give the Board of Directors additional flexibility to declare stock splits or dividends, adopt additional future employee benefit plans, make acquisitions through the use of stock, increase the number of shares in the market, enable the Board of Directors to reserve additional shares for issuance under any options, warrants or convertible securities which may be issued, and raise equity capital. The Board of Directors has no immediate plans, understandings or agreements or commitments to issue additional shares of Common Stock for any of these purposes. The flexibility inherent in having the authority to issue shares of Common Stock will, in the opinion of the Board of Directors, be advantageous to the Company in any negotiations involving the issuance of such stock.</w:t>
      </w:r>
    </w:p>
    <w:p>
      <w:pPr>
        <w:spacing w:after="0" w:line="181"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If adopted, the proposal will not, by itself, have any effect on the rights of holders of presently issued and outstanding shares of Common Stock. Under the Company's Amended and Second Restated Articles of Incorporation, the shareholders of the Company do not have preemptive rights with respect to the Common Stock. Thus, should the Board of Directors elect to issue additional shares of Common Stock, existing shareholders would not have any preferential rights to purchase such additional shares of Common Stock.</w:t>
      </w:r>
    </w:p>
    <w:p>
      <w:pPr>
        <w:spacing w:after="0" w:line="192" w:lineRule="exact"/>
        <w:rPr>
          <w:sz w:val="20"/>
          <w:szCs w:val="20"/>
          <w:color w:val="auto"/>
        </w:rPr>
      </w:pPr>
    </w:p>
    <w:p>
      <w:pPr>
        <w:ind w:right="2659" w:firstLine="378"/>
        <w:spacing w:after="0" w:line="257" w:lineRule="auto"/>
        <w:rPr>
          <w:sz w:val="20"/>
          <w:szCs w:val="20"/>
          <w:color w:val="auto"/>
        </w:rPr>
      </w:pPr>
      <w:r>
        <w:rPr>
          <w:rFonts w:ascii="Courier New" w:cs="Courier New" w:eastAsia="Courier New" w:hAnsi="Courier New"/>
          <w:sz w:val="15"/>
          <w:szCs w:val="15"/>
          <w:color w:val="auto"/>
        </w:rPr>
        <w:t>Although the Board of Directors is proposing this amendment to the Company's Amended and Second Restated Articles of Incorporation for the reasons stated above, the amendment could, under certain circumstances, discourage or make more difficult an attempt by a person or organization to gain control of the Company by tender offer or proxy contest, or to consummate a merger or consolidation with the Company after acquiring control, and to remove incumbent management, even if such transactions were favorable to the shareholders of the Company. Issuance of shares of Common Stock in a private placement to a person sympathetic to management and opposed to any attempt to gain control of the Company could make a change in control of the Company more difficult. Accordingly, this proposal to amend the Company's Amended and Second Restated Articles of Incorporation may be deemed (under certain circumstances which may or may not occur) to be an anti-takeover measure, although the proposal is not being proposed or presented as an anti-takeover measure.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RESOLUTION</w:t>
      </w:r>
    </w:p>
    <w:p>
      <w:pPr>
        <w:spacing w:after="0" w:line="186" w:lineRule="exact"/>
        <w:rPr>
          <w:sz w:val="20"/>
          <w:szCs w:val="20"/>
          <w:color w:val="auto"/>
        </w:rPr>
      </w:pPr>
    </w:p>
    <w:p>
      <w:pPr>
        <w:ind w:right="2939" w:firstLine="378"/>
        <w:spacing w:after="0" w:line="237" w:lineRule="auto"/>
        <w:rPr>
          <w:sz w:val="20"/>
          <w:szCs w:val="20"/>
          <w:color w:val="auto"/>
        </w:rPr>
      </w:pPr>
      <w:r>
        <w:rPr>
          <w:rFonts w:ascii="Courier New" w:cs="Courier New" w:eastAsia="Courier New" w:hAnsi="Courier New"/>
          <w:sz w:val="16"/>
          <w:szCs w:val="16"/>
          <w:color w:val="auto"/>
        </w:rPr>
        <w:t>A resolution in substantially the following form will be submitted to the shareholders at the Annual Meeting:</w:t>
      </w:r>
    </w:p>
    <w:p>
      <w:pPr>
        <w:spacing w:after="0" w:line="188" w:lineRule="exact"/>
        <w:rPr>
          <w:sz w:val="20"/>
          <w:szCs w:val="20"/>
          <w:color w:val="auto"/>
        </w:rPr>
      </w:pPr>
    </w:p>
    <w:p>
      <w:pPr>
        <w:ind w:left="380" w:right="2759"/>
        <w:spacing w:after="0" w:line="238" w:lineRule="auto"/>
        <w:rPr>
          <w:sz w:val="20"/>
          <w:szCs w:val="20"/>
          <w:color w:val="auto"/>
        </w:rPr>
      </w:pPr>
      <w:r>
        <w:rPr>
          <w:rFonts w:ascii="Courier New" w:cs="Courier New" w:eastAsia="Courier New" w:hAnsi="Courier New"/>
          <w:sz w:val="16"/>
          <w:szCs w:val="16"/>
          <w:color w:val="auto"/>
        </w:rPr>
        <w:t>RESOLVED, that the first sentence of Article VII of the Company's Amended and Second Restated Articles of Incorporation is amended in its entirety to read as follows:</w:t>
      </w:r>
    </w:p>
    <w:p>
      <w:pPr>
        <w:spacing w:after="0" w:line="188" w:lineRule="exact"/>
        <w:rPr>
          <w:sz w:val="20"/>
          <w:szCs w:val="20"/>
          <w:color w:val="auto"/>
        </w:rPr>
      </w:pPr>
    </w:p>
    <w:p>
      <w:pPr>
        <w:ind w:left="660" w:right="2659"/>
        <w:spacing w:after="0" w:line="238" w:lineRule="auto"/>
        <w:rPr>
          <w:sz w:val="20"/>
          <w:szCs w:val="20"/>
          <w:color w:val="auto"/>
        </w:rPr>
      </w:pPr>
      <w:r>
        <w:rPr>
          <w:rFonts w:ascii="Courier New" w:cs="Courier New" w:eastAsia="Courier New" w:hAnsi="Courier New"/>
          <w:sz w:val="16"/>
          <w:szCs w:val="16"/>
          <w:color w:val="auto"/>
        </w:rPr>
        <w:t>"The aggregate number of shares which this Corporation shall have the authority to issue is 30,000,000 shares of common stock, with a par value of $.05 per share."</w:t>
      </w:r>
    </w:p>
    <w:p>
      <w:pPr>
        <w:spacing w:after="0" w:line="188" w:lineRule="exact"/>
        <w:rPr>
          <w:sz w:val="20"/>
          <w:szCs w:val="20"/>
          <w:color w:val="auto"/>
        </w:rPr>
      </w:pPr>
    </w:p>
    <w:p>
      <w:pPr>
        <w:ind w:left="380" w:right="3039"/>
        <w:spacing w:after="0" w:line="239" w:lineRule="auto"/>
        <w:rPr>
          <w:sz w:val="20"/>
          <w:szCs w:val="20"/>
          <w:color w:val="auto"/>
        </w:rPr>
      </w:pPr>
      <w:r>
        <w:rPr>
          <w:rFonts w:ascii="Courier New" w:cs="Courier New" w:eastAsia="Courier New" w:hAnsi="Courier New"/>
          <w:sz w:val="16"/>
          <w:szCs w:val="16"/>
          <w:color w:val="auto"/>
        </w:rPr>
        <w:t>RESOLVED FURTHER, that the appropriate officers of the Company are authorized and directed to make, execute, acknowledge and file such certificates and documents as may be required by law with respect to the foregoing resolutions.</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BOARD OF DIRECTORS RECOMMENDS A VOTE FOR APPROVAL OF THIS AMENDMENT.</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77" w:right="1440" w:bottom="1440" w:gutter="0" w:footer="0" w:header="0"/>
        </w:sectPr>
      </w:pPr>
    </w:p>
    <w:bookmarkStart w:id="8" w:name="page9"/>
    <w:bookmarkEnd w:id="8"/>
    <w:p>
      <w:pPr>
        <w:jc w:val="center"/>
        <w:ind w:right="2759"/>
        <w:spacing w:after="0"/>
        <w:rPr>
          <w:sz w:val="20"/>
          <w:szCs w:val="20"/>
          <w:color w:val="auto"/>
        </w:rPr>
      </w:pPr>
      <w:r>
        <w:rPr>
          <w:rFonts w:ascii="Courier New" w:cs="Courier New" w:eastAsia="Courier New" w:hAnsi="Courier New"/>
          <w:sz w:val="16"/>
          <w:szCs w:val="16"/>
          <w:color w:val="auto"/>
        </w:rPr>
        <w:t>OTHER MATTERS</w:t>
      </w:r>
    </w:p>
    <w:p>
      <w:pPr>
        <w:spacing w:after="0" w:line="186"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Management does not know of any other business which will be presented for consideration at the annual meeting. If, however, any other business does properly come before the meeting, proxies will be voted in accordance with the best judgment of the person or persons acting under them.</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INDEPENDENT PUBLIC ACCOUNTANTS</w:t>
      </w:r>
    </w:p>
    <w:p>
      <w:pPr>
        <w:spacing w:after="0" w:line="186" w:lineRule="exact"/>
        <w:rPr>
          <w:sz w:val="20"/>
          <w:szCs w:val="20"/>
          <w:color w:val="auto"/>
        </w:rPr>
      </w:pPr>
    </w:p>
    <w:p>
      <w:pPr>
        <w:ind w:right="2759" w:firstLine="378"/>
        <w:spacing w:after="0" w:line="238" w:lineRule="auto"/>
        <w:rPr>
          <w:sz w:val="20"/>
          <w:szCs w:val="20"/>
          <w:color w:val="auto"/>
        </w:rPr>
      </w:pPr>
      <w:r>
        <w:rPr>
          <w:rFonts w:ascii="Courier New" w:cs="Courier New" w:eastAsia="Courier New" w:hAnsi="Courier New"/>
          <w:sz w:val="16"/>
          <w:szCs w:val="16"/>
          <w:color w:val="auto"/>
        </w:rPr>
        <w:t>Deloitte &amp; Touche LLP, independent certified public accountants, have been the auditors of the Company since 1971. They have been retained by the Board of Directors as the Company's auditors for the current fiscal year.</w:t>
      </w:r>
    </w:p>
    <w:p>
      <w:pPr>
        <w:spacing w:after="0" w:line="188" w:lineRule="exact"/>
        <w:rPr>
          <w:sz w:val="20"/>
          <w:szCs w:val="20"/>
          <w:color w:val="auto"/>
        </w:rPr>
      </w:pPr>
    </w:p>
    <w:p>
      <w:pPr>
        <w:ind w:right="2759" w:firstLine="378"/>
        <w:spacing w:after="0"/>
        <w:rPr>
          <w:sz w:val="20"/>
          <w:szCs w:val="20"/>
          <w:color w:val="auto"/>
        </w:rPr>
      </w:pPr>
      <w:r>
        <w:rPr>
          <w:rFonts w:ascii="Courier New" w:cs="Courier New" w:eastAsia="Courier New" w:hAnsi="Courier New"/>
          <w:sz w:val="16"/>
          <w:szCs w:val="16"/>
          <w:color w:val="auto"/>
        </w:rPr>
        <w:t>Audit services performed by Deloitte &amp; Touche LLP for the year ended September 27, 1998 consisted of the examination of the consolidated financial statements of the Company and services related to filings with the Securities and Exchange Commission. All services rendered by Deloitte &amp; Touche LLP are reviewed and approved by the Board of Directors. The Board of Directors has not specifically considered the independence of the auditors in relation to the services rendered, but the auditors have informed the Company that neither the firm nor any of its partners holds any financial interest in the securities of the Company.</w:t>
      </w:r>
    </w:p>
    <w:p>
      <w:pPr>
        <w:spacing w:after="0" w:line="188" w:lineRule="exact"/>
        <w:rPr>
          <w:sz w:val="20"/>
          <w:szCs w:val="20"/>
          <w:color w:val="auto"/>
        </w:rPr>
      </w:pPr>
    </w:p>
    <w:p>
      <w:pPr>
        <w:ind w:right="2759" w:firstLine="378"/>
        <w:spacing w:after="0" w:line="238" w:lineRule="auto"/>
        <w:rPr>
          <w:sz w:val="20"/>
          <w:szCs w:val="20"/>
          <w:color w:val="auto"/>
        </w:rPr>
      </w:pPr>
      <w:r>
        <w:rPr>
          <w:rFonts w:ascii="Courier New" w:cs="Courier New" w:eastAsia="Courier New" w:hAnsi="Courier New"/>
          <w:sz w:val="16"/>
          <w:szCs w:val="16"/>
          <w:color w:val="auto"/>
        </w:rPr>
        <w:t>Representatives of Deloitte &amp; Touche LLP are expected to attend this annual meeting with the opportunity to make a statement if they desire. They will be available to respond to appropriate questions.</w:t>
      </w:r>
    </w:p>
    <w:p>
      <w:pPr>
        <w:spacing w:after="0" w:line="18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COMPENSATION AND OTHER BENEFITS</w:t>
      </w:r>
    </w:p>
    <w:p>
      <w:pPr>
        <w:spacing w:after="0" w:line="186" w:lineRule="exact"/>
        <w:rPr>
          <w:sz w:val="20"/>
          <w:szCs w:val="20"/>
          <w:color w:val="auto"/>
        </w:rPr>
      </w:pPr>
    </w:p>
    <w:p>
      <w:pPr>
        <w:ind w:right="3119" w:firstLine="378"/>
        <w:spacing w:after="0" w:line="260" w:lineRule="auto"/>
        <w:rPr>
          <w:sz w:val="20"/>
          <w:szCs w:val="20"/>
          <w:color w:val="auto"/>
        </w:rPr>
      </w:pPr>
      <w:r>
        <w:rPr>
          <w:rFonts w:ascii="Courier New" w:cs="Courier New" w:eastAsia="Courier New" w:hAnsi="Courier New"/>
          <w:sz w:val="15"/>
          <w:szCs w:val="15"/>
          <w:color w:val="auto"/>
        </w:rPr>
        <w:t>The following table sets forth the compensation of the Chief Executive Officer and the four highest paid executive officers whose aggregate annual salary and bonus exceeded $100,000 for the Company's last fiscal year ended September 27, 1998 (collectively, the "Named Executive Officers"):</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7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1"/>
        </w:trPr>
        <w:tc>
          <w:tcPr>
            <w:tcW w:w="5380" w:type="dxa"/>
            <w:vAlign w:val="bottom"/>
            <w:gridSpan w:val="2"/>
          </w:tcPr>
          <w:p>
            <w:pPr>
              <w:ind w:left="2560"/>
              <w:spacing w:after="0"/>
              <w:rPr>
                <w:sz w:val="20"/>
                <w:szCs w:val="20"/>
                <w:color w:val="auto"/>
              </w:rPr>
            </w:pPr>
            <w:r>
              <w:rPr>
                <w:rFonts w:ascii="Courier New" w:cs="Courier New" w:eastAsia="Courier New" w:hAnsi="Courier New"/>
                <w:sz w:val="16"/>
                <w:szCs w:val="16"/>
                <w:color w:val="auto"/>
              </w:rPr>
              <w:t>SUMMARY COMPENSATION TABLE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728"/>
        </w:trPr>
        <w:tc>
          <w:tcPr>
            <w:tcW w:w="4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ANNUAL COMPENSATION</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4260" w:type="dxa"/>
            <w:vAlign w:val="bottom"/>
          </w:tcPr>
          <w:p>
            <w:pPr>
              <w:spacing w:after="0"/>
              <w:rPr>
                <w:sz w:val="15"/>
                <w:szCs w:val="15"/>
                <w:color w:val="auto"/>
              </w:rPr>
            </w:pPr>
          </w:p>
        </w:tc>
        <w:tc>
          <w:tcPr>
            <w:tcW w:w="5200" w:type="dxa"/>
            <w:vAlign w:val="bottom"/>
            <w:gridSpan w:val="7"/>
          </w:tcPr>
          <w:p>
            <w:pPr>
              <w:spacing w:after="0"/>
              <w:rPr>
                <w:sz w:val="20"/>
                <w:szCs w:val="20"/>
                <w:color w:val="auto"/>
              </w:rPr>
            </w:pPr>
            <w:r>
              <w:rPr>
                <w:rFonts w:ascii="Courier New" w:cs="Courier New" w:eastAsia="Courier New" w:hAnsi="Courier New"/>
                <w:sz w:val="16"/>
                <w:szCs w:val="16"/>
                <w:color w:val="auto"/>
                <w:w w:val="99"/>
              </w:rPr>
              <w:t>------------------------------------------------------</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OTHER</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ANNUAL</w:t>
            </w:r>
          </w:p>
        </w:tc>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ALL</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OTHER</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NAME AND PRINCIPAL POSITION</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FISCAL YEAR</w:t>
            </w:r>
          </w:p>
        </w:tc>
        <w:tc>
          <w:tcPr>
            <w:tcW w:w="24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SALARY</w:t>
            </w:r>
          </w:p>
        </w:tc>
        <w:tc>
          <w:tcPr>
            <w:tcW w:w="24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BONUS</w:t>
            </w:r>
          </w:p>
        </w:tc>
        <w:tc>
          <w:tcPr>
            <w:tcW w:w="17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COMPENSATION(a)</w:t>
            </w:r>
          </w:p>
        </w:tc>
        <w:tc>
          <w:tcPr>
            <w:tcW w:w="19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COMPENSATION(b)(c)</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718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  ----------  ----------  -----------------  ------------------</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Dean L. Hahn...............................</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161,325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157,000</w:t>
            </w:r>
          </w:p>
        </w:tc>
        <w:tc>
          <w:tcPr>
            <w:tcW w:w="7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 and</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151,865</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132,000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Chief Executive Officer</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141,640</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114,000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Donald L. Shipp............................</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151,333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157,000</w:t>
            </w:r>
          </w:p>
        </w:tc>
        <w:tc>
          <w:tcPr>
            <w:tcW w:w="7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Vice Chairman of the Board;</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141,903</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132,000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formerly President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131,567</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114,000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John R. Hawkins............................</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138,440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131,000</w:t>
            </w:r>
          </w:p>
        </w:tc>
        <w:tc>
          <w:tcPr>
            <w:tcW w:w="7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President and Secretary</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124,040</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111,000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118,240</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Howard M. Hawkins..........................</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132,540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124,000</w:t>
            </w:r>
          </w:p>
        </w:tc>
        <w:tc>
          <w:tcPr>
            <w:tcW w:w="7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 Treasurer</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124,040</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118,240</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Jon C. Eaton...............................</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97,300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99,000</w:t>
            </w:r>
          </w:p>
        </w:tc>
        <w:tc>
          <w:tcPr>
            <w:tcW w:w="700" w:type="dxa"/>
            <w:vAlign w:val="bottom"/>
          </w:tcPr>
          <w:p>
            <w:pPr>
              <w:jc w:val="center"/>
              <w:ind w:left="61"/>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Vice-President--Terminal</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93,800</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89,000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Operations</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85,800</w:t>
            </w:r>
          </w:p>
        </w:tc>
        <w:tc>
          <w:tcPr>
            <w:tcW w:w="24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80,000</w:t>
            </w:r>
          </w:p>
        </w:tc>
        <w:tc>
          <w:tcPr>
            <w:tcW w:w="7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4,500</w:t>
            </w:r>
          </w:p>
        </w:tc>
        <w:tc>
          <w:tcPr>
            <w:tcW w:w="80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EMPLOYEE STOCK PURCHASE PLAN</w:t>
      </w:r>
    </w:p>
    <w:p>
      <w:pPr>
        <w:spacing w:after="0" w:line="186" w:lineRule="exact"/>
        <w:rPr>
          <w:sz w:val="20"/>
          <w:szCs w:val="20"/>
          <w:color w:val="auto"/>
        </w:rPr>
      </w:pPr>
    </w:p>
    <w:p>
      <w:pPr>
        <w:ind w:right="3880" w:firstLine="378"/>
        <w:spacing w:after="0" w:line="258" w:lineRule="auto"/>
        <w:rPr>
          <w:sz w:val="20"/>
          <w:szCs w:val="20"/>
          <w:color w:val="auto"/>
        </w:rPr>
      </w:pPr>
      <w:r>
        <w:rPr>
          <w:rFonts w:ascii="Courier New" w:cs="Courier New" w:eastAsia="Courier New" w:hAnsi="Courier New"/>
          <w:sz w:val="15"/>
          <w:szCs w:val="15"/>
          <w:color w:val="auto"/>
        </w:rPr>
        <w:t>All employees of the Company and its subsidiary who have attained the age of 18 years and who have been employed by the Company for one year are eligible to participate in the Company's Employee Stock Purchase Plan. Under the Plan, each participant authorizes the Company to deduct a specified amount, not to exceed $500, from his paycheck each month, to which the Company adds a bonus of 75% of such amount, to be used by a depository agent to purchase common shares of the Company's stock for the participant's individual account under the Plan. Shares purchased with the Company's bonus vest over a five-year schedule.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MONEY PURCHASE PENSION PLAN</w:t>
      </w:r>
    </w:p>
    <w:p>
      <w:pPr>
        <w:spacing w:after="0" w:line="186" w:lineRule="exact"/>
        <w:rPr>
          <w:sz w:val="20"/>
          <w:szCs w:val="20"/>
          <w:color w:val="auto"/>
        </w:rPr>
      </w:pPr>
    </w:p>
    <w:p>
      <w:pPr>
        <w:ind w:right="3880" w:firstLine="378"/>
        <w:spacing w:after="0"/>
        <w:rPr>
          <w:sz w:val="20"/>
          <w:szCs w:val="20"/>
          <w:color w:val="auto"/>
        </w:rPr>
      </w:pPr>
      <w:r>
        <w:rPr>
          <w:rFonts w:ascii="Courier New" w:cs="Courier New" w:eastAsia="Courier New" w:hAnsi="Courier New"/>
          <w:sz w:val="16"/>
          <w:szCs w:val="16"/>
          <w:color w:val="auto"/>
        </w:rPr>
        <w:t>Non-bargaining employees of the Company and its subsidiary who have attained the age of 21 years and completed one year of service are eligible to participate in this defined contribution pension plan. For each year, the Company contributes an amount equal to seven percent of an eligible participant's compensation, and this amount is credited to an account maintained for the participant under the Plan. The maximum annual compensation that may be used to determine Plan benefits is capped at $160,000 for the current plan year; this limit will be adjusted in future years under federal tax law for cost-of-living increases.</w:t>
      </w:r>
    </w:p>
    <w:p>
      <w:pPr>
        <w:spacing w:after="0" w:line="188" w:lineRule="exact"/>
        <w:rPr>
          <w:sz w:val="20"/>
          <w:szCs w:val="20"/>
          <w:color w:val="auto"/>
        </w:rPr>
      </w:pPr>
    </w:p>
    <w:p>
      <w:pPr>
        <w:ind w:right="3880" w:firstLine="378"/>
        <w:spacing w:after="0" w:line="239" w:lineRule="auto"/>
        <w:rPr>
          <w:sz w:val="20"/>
          <w:szCs w:val="20"/>
          <w:color w:val="auto"/>
        </w:rPr>
      </w:pPr>
      <w:r>
        <w:rPr>
          <w:rFonts w:ascii="Courier New" w:cs="Courier New" w:eastAsia="Courier New" w:hAnsi="Courier New"/>
          <w:sz w:val="16"/>
          <w:szCs w:val="16"/>
          <w:color w:val="auto"/>
        </w:rPr>
        <w:t>Participant accounts are credited with the appropriate gains or losses resulting from investments made by the Plan. A participant is fully vested after completing seven years of service. At retirement, the participant receives the amount credited to his or her account either as a lump sum, in installments, or in the form of an annuity contract.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EMPLOYEE STOCK OWNERSHIP PLAN</w:t>
      </w:r>
    </w:p>
    <w:p>
      <w:pPr>
        <w:spacing w:after="0" w:line="186" w:lineRule="exact"/>
        <w:rPr>
          <w:sz w:val="20"/>
          <w:szCs w:val="20"/>
          <w:color w:val="auto"/>
        </w:rPr>
      </w:pPr>
    </w:p>
    <w:p>
      <w:pPr>
        <w:ind w:right="3880" w:firstLine="378"/>
        <w:spacing w:after="0" w:line="239" w:lineRule="auto"/>
        <w:rPr>
          <w:sz w:val="20"/>
          <w:szCs w:val="20"/>
          <w:color w:val="auto"/>
        </w:rPr>
      </w:pPr>
      <w:r>
        <w:rPr>
          <w:rFonts w:ascii="Courier New" w:cs="Courier New" w:eastAsia="Courier New" w:hAnsi="Courier New"/>
          <w:sz w:val="16"/>
          <w:szCs w:val="16"/>
          <w:color w:val="auto"/>
        </w:rPr>
        <w:t>Non-bargaining employees of the Company and its subsidiary who have attained the age of 21 years and completed one year of service are eligible to participate in the Company's Employee Stock Ownership Plan. Contributions to this Plan are made at the discretion of the Board of Directors and credited to individual accounts maintained for participants under the Plan.</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440"/>
          </w:cols>
          <w:pgMar w:left="240" w:top="477" w:right="219" w:bottom="1440" w:gutter="0" w:footer="0" w:header="0"/>
        </w:sectPr>
      </w:pPr>
    </w:p>
    <w:bookmarkStart w:id="10" w:name="page11"/>
    <w:bookmarkEnd w:id="10"/>
    <w:p>
      <w:pPr>
        <w:ind w:right="2759" w:firstLine="378"/>
        <w:spacing w:after="0"/>
        <w:rPr>
          <w:sz w:val="20"/>
          <w:szCs w:val="20"/>
          <w:color w:val="auto"/>
        </w:rPr>
      </w:pPr>
      <w:r>
        <w:rPr>
          <w:rFonts w:ascii="Courier New" w:cs="Courier New" w:eastAsia="Courier New" w:hAnsi="Courier New"/>
          <w:sz w:val="16"/>
          <w:szCs w:val="16"/>
          <w:color w:val="auto"/>
        </w:rPr>
        <w:t>The amount of each contribution credited to a participant's account is proportionate to that participant's compensation compared to the total compensation paid to all participants in the Plan. The maximum annual compensation that may be used to determine benefits in the current plan year is $160,000, which amount will be adjusted in future years for cost-of-living increases. In addition, the aggregate amount contributed in any one plan year for a participant under the Money Purchase Pension Plan and Employee Stock Ownership Plan may not exceed the lesser of 25% of compensation or $30,000.</w:t>
      </w:r>
    </w:p>
    <w:p>
      <w:pPr>
        <w:spacing w:after="0" w:line="187" w:lineRule="exact"/>
        <w:rPr>
          <w:sz w:val="20"/>
          <w:szCs w:val="20"/>
          <w:color w:val="auto"/>
        </w:rPr>
      </w:pPr>
    </w:p>
    <w:p>
      <w:pPr>
        <w:ind w:right="2759" w:firstLine="378"/>
        <w:spacing w:after="0" w:line="239" w:lineRule="auto"/>
        <w:rPr>
          <w:sz w:val="20"/>
          <w:szCs w:val="20"/>
          <w:color w:val="auto"/>
        </w:rPr>
      </w:pPr>
      <w:r>
        <w:rPr>
          <w:rFonts w:ascii="Courier New" w:cs="Courier New" w:eastAsia="Courier New" w:hAnsi="Courier New"/>
          <w:sz w:val="16"/>
          <w:szCs w:val="16"/>
          <w:color w:val="auto"/>
        </w:rPr>
        <w:t>Participant accounts in the Employee Stock Ownership Plan are also credited with the appropriate gains or losses resulting from Plan investments. A participant is fully vested after completing seven years of service. At retirement, the participant receives the amount credited to his or her account either as a lump sum or in installments.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GRANTS AND EXERCISES IN FISCAL 1998</w:t>
      </w:r>
    </w:p>
    <w:p>
      <w:pPr>
        <w:spacing w:after="0" w:line="186" w:lineRule="exact"/>
        <w:rPr>
          <w:sz w:val="20"/>
          <w:szCs w:val="20"/>
          <w:color w:val="auto"/>
        </w:rPr>
      </w:pPr>
    </w:p>
    <w:p>
      <w:pPr>
        <w:ind w:right="2839" w:firstLine="378"/>
        <w:spacing w:after="0" w:line="237" w:lineRule="auto"/>
        <w:rPr>
          <w:sz w:val="20"/>
          <w:szCs w:val="20"/>
          <w:color w:val="auto"/>
        </w:rPr>
      </w:pPr>
      <w:r>
        <w:rPr>
          <w:rFonts w:ascii="Courier New" w:cs="Courier New" w:eastAsia="Courier New" w:hAnsi="Courier New"/>
          <w:sz w:val="16"/>
          <w:szCs w:val="16"/>
          <w:color w:val="auto"/>
        </w:rPr>
        <w:t>There were no options granted or exercised by the Named Executive Officers in fiscal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REPRICING OF OPTIONS</w:t>
      </w:r>
    </w:p>
    <w:p>
      <w:pPr>
        <w:spacing w:after="0" w:line="18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86" w:lineRule="exact"/>
        <w:rPr>
          <w:sz w:val="20"/>
          <w:szCs w:val="20"/>
          <w:color w:val="auto"/>
        </w:rPr>
      </w:pPr>
    </w:p>
    <w:p>
      <w:pPr>
        <w:ind w:right="2659" w:firstLine="378"/>
        <w:spacing w:after="0" w:line="239" w:lineRule="auto"/>
        <w:rPr>
          <w:sz w:val="20"/>
          <w:szCs w:val="20"/>
          <w:color w:val="auto"/>
        </w:rPr>
      </w:pPr>
      <w:r>
        <w:rPr>
          <w:rFonts w:ascii="Courier New" w:cs="Courier New" w:eastAsia="Courier New" w:hAnsi="Courier New"/>
          <w:sz w:val="16"/>
          <w:szCs w:val="16"/>
          <w:color w:val="auto"/>
        </w:rPr>
        <w:t>All decisions regarding compensation of executive officers of the Company in fiscal 1998 were made by the Compensation Committee of the Board of Directors. During fiscal 1998, the Compensation Committee was made up of the following directors: John S. McKeon, Carl J. Ahlgren, Norman P. Anderson and Duane M. Jergenson. None of the current officers of the Company participates in any board vote setting his annual salary or bonus.</w:t>
      </w:r>
    </w:p>
    <w:p>
      <w:pPr>
        <w:spacing w:after="0" w:line="186"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COMPENSATION COMMITTEE REPORT ON ANNUAL COMPENSATION</w:t>
      </w:r>
    </w:p>
    <w:p>
      <w:pPr>
        <w:spacing w:after="0" w:line="186" w:lineRule="exact"/>
        <w:rPr>
          <w:sz w:val="20"/>
          <w:szCs w:val="20"/>
          <w:color w:val="auto"/>
        </w:rPr>
      </w:pPr>
    </w:p>
    <w:p>
      <w:pPr>
        <w:ind w:right="2759" w:firstLine="378"/>
        <w:spacing w:after="0" w:line="239" w:lineRule="auto"/>
        <w:rPr>
          <w:sz w:val="20"/>
          <w:szCs w:val="20"/>
          <w:color w:val="auto"/>
        </w:rPr>
      </w:pPr>
      <w:r>
        <w:rPr>
          <w:rFonts w:ascii="Courier New" w:cs="Courier New" w:eastAsia="Courier New" w:hAnsi="Courier New"/>
          <w:sz w:val="16"/>
          <w:szCs w:val="16"/>
          <w:color w:val="auto"/>
        </w:rPr>
        <w:t>The annual compensation programs of the Company are highly leveraged on the basis of performance. The Company's annual compensation mix generally has lower base salaries than comparable companies, coupled with a highly leveraged incentive system which will pay more with good performance and less with below par performance.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SALARIES</w:t>
      </w:r>
    </w:p>
    <w:p>
      <w:pPr>
        <w:spacing w:after="0" w:line="186" w:lineRule="exact"/>
        <w:rPr>
          <w:sz w:val="20"/>
          <w:szCs w:val="20"/>
          <w:color w:val="auto"/>
        </w:rPr>
      </w:pPr>
    </w:p>
    <w:p>
      <w:pPr>
        <w:ind w:right="3499" w:firstLine="378"/>
        <w:spacing w:after="0" w:line="237" w:lineRule="auto"/>
        <w:rPr>
          <w:sz w:val="20"/>
          <w:szCs w:val="20"/>
          <w:color w:val="auto"/>
        </w:rPr>
      </w:pPr>
      <w:r>
        <w:rPr>
          <w:rFonts w:ascii="Courier New" w:cs="Courier New" w:eastAsia="Courier New" w:hAnsi="Courier New"/>
          <w:sz w:val="16"/>
          <w:szCs w:val="16"/>
          <w:color w:val="auto"/>
        </w:rPr>
        <w:t>The salary increase of the Company's executive officers are tied to inflation, performance and increase in corporate profits.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BONUS PLAN</w:t>
      </w:r>
    </w:p>
    <w:p>
      <w:pPr>
        <w:spacing w:after="0" w:line="186" w:lineRule="exact"/>
        <w:rPr>
          <w:sz w:val="20"/>
          <w:szCs w:val="20"/>
          <w:color w:val="auto"/>
        </w:rPr>
      </w:pPr>
    </w:p>
    <w:p>
      <w:pPr>
        <w:ind w:right="2659" w:firstLine="378"/>
        <w:spacing w:after="0"/>
        <w:rPr>
          <w:sz w:val="20"/>
          <w:szCs w:val="20"/>
          <w:color w:val="auto"/>
        </w:rPr>
      </w:pPr>
      <w:r>
        <w:rPr>
          <w:rFonts w:ascii="Courier New" w:cs="Courier New" w:eastAsia="Courier New" w:hAnsi="Courier New"/>
          <w:sz w:val="16"/>
          <w:szCs w:val="16"/>
          <w:color w:val="auto"/>
        </w:rPr>
        <w:t>The bonus plan for executive officers is based on the following factors: corporate performance, business unit performance and personal performance. The corporate performance rating is based on the Company's percentage growth in earnings per share over the prior year and its return on equity. These two factors are the primary determinants of share price over time. Business unit ratings are based primarily on profit performance (market share performance, new product development, workplace diversity and other factors are also considered). Personal ratings can include such qualitative factors as quality of the strategic plan, organizational and management development progress and industry, public affairs, and civic involvement.</w:t>
      </w:r>
    </w:p>
    <w:p>
      <w:pPr>
        <w:spacing w:after="0" w:line="188" w:lineRule="exact"/>
        <w:rPr>
          <w:sz w:val="20"/>
          <w:szCs w:val="20"/>
          <w:color w:val="auto"/>
        </w:rPr>
      </w:pPr>
    </w:p>
    <w:p>
      <w:pPr>
        <w:ind w:right="2839" w:firstLine="378"/>
        <w:spacing w:after="0" w:line="239" w:lineRule="auto"/>
        <w:rPr>
          <w:sz w:val="20"/>
          <w:szCs w:val="20"/>
          <w:color w:val="auto"/>
        </w:rPr>
      </w:pPr>
      <w:r>
        <w:rPr>
          <w:rFonts w:ascii="Courier New" w:cs="Courier New" w:eastAsia="Courier New" w:hAnsi="Courier New"/>
          <w:sz w:val="16"/>
          <w:szCs w:val="16"/>
          <w:color w:val="auto"/>
        </w:rPr>
        <w:t>Corporate business unit ratings can range from .5 to 1.8 with top annual performance represented by a 1.5 or higher rating. Personal ratings can range from 0.0 to 1.5. These ratings are then combined with the participant's target incentive participation rate (a percentage of base salary which increases for higher positions within the Company). Both business unit and personal ratings are heavily dependent on</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81" w:right="1440" w:bottom="1440" w:gutter="0" w:footer="0" w:header="0"/>
        </w:sectPr>
      </w:pPr>
    </w:p>
    <w:bookmarkStart w:id="11" w:name="page12"/>
    <w:bookmarkEnd w:id="11"/>
    <w:p>
      <w:pPr>
        <w:ind w:right="2659"/>
        <w:spacing w:after="0" w:line="239" w:lineRule="auto"/>
        <w:rPr>
          <w:sz w:val="20"/>
          <w:szCs w:val="20"/>
          <w:color w:val="auto"/>
        </w:rPr>
      </w:pPr>
      <w:r>
        <w:rPr>
          <w:rFonts w:ascii="Courier New" w:cs="Courier New" w:eastAsia="Courier New" w:hAnsi="Courier New"/>
          <w:sz w:val="16"/>
          <w:szCs w:val="16"/>
          <w:color w:val="auto"/>
        </w:rPr>
        <w:t>achievement of financial objectives. The weights for executive officers are 50% corporate and 50% personal, while business unit officers are generally 38% unit, 12% corporate and 50% personal. The total corporate bonus package is approximately 11% of the Company's income from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COMPENSATION</w:t>
      </w:r>
    </w:p>
    <w:p>
      <w:pPr>
        <w:spacing w:after="0" w:line="186" w:lineRule="exact"/>
        <w:rPr>
          <w:sz w:val="20"/>
          <w:szCs w:val="20"/>
          <w:color w:val="auto"/>
        </w:rPr>
      </w:pPr>
    </w:p>
    <w:p>
      <w:pPr>
        <w:ind w:right="2759" w:firstLine="378"/>
        <w:spacing w:after="0" w:line="237" w:lineRule="auto"/>
        <w:rPr>
          <w:sz w:val="20"/>
          <w:szCs w:val="20"/>
          <w:color w:val="auto"/>
        </w:rPr>
      </w:pPr>
      <w:r>
        <w:rPr>
          <w:rFonts w:ascii="Courier New" w:cs="Courier New" w:eastAsia="Courier New" w:hAnsi="Courier New"/>
          <w:sz w:val="16"/>
          <w:szCs w:val="16"/>
          <w:color w:val="auto"/>
        </w:rPr>
        <w:t>The compensation of Dean R. Hahn, Chief Executive Officer, is determined in the same manner as set forth above for all other executive officers.</w:t>
      </w:r>
    </w:p>
    <w:p>
      <w:pPr>
        <w:spacing w:after="0" w:line="18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COMPENSATION COMMITTEE</w:t>
      </w:r>
    </w:p>
    <w:p>
      <w:pPr>
        <w:sectPr>
          <w:pgSz w:w="11900" w:h="16838" w:orient="portrait"/>
          <w:cols w:equalWidth="0" w:num="1">
            <w:col w:w="10219"/>
          </w:cols>
          <w:pgMar w:left="240" w:top="481" w:right="1440" w:bottom="1440" w:gutter="0" w:footer="0" w:header="0"/>
        </w:sectPr>
      </w:pPr>
    </w:p>
    <w:p>
      <w:pPr>
        <w:spacing w:after="0" w:line="186" w:lineRule="exact"/>
        <w:rPr>
          <w:sz w:val="20"/>
          <w:szCs w:val="20"/>
          <w:color w:val="auto"/>
        </w:rPr>
      </w:pPr>
    </w:p>
    <w:p>
      <w:pPr>
        <w:spacing w:after="0" w:line="267" w:lineRule="auto"/>
        <w:rPr>
          <w:sz w:val="20"/>
          <w:szCs w:val="20"/>
          <w:color w:val="auto"/>
        </w:rPr>
      </w:pPr>
      <w:r>
        <w:rPr>
          <w:rFonts w:ascii="Courier New" w:cs="Courier New" w:eastAsia="Courier New" w:hAnsi="Courier New"/>
          <w:sz w:val="15"/>
          <w:szCs w:val="15"/>
          <w:color w:val="auto"/>
        </w:rPr>
        <w:t>Carl J. Ahlgren Duane M. Jergenson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Norman P. Anderson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S. McKeon</w:t>
      </w:r>
    </w:p>
    <w:p>
      <w:pPr>
        <w:spacing w:after="0" w:line="182" w:lineRule="exact"/>
        <w:rPr>
          <w:sz w:val="20"/>
          <w:szCs w:val="20"/>
          <w:color w:val="auto"/>
        </w:rPr>
      </w:pPr>
    </w:p>
    <w:p>
      <w:pPr>
        <w:sectPr>
          <w:pgSz w:w="11900" w:h="16838" w:orient="portrait"/>
          <w:cols w:equalWidth="0" w:num="2">
            <w:col w:w="1700" w:space="660"/>
            <w:col w:w="7859"/>
          </w:cols>
          <w:pgMar w:left="240" w:top="481" w:right="1440" w:bottom="1440" w:gutter="0" w:footer="0" w:header="0"/>
          <w:type w:val="continuous"/>
        </w:sectPr>
      </w:pPr>
    </w:p>
    <w:p>
      <w:pPr>
        <w:ind w:left="2560"/>
        <w:spacing w:after="0"/>
        <w:rPr>
          <w:sz w:val="20"/>
          <w:szCs w:val="20"/>
          <w:color w:val="auto"/>
        </w:rPr>
      </w:pPr>
      <w:r>
        <w:rPr>
          <w:rFonts w:ascii="Courier New" w:cs="Courier New" w:eastAsia="Courier New" w:hAnsi="Courier New"/>
          <w:sz w:val="16"/>
          <w:szCs w:val="16"/>
          <w:color w:val="auto"/>
        </w:rPr>
        <w:t>RELATED PARTY TRANSACTIONS</w:t>
      </w:r>
    </w:p>
    <w:p>
      <w:pPr>
        <w:spacing w:after="0" w:line="18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None.</w:t>
      </w:r>
    </w:p>
    <w:p>
      <w:pPr>
        <w:spacing w:after="0" w:line="186"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COMPARATIVE STOCK PERFORMANCE GRAPH</w:t>
      </w:r>
    </w:p>
    <w:p>
      <w:pPr>
        <w:sectPr>
          <w:pgSz w:w="11900" w:h="16838" w:orient="portrait"/>
          <w:cols w:equalWidth="0" w:num="1">
            <w:col w:w="10219"/>
          </w:cols>
          <w:pgMar w:left="240" w:top="481" w:right="1440" w:bottom="1440" w:gutter="0" w:footer="0" w:header="0"/>
          <w:type w:val="continuous"/>
        </w:sectPr>
      </w:pPr>
    </w:p>
    <w:p>
      <w:pPr>
        <w:spacing w:after="0" w:line="194" w:lineRule="exact"/>
        <w:rPr>
          <w:sz w:val="20"/>
          <w:szCs w:val="20"/>
          <w:color w:val="auto"/>
        </w:rPr>
      </w:pPr>
    </w:p>
    <w:p>
      <w:pPr>
        <w:ind w:right="2659" w:firstLine="378"/>
        <w:spacing w:after="0" w:line="258" w:lineRule="auto"/>
        <w:rPr>
          <w:sz w:val="20"/>
          <w:szCs w:val="20"/>
          <w:color w:val="auto"/>
        </w:rPr>
      </w:pPr>
      <w:r>
        <w:rPr>
          <w:rFonts w:ascii="Courier New" w:cs="Courier New" w:eastAsia="Courier New" w:hAnsi="Courier New"/>
          <w:sz w:val="15"/>
          <w:szCs w:val="15"/>
          <w:color w:val="auto"/>
        </w:rPr>
        <w:t>The following is a graph comparing the annual percentage change in the cumulative total shareholder return on the Company's Common Stock with the cumulative total returns of the NASDAQ Composite Index and the NASDAQ Industrial Index for the Company's last five fiscal years. The graph assumes the investment of $100 in the Company's Common Stock, the NASDAQ Composite Index and the NASDAQ Industrial Index on October 3, 1993, and reinvestment of all dividends.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EDGAR REPRESENTATION OF DATA POINTS USED IN PRINTED GRAPHIC</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YEAR</w:t>
            </w:r>
          </w:p>
        </w:tc>
        <w:tc>
          <w:tcPr>
            <w:tcW w:w="26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364"/>
        </w:trPr>
        <w:tc>
          <w:tcPr>
            <w:tcW w:w="900" w:type="dxa"/>
            <w:vAlign w:val="bottom"/>
          </w:tcPr>
          <w:p>
            <w:pPr>
              <w:spacing w:after="0"/>
              <w:rPr>
                <w:sz w:val="24"/>
                <w:szCs w:val="24"/>
                <w:color w:val="auto"/>
              </w:rPr>
            </w:pPr>
          </w:p>
        </w:tc>
        <w:tc>
          <w:tcPr>
            <w:tcW w:w="26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NASDAQ Industrial Index</w:t>
            </w:r>
          </w:p>
        </w:tc>
        <w:tc>
          <w:tcPr>
            <w:tcW w:w="2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NASDAQ Composite Index</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Hawkins Chemical, Inc.</w:t>
            </w:r>
          </w:p>
        </w:tc>
      </w:tr>
      <w:tr>
        <w:trPr>
          <w:trHeight w:val="364"/>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1993</w:t>
            </w:r>
          </w:p>
        </w:tc>
        <w:tc>
          <w:tcPr>
            <w:tcW w:w="26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$100.00</w:t>
            </w:r>
          </w:p>
        </w:tc>
        <w:tc>
          <w:tcPr>
            <w:tcW w:w="2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$100.00</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2"/>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1994</w:t>
            </w:r>
          </w:p>
        </w:tc>
        <w:tc>
          <w:tcPr>
            <w:tcW w:w="26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99.66</w:t>
            </w:r>
          </w:p>
        </w:tc>
        <w:tc>
          <w:tcPr>
            <w:tcW w:w="2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101.29</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130.30</w:t>
            </w:r>
          </w:p>
        </w:tc>
      </w:tr>
      <w:tr>
        <w:trPr>
          <w:trHeight w:val="182"/>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1995</w:t>
            </w:r>
          </w:p>
        </w:tc>
        <w:tc>
          <w:tcPr>
            <w:tcW w:w="26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125.83</w:t>
            </w:r>
          </w:p>
        </w:tc>
        <w:tc>
          <w:tcPr>
            <w:tcW w:w="2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138.28</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166.88</w:t>
            </w:r>
          </w:p>
        </w:tc>
      </w:tr>
      <w:tr>
        <w:trPr>
          <w:trHeight w:val="182"/>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1996</w:t>
            </w:r>
          </w:p>
        </w:tc>
        <w:tc>
          <w:tcPr>
            <w:tcW w:w="26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141.98</w:t>
            </w:r>
          </w:p>
        </w:tc>
        <w:tc>
          <w:tcPr>
            <w:tcW w:w="2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163.00</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172.70</w:t>
            </w:r>
          </w:p>
        </w:tc>
      </w:tr>
      <w:tr>
        <w:trPr>
          <w:trHeight w:val="182"/>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1997</w:t>
            </w:r>
          </w:p>
        </w:tc>
        <w:tc>
          <w:tcPr>
            <w:tcW w:w="26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175.69</w:t>
            </w:r>
          </w:p>
        </w:tc>
        <w:tc>
          <w:tcPr>
            <w:tcW w:w="2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224.60</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233.33</w:t>
            </w:r>
          </w:p>
        </w:tc>
      </w:tr>
      <w:tr>
        <w:trPr>
          <w:trHeight w:val="182"/>
        </w:trPr>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1998</w:t>
            </w:r>
          </w:p>
        </w:tc>
        <w:tc>
          <w:tcPr>
            <w:tcW w:w="26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135.67</w:t>
            </w:r>
          </w:p>
        </w:tc>
        <w:tc>
          <w:tcPr>
            <w:tcW w:w="2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230.47</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246.13</w:t>
            </w:r>
          </w:p>
        </w:tc>
      </w:tr>
      <w:tr>
        <w:trPr>
          <w:trHeight w:val="546"/>
        </w:trPr>
        <w:tc>
          <w:tcPr>
            <w:tcW w:w="9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500" w:type="dxa"/>
            <w:vAlign w:val="bottom"/>
          </w:tcPr>
          <w:p>
            <w:pPr>
              <w:jc w:val="right"/>
              <w:ind w:right="2081"/>
              <w:spacing w:after="0"/>
              <w:rPr>
                <w:sz w:val="20"/>
                <w:szCs w:val="20"/>
                <w:color w:val="auto"/>
              </w:rPr>
            </w:pPr>
            <w:r>
              <w:rPr>
                <w:rFonts w:ascii="Courier New" w:cs="Courier New" w:eastAsia="Courier New" w:hAnsi="Courier New"/>
                <w:sz w:val="16"/>
                <w:szCs w:val="16"/>
                <w:color w:val="auto"/>
              </w:rPr>
              <w:t>10</w:t>
            </w:r>
          </w:p>
        </w:tc>
        <w:tc>
          <w:tcPr>
            <w:tcW w:w="2180" w:type="dxa"/>
            <w:vAlign w:val="bottom"/>
          </w:tcPr>
          <w:p>
            <w:pPr>
              <w:spacing w:after="0"/>
              <w:rPr>
                <w:sz w:val="24"/>
                <w:szCs w:val="24"/>
                <w:color w:val="auto"/>
              </w:rPr>
            </w:pPr>
          </w:p>
        </w:tc>
      </w:tr>
    </w:tbl>
    <w:p>
      <w:pPr>
        <w:sectPr>
          <w:pgSz w:w="11900" w:h="16838" w:orient="portrait"/>
          <w:cols w:equalWidth="0" w:num="1">
            <w:col w:w="10219"/>
          </w:cols>
          <w:pgMar w:left="240" w:top="481" w:right="1440" w:bottom="1440" w:gutter="0" w:footer="0" w:header="0"/>
          <w:type w:val="continuous"/>
        </w:sectPr>
      </w:pPr>
    </w:p>
    <w:bookmarkStart w:id="12" w:name="page13"/>
    <w:bookmarkEnd w:id="12"/>
    <w:p>
      <w:pPr>
        <w:jc w:val="center"/>
        <w:ind w:right="2759"/>
        <w:spacing w:after="0"/>
        <w:rPr>
          <w:sz w:val="20"/>
          <w:szCs w:val="20"/>
          <w:color w:val="auto"/>
        </w:rPr>
      </w:pPr>
      <w:r>
        <w:rPr>
          <w:rFonts w:ascii="Courier New" w:cs="Courier New" w:eastAsia="Courier New" w:hAnsi="Courier New"/>
          <w:sz w:val="16"/>
          <w:szCs w:val="16"/>
          <w:color w:val="auto"/>
        </w:rPr>
        <w:t>PROPOSALS BY SHAREHOLDERS</w:t>
      </w:r>
    </w:p>
    <w:p>
      <w:pPr>
        <w:spacing w:after="0" w:line="186" w:lineRule="exact"/>
        <w:rPr>
          <w:sz w:val="20"/>
          <w:szCs w:val="20"/>
          <w:color w:val="auto"/>
        </w:rPr>
      </w:pPr>
    </w:p>
    <w:p>
      <w:pPr>
        <w:ind w:right="3039" w:firstLine="378"/>
        <w:spacing w:after="0" w:line="239" w:lineRule="auto"/>
        <w:rPr>
          <w:sz w:val="20"/>
          <w:szCs w:val="20"/>
          <w:color w:val="auto"/>
        </w:rPr>
      </w:pPr>
      <w:r>
        <w:rPr>
          <w:rFonts w:ascii="Courier New" w:cs="Courier New" w:eastAsia="Courier New" w:hAnsi="Courier New"/>
          <w:sz w:val="16"/>
          <w:szCs w:val="16"/>
          <w:color w:val="auto"/>
        </w:rPr>
        <w:t>Any proposal that a shareholder intends to present at the 2000 Annual Meeting must be received by the Company no later than September 24, 1999 for inclusion in the 2000 Notice of Annual Meeting, Proxy Statement, and form of proxy.</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10-K</w:t>
      </w:r>
    </w:p>
    <w:p>
      <w:pPr>
        <w:spacing w:after="0" w:line="186" w:lineRule="exact"/>
        <w:rPr>
          <w:sz w:val="20"/>
          <w:szCs w:val="20"/>
          <w:color w:val="auto"/>
        </w:rPr>
      </w:pPr>
    </w:p>
    <w:p>
      <w:pPr>
        <w:ind w:right="2759" w:firstLine="378"/>
        <w:spacing w:after="0" w:line="239" w:lineRule="auto"/>
        <w:rPr>
          <w:sz w:val="20"/>
          <w:szCs w:val="20"/>
          <w:color w:val="auto"/>
        </w:rPr>
      </w:pPr>
      <w:r>
        <w:rPr>
          <w:rFonts w:ascii="Courier New" w:cs="Courier New" w:eastAsia="Courier New" w:hAnsi="Courier New"/>
          <w:sz w:val="16"/>
          <w:szCs w:val="16"/>
          <w:color w:val="auto"/>
        </w:rPr>
        <w:t>The Company will provide each person whose proxy is solicited, upon the written request of any such person, a copy of its annual report on Form 10-K as filed with the Securities and Exchange Commission, including the financial statements and financial statement schedules required to be filed with the Commission. Such written request should be directed to John R. Hawkins, Corporate Secretary, Hawkins Chemical, Inc., 3100 East Hennepin Avenue, Minneapolis, Minnesota 55413.</w:t>
      </w:r>
    </w:p>
    <w:p>
      <w:pPr>
        <w:spacing w:after="0" w:line="188"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6"/>
          <w:szCs w:val="16"/>
          <w:color w:val="auto"/>
        </w:rPr>
        <w:t>Dated: January 22, 1999.</w:t>
      </w:r>
      <w:r>
        <w:rPr>
          <w:sz w:val="20"/>
          <w:szCs w:val="20"/>
          <w:color w:val="auto"/>
        </w:rPr>
        <w:tab/>
      </w:r>
      <w:r>
        <w:rPr>
          <w:rFonts w:ascii="Courier New" w:cs="Courier New" w:eastAsia="Courier New" w:hAnsi="Courier New"/>
          <w:sz w:val="15"/>
          <w:szCs w:val="15"/>
          <w:color w:val="auto"/>
        </w:rPr>
        <w:t>BY ORDER OF THE BOARD OF DIRECTORS</w:t>
      </w:r>
    </w:p>
    <w:p>
      <w:pPr>
        <w:spacing w:after="0" w:line="183"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JOHN R. HAWKINS, SECRETARY</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77" w:right="1440" w:bottom="1440" w:gutter="0" w:footer="0" w:header="0"/>
        </w:sectPr>
      </w:pPr>
    </w:p>
    <w:bookmarkStart w:id="13" w:name="page14"/>
    <w:bookmarkEnd w:id="13"/>
    <w:p>
      <w:pPr>
        <w:jc w:val="right"/>
        <w:ind w:right="2659"/>
        <w:spacing w:after="0"/>
        <w:rPr>
          <w:sz w:val="20"/>
          <w:szCs w:val="20"/>
          <w:color w:val="auto"/>
        </w:rPr>
      </w:pPr>
      <w:r>
        <w:rPr>
          <w:rFonts w:ascii="Courier New" w:cs="Courier New" w:eastAsia="Courier New" w:hAnsi="Courier New"/>
          <w:sz w:val="16"/>
          <w:szCs w:val="16"/>
          <w:color w:val="auto"/>
        </w:rPr>
        <w:t>PRELIMINARY COPY</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HAWKINS CHEMICAL, INC.</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PROXY FOR ANNUAL MEETING OF SHAREHOLDERS</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FEBRUARY 24, 1999</w:t>
      </w:r>
    </w:p>
    <w:p>
      <w:pPr>
        <w:spacing w:after="0" w:line="186"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5"/>
          <w:szCs w:val="15"/>
          <w:color w:val="auto"/>
        </w:rPr>
        <w:t>THIS PROXY IS SOLICITED ON BEHALF OF THE BOARD OF DIRECTORS OF HAWKINS CHEMICAL,</w:t>
      </w:r>
    </w:p>
    <w:p>
      <w:pPr>
        <w:spacing w:after="0" w:line="8"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INC.</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The undersigned hereby appoints Dean L. Hahn, Donald L. Shipp and John R. Hawkins or a majority of them, as Proxies, each with the power to appoint his substitute, and hereby authorizes them to represent and to vote, as designated below, all the shares of common stock of Hawkins Chemical, Inc. held of record by the undersigned on January 19, 1999, at the Annual Meeting of Shareholders of Hawkins Chemical, Inc. to be held at 3:00 P.M. on Wednesday, February 24, 1999, at Midland Hills Country Club, 2001 Fulham Street, St. Paul, Minnesota, and any adjournment thereof.</w:t>
      </w:r>
    </w:p>
    <w:p>
      <w:pPr>
        <w:spacing w:after="0" w:line="183" w:lineRule="exact"/>
        <w:rPr>
          <w:sz w:val="20"/>
          <w:szCs w:val="20"/>
          <w:color w:val="auto"/>
        </w:rPr>
      </w:pPr>
    </w:p>
    <w:p>
      <w:pPr>
        <w:ind w:left="3"/>
        <w:spacing w:after="0"/>
        <w:tabs>
          <w:tab w:leader="none" w:pos="443" w:val="left"/>
          <w:tab w:leader="none" w:pos="1783" w:val="left"/>
          <w:tab w:leader="none" w:pos="2243" w:val="left"/>
        </w:tabs>
        <w:rPr>
          <w:sz w:val="20"/>
          <w:szCs w:val="20"/>
          <w:color w:val="auto"/>
        </w:rPr>
      </w:pPr>
      <w:r>
        <w:rPr>
          <w:rFonts w:ascii="Courier New" w:cs="Courier New" w:eastAsia="Courier New" w:hAnsi="Courier New"/>
          <w:sz w:val="16"/>
          <w:szCs w:val="16"/>
          <w:color w:val="auto"/>
        </w:rPr>
        <w:t>1.</w:t>
        <w:tab/>
        <w:t>ELECTION OF</w:t>
        <w:tab/>
        <w:t>/ /</w:t>
      </w:r>
      <w:r>
        <w:rPr>
          <w:sz w:val="20"/>
          <w:szCs w:val="20"/>
          <w:color w:val="auto"/>
        </w:rPr>
        <w:tab/>
      </w:r>
      <w:r>
        <w:rPr>
          <w:rFonts w:ascii="Courier New" w:cs="Courier New" w:eastAsia="Courier New" w:hAnsi="Courier New"/>
          <w:sz w:val="15"/>
          <w:szCs w:val="15"/>
          <w:color w:val="auto"/>
        </w:rPr>
        <w:t>FOR all nominees listed below</w:t>
      </w:r>
    </w:p>
    <w:p>
      <w:pPr>
        <w:spacing w:after="0" w:line="1" w:lineRule="exact"/>
        <w:rPr>
          <w:sz w:val="20"/>
          <w:szCs w:val="20"/>
          <w:color w:val="auto"/>
        </w:rPr>
      </w:pPr>
    </w:p>
    <w:p>
      <w:pPr>
        <w:ind w:left="463"/>
        <w:spacing w:after="0"/>
        <w:tabs>
          <w:tab w:leader="none" w:pos="2063" w:val="left"/>
        </w:tabs>
        <w:rPr>
          <w:sz w:val="20"/>
          <w:szCs w:val="20"/>
          <w:color w:val="auto"/>
        </w:rPr>
      </w:pPr>
      <w:r>
        <w:rPr>
          <w:rFonts w:ascii="Courier New" w:cs="Courier New" w:eastAsia="Courier New" w:hAnsi="Courier New"/>
          <w:sz w:val="16"/>
          <w:szCs w:val="16"/>
          <w:color w:val="auto"/>
        </w:rPr>
        <w:t>DIRECTORS:</w:t>
      </w:r>
      <w:r>
        <w:rPr>
          <w:sz w:val="20"/>
          <w:szCs w:val="20"/>
          <w:color w:val="auto"/>
        </w:rPr>
        <w:tab/>
      </w:r>
      <w:r>
        <w:rPr>
          <w:rFonts w:ascii="Courier New" w:cs="Courier New" w:eastAsia="Courier New" w:hAnsi="Courier New"/>
          <w:sz w:val="16"/>
          <w:szCs w:val="16"/>
          <w:color w:val="auto"/>
        </w:rPr>
        <w:t>EXCEPT those I have struck by a</w:t>
      </w:r>
    </w:p>
    <w:p>
      <w:pPr>
        <w:spacing w:after="0" w:line="1" w:lineRule="exact"/>
        <w:rPr>
          <w:sz w:val="20"/>
          <w:szCs w:val="20"/>
          <w:color w:val="auto"/>
        </w:rPr>
      </w:pPr>
    </w:p>
    <w:p>
      <w:pPr>
        <w:ind w:left="2083"/>
        <w:spacing w:after="0"/>
        <w:rPr>
          <w:sz w:val="20"/>
          <w:szCs w:val="20"/>
          <w:color w:val="auto"/>
        </w:rPr>
      </w:pPr>
      <w:r>
        <w:rPr>
          <w:rFonts w:ascii="Courier New" w:cs="Courier New" w:eastAsia="Courier New" w:hAnsi="Courier New"/>
          <w:sz w:val="16"/>
          <w:szCs w:val="16"/>
          <w:color w:val="auto"/>
        </w:rPr>
        <w:t>line through their names.</w:t>
      </w:r>
    </w:p>
    <w:p>
      <w:pPr>
        <w:spacing w:after="0" w:line="1"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Dean L. Hahn, Howard M. Hawkins, Donald L. Shipp,</w:t>
      </w:r>
    </w:p>
    <w:p>
      <w:pPr>
        <w:spacing w:after="0" w:line="1"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John S. McKeon, John R. Hawkins, Duane M. Jergenson, G. Robert Gey,</w:t>
      </w:r>
    </w:p>
    <w:p>
      <w:pPr>
        <w:spacing w:after="0" w:line="1" w:lineRule="exact"/>
        <w:rPr>
          <w:sz w:val="20"/>
          <w:szCs w:val="20"/>
          <w:color w:val="auto"/>
        </w:rPr>
      </w:pPr>
    </w:p>
    <w:p>
      <w:pPr>
        <w:ind w:left="1803"/>
        <w:spacing w:after="0"/>
        <w:tabs>
          <w:tab w:leader="none" w:pos="22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WITHHOLD AUTHORITY</w:t>
      </w:r>
    </w:p>
    <w:p>
      <w:pPr>
        <w:spacing w:after="0" w:line="1" w:lineRule="exact"/>
        <w:rPr>
          <w:sz w:val="20"/>
          <w:szCs w:val="20"/>
          <w:color w:val="auto"/>
        </w:rPr>
      </w:pPr>
    </w:p>
    <w:p>
      <w:pPr>
        <w:ind w:left="2083"/>
        <w:spacing w:after="0"/>
        <w:rPr>
          <w:sz w:val="20"/>
          <w:szCs w:val="20"/>
          <w:color w:val="auto"/>
        </w:rPr>
      </w:pPr>
      <w:r>
        <w:rPr>
          <w:rFonts w:ascii="Courier New" w:cs="Courier New" w:eastAsia="Courier New" w:hAnsi="Courier New"/>
          <w:sz w:val="16"/>
          <w:szCs w:val="16"/>
          <w:color w:val="auto"/>
        </w:rPr>
        <w:t>to vote for ALL nominees listed above.</w:t>
      </w:r>
    </w:p>
    <w:p>
      <w:pPr>
        <w:spacing w:after="0" w:line="1" w:lineRule="exact"/>
        <w:rPr>
          <w:sz w:val="20"/>
          <w:szCs w:val="20"/>
          <w:color w:val="auto"/>
        </w:rPr>
      </w:pPr>
    </w:p>
    <w:p>
      <w:pPr>
        <w:ind w:left="463" w:hanging="463"/>
        <w:spacing w:after="0"/>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INCREASE THE COMPANY'S AUTHORIZED COMMON STOCK:</w:t>
      </w:r>
    </w:p>
    <w:p>
      <w:pPr>
        <w:spacing w:after="0" w:line="1" w:lineRule="exact"/>
        <w:rPr>
          <w:sz w:val="20"/>
          <w:szCs w:val="20"/>
          <w:color w:val="auto"/>
        </w:rPr>
      </w:pPr>
    </w:p>
    <w:p>
      <w:pPr>
        <w:ind w:left="463"/>
        <w:spacing w:after="0"/>
        <w:tabs>
          <w:tab w:leader="none" w:pos="923" w:val="left"/>
          <w:tab w:leader="none" w:pos="1503" w:val="left"/>
          <w:tab w:leader="none" w:pos="1963" w:val="left"/>
          <w:tab w:leader="none" w:pos="2903" w:val="left"/>
          <w:tab w:leader="none" w:pos="3383"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tab/>
        <w:t>/ /</w:t>
      </w:r>
      <w:r>
        <w:rPr>
          <w:sz w:val="20"/>
          <w:szCs w:val="20"/>
          <w:color w:val="auto"/>
        </w:rPr>
        <w:tab/>
      </w:r>
      <w:r>
        <w:rPr>
          <w:rFonts w:ascii="Courier New" w:cs="Courier New" w:eastAsia="Courier New" w:hAnsi="Courier New"/>
          <w:sz w:val="15"/>
          <w:szCs w:val="15"/>
          <w:color w:val="auto"/>
        </w:rPr>
        <w:t>ABSTAIN</w:t>
      </w:r>
    </w:p>
    <w:p>
      <w:pPr>
        <w:spacing w:after="0" w:line="5" w:lineRule="exact"/>
        <w:rPr>
          <w:sz w:val="20"/>
          <w:szCs w:val="20"/>
          <w:color w:val="auto"/>
        </w:rPr>
      </w:pPr>
    </w:p>
    <w:p>
      <w:pPr>
        <w:ind w:left="463" w:right="3039" w:hanging="463"/>
        <w:spacing w:after="0" w:line="238" w:lineRule="auto"/>
        <w:tabs>
          <w:tab w:leader="none" w:pos="46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matters as may properly come before the meeting. Management is not presently aware of any such matters to be presented for action.</w:t>
      </w:r>
    </w:p>
    <w:p>
      <w:pPr>
        <w:spacing w:after="0" w:line="184" w:lineRule="exact"/>
        <w:rPr>
          <w:sz w:val="20"/>
          <w:szCs w:val="20"/>
          <w:color w:val="auto"/>
        </w:rPr>
      </w:pPr>
    </w:p>
    <w:p>
      <w:pPr>
        <w:ind w:left="1043"/>
        <w:spacing w:after="0"/>
        <w:rPr>
          <w:sz w:val="20"/>
          <w:szCs w:val="20"/>
          <w:color w:val="auto"/>
        </w:rPr>
      </w:pPr>
      <w:r>
        <w:rPr>
          <w:rFonts w:ascii="Courier New" w:cs="Courier New" w:eastAsia="Courier New" w:hAnsi="Courier New"/>
          <w:sz w:val="16"/>
          <w:szCs w:val="16"/>
          <w:color w:val="auto"/>
        </w:rPr>
        <w:t>(CONTINUED, AND TO BE SIGNED AND DATED, ON THE OTHER SIDE)</w:t>
      </w:r>
    </w:p>
    <w:p>
      <w:pPr>
        <w:sectPr>
          <w:pgSz w:w="11900" w:h="16838" w:orient="portrait"/>
          <w:cols w:equalWidth="0" w:num="1">
            <w:col w:w="10222"/>
          </w:cols>
          <w:pgMar w:left="237" w:top="477" w:right="1440" w:bottom="1440" w:gutter="0" w:footer="0" w:header="0"/>
        </w:sectPr>
      </w:pPr>
    </w:p>
    <w:bookmarkStart w:id="14" w:name="page15"/>
    <w:bookmarkEnd w:id="14"/>
    <w:p>
      <w:pPr>
        <w:ind w:right="2759"/>
        <w:spacing w:after="0" w:line="238" w:lineRule="auto"/>
        <w:rPr>
          <w:sz w:val="20"/>
          <w:szCs w:val="20"/>
          <w:color w:val="auto"/>
        </w:rPr>
      </w:pPr>
      <w:r>
        <w:rPr>
          <w:rFonts w:ascii="Courier New" w:cs="Courier New" w:eastAsia="Courier New" w:hAnsi="Courier New"/>
          <w:sz w:val="16"/>
          <w:szCs w:val="16"/>
          <w:color w:val="auto"/>
        </w:rPr>
        <w:t>THE SHARES REPRESENTED HEREBY WILL BE VOTED AS DIRECTED BY THIS PROXY, BUT IF THIS PROXY IS RETURNED WITH NO DIRECTION MADE, THEY WILL BE VOTED "FOR" EACH OF THE NOMINEES FOR DIRECTOR.</w:t>
      </w:r>
    </w:p>
    <w:p>
      <w:pPr>
        <w:spacing w:after="0" w:line="188"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The undersigned hereby ratifies and confirms all that the Proxies appointed hereby shall lawfully do or cause to be done by virtue hereof and hereby revokes all proxies heretofore given to vote such shares.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SIGN AND RETURN PROMPTLY.</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Signature if held jointly</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Dated: ______________________________________, 1999</w:t>
      </w:r>
    </w:p>
    <w:p>
      <w:pPr>
        <w:spacing w:after="0" w:line="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(Please date this Proxy)</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(Please sign exactly as your name appears to the</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left. When shares are held by joint tenants, both</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should sign. When signing as executor,</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administrator, attorney, trustee or guardian,</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please give full title as such. If a corporation,</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please sign in full corporate name by president or</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other authorized officer. If a partnership, please</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sign in partnership name by an authorized person.)</w:t>
      </w:r>
    </w:p>
    <w:sectPr>
      <w:pgSz w:w="11900" w:h="16838" w:orient="portrait"/>
      <w:cols w:equalWidth="0" w:num="1">
        <w:col w:w="10219"/>
      </w:cols>
      <w:pgMar w:left="240" w:top="4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2)"/>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0"/>
      <w:numFmt w:val="bullet"/>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52"/>
    </w:lvl>
  </w:abstractNum>
  <w:abstractNum w:abstractNumId="10">
    <w:nsid w:val="66EF438D"/>
    <w:multiLevelType w:val="hybridMultilevel"/>
    <w:lvl w:ilvl="0">
      <w:lvlJc w:val="left"/>
      <w:lvlText w:val="%1"/>
      <w:numFmt w:val="decimal"/>
      <w:start w:val="54"/>
    </w:lvl>
  </w:abstractNum>
  <w:abstractNum w:abstractNumId="11">
    <w:nsid w:val="140E0F76"/>
    <w:multiLevelType w:val="hybridMultilevel"/>
    <w:lvl w:ilvl="0">
      <w:lvlJc w:val="left"/>
      <w:lvlText w:val="%1."/>
      <w:numFmt w:val="decimal"/>
      <w:start w:val="2"/>
    </w:lvl>
  </w:abstractNum>
  <w:abstractNum w:abstractNumId="12">
    <w:nsid w:val="335225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2019-12-13T01:48:00Z</dcterms:created>
  <dcterms:modified xsi:type="dcterms:W3CDTF">2019-12-13T01:48:00Z</dcterms:modified>
</cp:coreProperties>
</file>