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Hawkins,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$.05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420261109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13G</w:t>
      </w:r>
    </w:p>
    <w:p>
      <w:pPr>
        <w:spacing w:after="0" w:line="131" w:lineRule="exact"/>
        <w:rPr>
          <w:sz w:val="20"/>
          <w:szCs w:val="20"/>
          <w:color w:val="auto"/>
        </w:rPr>
      </w:pPr>
    </w:p>
    <w:p>
      <w:pPr>
        <w:spacing w:after="0"/>
        <w:tabs>
          <w:tab w:leader="none" w:pos="10120" w:val="left"/>
        </w:tabs>
        <w:rPr>
          <w:sz w:val="20"/>
          <w:szCs w:val="20"/>
          <w:color w:val="auto"/>
        </w:rPr>
      </w:pPr>
      <w:r>
        <w:rPr>
          <w:rFonts w:ascii="Arial" w:cs="Arial" w:eastAsia="Arial" w:hAnsi="Arial"/>
          <w:sz w:val="18"/>
          <w:szCs w:val="18"/>
          <w:color w:val="auto"/>
        </w:rPr>
        <w:t>CUSIP No. 420261109</w:t>
      </w:r>
      <w:r>
        <w:rPr>
          <w:sz w:val="20"/>
          <w:szCs w:val="20"/>
          <w:color w:val="auto"/>
        </w:rPr>
        <w:tab/>
      </w:r>
      <w:r>
        <w:rPr>
          <w:rFonts w:ascii="Arial" w:cs="Arial" w:eastAsia="Arial" w:hAnsi="Arial"/>
          <w:sz w:val="15"/>
          <w:szCs w:val="15"/>
          <w:color w:val="auto"/>
        </w:rPr>
        <w:t>Page 2 of 5 Pages</w:t>
      </w:r>
    </w:p>
    <w:p>
      <w:pPr>
        <w:spacing w:after="0" w:line="144" w:lineRule="exact"/>
        <w:rPr>
          <w:sz w:val="20"/>
          <w:szCs w:val="20"/>
          <w:color w:val="auto"/>
        </w:rPr>
      </w:pPr>
    </w:p>
    <w:p>
      <w:pPr>
        <w:ind w:left="780" w:hanging="525"/>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56857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685790"/>
                    </a:xfrm>
                    <a:prstGeom prst="rect">
                      <a:avLst/>
                    </a:prstGeom>
                    <a:noFill/>
                  </pic:spPr>
                </pic:pic>
              </a:graphicData>
            </a:graphic>
          </wp:anchor>
        </w:drawing>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22"/>
          <w:szCs w:val="22"/>
          <w:color w:val="auto"/>
        </w:rPr>
        <w:t>Hawkins, Inc. Employee Stock Ownership Plan and Trust (Tax ID: 41-0771293)</w:t>
      </w:r>
    </w:p>
    <w:p>
      <w:pPr>
        <w:spacing w:after="0" w:line="8" w:lineRule="exact"/>
        <w:rPr>
          <w:sz w:val="20"/>
          <w:szCs w:val="20"/>
          <w:color w:val="auto"/>
        </w:rPr>
      </w:pPr>
    </w:p>
    <w:p>
      <w:pPr>
        <w:ind w:left="780" w:right="480"/>
        <w:spacing w:after="0" w:line="237" w:lineRule="auto"/>
        <w:rPr>
          <w:sz w:val="20"/>
          <w:szCs w:val="20"/>
          <w:color w:val="auto"/>
        </w:rPr>
      </w:pPr>
      <w:r>
        <w:rPr>
          <w:rFonts w:ascii="Arial" w:cs="Arial" w:eastAsia="Arial" w:hAnsi="Arial"/>
          <w:sz w:val="22"/>
          <w:szCs w:val="22"/>
          <w:color w:val="auto"/>
        </w:rPr>
        <w:t>Hawkins, Inc. Employee Stock Ownership Plan for Certain Collectively Bargained Employees and Trust (Tax ID: 41-0771293)</w:t>
      </w:r>
    </w:p>
    <w:p>
      <w:pPr>
        <w:spacing w:after="0" w:line="3" w:lineRule="exact"/>
        <w:rPr>
          <w:sz w:val="20"/>
          <w:szCs w:val="20"/>
          <w:color w:val="auto"/>
        </w:rPr>
      </w:pPr>
    </w:p>
    <w:p>
      <w:pPr>
        <w:ind w:left="780" w:hanging="52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80"/>
        <w:spacing w:after="0" w:line="207"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80" w:hanging="525"/>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80" w:hanging="525"/>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Minnesota</w:t>
      </w:r>
    </w:p>
    <w:p>
      <w:pPr>
        <w:spacing w:after="0" w:line="24" w:lineRule="exact"/>
        <w:rPr>
          <w:sz w:val="20"/>
          <w:szCs w:val="20"/>
          <w:color w:val="auto"/>
        </w:rPr>
      </w:pPr>
    </w:p>
    <w:p>
      <w:pPr>
        <w:ind w:left="1540"/>
        <w:spacing w:after="0"/>
        <w:tabs>
          <w:tab w:leader="none" w:pos="17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420" w:type="dxa"/>
            <w:vAlign w:val="bottom"/>
            <w:gridSpan w:val="3"/>
            <w:vMerge w:val="restart"/>
          </w:tcPr>
          <w:p>
            <w:pPr>
              <w:jc w:val="center"/>
              <w:ind w:left="9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2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72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100" w:type="dxa"/>
            <w:vAlign w:val="bottom"/>
            <w:gridSpan w:val="3"/>
            <w:vMerge w:val="restart"/>
          </w:tcPr>
          <w:p>
            <w:pPr>
              <w:jc w:val="center"/>
              <w:ind w:right="300"/>
              <w:spacing w:after="0"/>
              <w:rPr>
                <w:sz w:val="20"/>
                <w:szCs w:val="20"/>
                <w:color w:val="auto"/>
              </w:rPr>
            </w:pPr>
            <w:r>
              <w:rPr>
                <w:rFonts w:ascii="Arial" w:cs="Arial" w:eastAsia="Arial" w:hAnsi="Arial"/>
                <w:sz w:val="18"/>
                <w:szCs w:val="18"/>
                <w:color w:val="auto"/>
                <w:w w:val="91"/>
              </w:rPr>
              <w:t>SHARES</w:t>
            </w:r>
          </w:p>
        </w:tc>
        <w:tc>
          <w:tcPr>
            <w:tcW w:w="220" w:type="dxa"/>
            <w:vAlign w:val="bottom"/>
            <w:vMerge w:val="continue"/>
          </w:tcPr>
          <w:p>
            <w:pPr>
              <w:spacing w:after="0"/>
              <w:rPr>
                <w:sz w:val="15"/>
                <w:szCs w:val="15"/>
                <w:color w:val="auto"/>
              </w:rPr>
            </w:pPr>
          </w:p>
        </w:tc>
        <w:tc>
          <w:tcPr>
            <w:tcW w:w="9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9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gridSpan w:val="4"/>
          </w:tcPr>
          <w:p>
            <w:pPr>
              <w:jc w:val="center"/>
              <w:ind w:left="10"/>
              <w:spacing w:after="0"/>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8"/>
                <w:szCs w:val="18"/>
                <w:color w:val="auto"/>
              </w:rPr>
            </w:pPr>
          </w:p>
        </w:tc>
        <w:tc>
          <w:tcPr>
            <w:tcW w:w="9720" w:type="dxa"/>
            <w:vAlign w:val="bottom"/>
            <w:vMerge w:val="restart"/>
          </w:tcPr>
          <w:p>
            <w:pPr>
              <w:ind w:left="300"/>
              <w:spacing w:after="0"/>
              <w:rPr>
                <w:sz w:val="20"/>
                <w:szCs w:val="20"/>
                <w:color w:val="auto"/>
              </w:rPr>
            </w:pPr>
            <w:r>
              <w:rPr>
                <w:rFonts w:ascii="Arial" w:cs="Arial" w:eastAsia="Arial" w:hAnsi="Arial"/>
                <w:sz w:val="22"/>
                <w:szCs w:val="22"/>
                <w:color w:val="auto"/>
              </w:rPr>
              <w:t>812,427.78</w:t>
            </w:r>
          </w:p>
        </w:tc>
        <w:tc>
          <w:tcPr>
            <w:tcW w:w="0" w:type="dxa"/>
            <w:vAlign w:val="bottom"/>
          </w:tcPr>
          <w:p>
            <w:pPr>
              <w:spacing w:after="0"/>
              <w:rPr>
                <w:sz w:val="1"/>
                <w:szCs w:val="1"/>
                <w:color w:val="auto"/>
              </w:rPr>
            </w:pPr>
          </w:p>
        </w:tc>
      </w:tr>
      <w:tr>
        <w:trPr>
          <w:trHeight w:val="230"/>
        </w:trPr>
        <w:tc>
          <w:tcPr>
            <w:tcW w:w="150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OWNED BY</w:t>
            </w:r>
          </w:p>
        </w:tc>
        <w:tc>
          <w:tcPr>
            <w:tcW w:w="220" w:type="dxa"/>
            <w:vAlign w:val="bottom"/>
          </w:tcPr>
          <w:p>
            <w:pPr>
              <w:spacing w:after="0"/>
              <w:rPr>
                <w:sz w:val="20"/>
                <w:szCs w:val="20"/>
                <w:color w:val="auto"/>
              </w:rPr>
            </w:pPr>
          </w:p>
        </w:tc>
        <w:tc>
          <w:tcPr>
            <w:tcW w:w="9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020" w:type="dxa"/>
            <w:vAlign w:val="bottom"/>
            <w:gridSpan w:val="2"/>
          </w:tcPr>
          <w:p>
            <w:pPr>
              <w:jc w:val="center"/>
              <w:ind w:right="122"/>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2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00" w:type="dxa"/>
            <w:vAlign w:val="bottom"/>
            <w:gridSpan w:val="4"/>
          </w:tcPr>
          <w:p>
            <w:pPr>
              <w:jc w:val="center"/>
              <w:ind w:left="10"/>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PERSON</w:t>
            </w:r>
          </w:p>
        </w:tc>
        <w:tc>
          <w:tcPr>
            <w:tcW w:w="220" w:type="dxa"/>
            <w:vAlign w:val="bottom"/>
          </w:tcPr>
          <w:p>
            <w:pPr>
              <w:spacing w:after="0"/>
              <w:rPr>
                <w:sz w:val="20"/>
                <w:szCs w:val="20"/>
                <w:color w:val="auto"/>
              </w:rPr>
            </w:pPr>
          </w:p>
        </w:tc>
        <w:tc>
          <w:tcPr>
            <w:tcW w:w="9720" w:type="dxa"/>
            <w:vAlign w:val="bottom"/>
          </w:tcPr>
          <w:p>
            <w:pPr>
              <w:ind w:left="3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1020" w:type="dxa"/>
            <w:vAlign w:val="bottom"/>
            <w:gridSpan w:val="2"/>
            <w:vMerge w:val="restart"/>
          </w:tcPr>
          <w:p>
            <w:pPr>
              <w:jc w:val="center"/>
              <w:ind w:right="122"/>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72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9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2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812,427.78</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812,427.78</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4"/>
                <w:szCs w:val="24"/>
                <w:color w:val="auto"/>
              </w:rPr>
            </w:pPr>
          </w:p>
        </w:tc>
        <w:tc>
          <w:tcPr>
            <w:tcW w:w="1076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2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rPr>
              <w:t>7.66%</w:t>
            </w:r>
          </w:p>
        </w:tc>
        <w:tc>
          <w:tcPr>
            <w:tcW w:w="9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EP</w:t>
            </w:r>
          </w:p>
        </w:tc>
        <w:tc>
          <w:tcPr>
            <w:tcW w:w="220" w:type="dxa"/>
            <w:vAlign w:val="bottom"/>
            <w:tcBorders>
              <w:bottom w:val="single" w:sz="8" w:color="auto"/>
            </w:tcBorders>
          </w:tcPr>
          <w:p>
            <w:pPr>
              <w:spacing w:after="0"/>
              <w:rPr>
                <w:sz w:val="24"/>
                <w:szCs w:val="24"/>
                <w:color w:val="auto"/>
              </w:rPr>
            </w:pPr>
          </w:p>
        </w:tc>
        <w:tc>
          <w:tcPr>
            <w:tcW w:w="9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1. </w:t>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Issuer:</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Hawkins, Inc.</w:t>
      </w:r>
    </w:p>
    <w:p>
      <w:pPr>
        <w:spacing w:after="0" w:line="116" w:lineRule="exact"/>
        <w:rPr>
          <w:sz w:val="20"/>
          <w:szCs w:val="20"/>
          <w:color w:val="auto"/>
        </w:rPr>
      </w:pPr>
    </w:p>
    <w:p>
      <w:pPr>
        <w:ind w:left="1500" w:right="6800" w:hanging="817"/>
        <w:spacing w:after="0" w:line="258" w:lineRule="auto"/>
        <w:tabs>
          <w:tab w:leader="none" w:pos="1137"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 2381 Rosegate</w:t>
      </w:r>
    </w:p>
    <w:p>
      <w:pPr>
        <w:spacing w:after="0" w:line="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Roseville, MN 55113</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Person Filing:</w:t>
      </w:r>
      <w:r>
        <w:rPr>
          <w:rFonts w:ascii="Arial" w:cs="Arial" w:eastAsia="Arial" w:hAnsi="Arial"/>
          <w:sz w:val="13"/>
          <w:szCs w:val="13"/>
          <w:color w:val="auto"/>
        </w:rPr>
        <w:t>1</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Hawkins, Inc. Employee Stock Ownership Plan and Trust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Hawkins, Inc. Employee Stock Ownership Plan for Certain Collectively Bargained Employees and Trust</w:t>
      </w:r>
    </w:p>
    <w:p>
      <w:pPr>
        <w:spacing w:after="0" w:line="116" w:lineRule="exact"/>
        <w:rPr>
          <w:sz w:val="20"/>
          <w:szCs w:val="20"/>
          <w:color w:val="auto"/>
        </w:rPr>
      </w:pPr>
    </w:p>
    <w:p>
      <w:pPr>
        <w:ind w:left="1500" w:right="5940" w:hanging="817"/>
        <w:spacing w:after="0" w:line="258" w:lineRule="auto"/>
        <w:tabs>
          <w:tab w:leader="none" w:pos="1137"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Residence</w:t>
      </w:r>
    </w:p>
    <w:p>
      <w:pPr>
        <w:spacing w:after="0" w:line="1" w:lineRule="exact"/>
        <w:rPr>
          <w:rFonts w:ascii="Arial" w:cs="Arial" w:eastAsia="Arial" w:hAnsi="Arial"/>
          <w:sz w:val="18"/>
          <w:szCs w:val="18"/>
          <w:color w:val="auto"/>
        </w:rPr>
      </w:pPr>
    </w:p>
    <w:p>
      <w:pPr>
        <w:ind w:left="1500" w:right="8360"/>
        <w:spacing w:after="0" w:line="302" w:lineRule="auto"/>
        <w:rPr>
          <w:rFonts w:ascii="Arial" w:cs="Arial" w:eastAsia="Arial" w:hAnsi="Arial"/>
          <w:sz w:val="18"/>
          <w:szCs w:val="18"/>
          <w:color w:val="auto"/>
        </w:rPr>
      </w:pPr>
      <w:r>
        <w:rPr>
          <w:rFonts w:ascii="Arial" w:cs="Arial" w:eastAsia="Arial" w:hAnsi="Arial"/>
          <w:sz w:val="16"/>
          <w:szCs w:val="16"/>
          <w:color w:val="auto"/>
        </w:rPr>
        <w:t>c/o Hawkins, Inc. 2381 Rosegate Roseville, MN 55113</w:t>
      </w:r>
    </w:p>
    <w:p>
      <w:pPr>
        <w:spacing w:after="0" w:line="60" w:lineRule="exact"/>
        <w:rPr>
          <w:rFonts w:ascii="Arial" w:cs="Arial" w:eastAsia="Arial" w:hAnsi="Arial"/>
          <w:sz w:val="18"/>
          <w:szCs w:val="18"/>
          <w:color w:val="auto"/>
        </w:rPr>
      </w:pPr>
    </w:p>
    <w:p>
      <w:pPr>
        <w:ind w:left="1120" w:hanging="437"/>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Minnesota</w:t>
      </w:r>
    </w:p>
    <w:p>
      <w:pPr>
        <w:spacing w:after="0" w:line="116" w:lineRule="exact"/>
        <w:rPr>
          <w:sz w:val="20"/>
          <w:szCs w:val="20"/>
          <w:color w:val="auto"/>
        </w:rPr>
      </w:pPr>
    </w:p>
    <w:p>
      <w:pPr>
        <w:ind w:left="1120" w:hanging="437"/>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Common Stock, Par Value $.05 per share</w:t>
      </w:r>
    </w:p>
    <w:p>
      <w:pPr>
        <w:spacing w:after="0" w:line="116" w:lineRule="exact"/>
        <w:rPr>
          <w:sz w:val="20"/>
          <w:szCs w:val="20"/>
          <w:color w:val="auto"/>
        </w:rPr>
      </w:pPr>
    </w:p>
    <w:p>
      <w:pPr>
        <w:jc w:val="right"/>
        <w:ind w:left="1500" w:right="9080" w:hanging="817"/>
        <w:spacing w:after="0" w:line="342" w:lineRule="auto"/>
        <w:tabs>
          <w:tab w:leader="none" w:pos="1137" w:val="left"/>
        </w:tabs>
        <w:numPr>
          <w:ilvl w:val="0"/>
          <w:numId w:val="10"/>
        </w:numPr>
        <w:rPr>
          <w:rFonts w:ascii="Arial" w:cs="Arial" w:eastAsia="Arial" w:hAnsi="Arial"/>
          <w:sz w:val="16"/>
          <w:szCs w:val="16"/>
          <w:color w:val="auto"/>
        </w:rPr>
      </w:pPr>
      <w:r>
        <w:rPr>
          <w:rFonts w:ascii="Arial" w:cs="Arial" w:eastAsia="Arial" w:hAnsi="Arial"/>
          <w:sz w:val="16"/>
          <w:szCs w:val="16"/>
          <w:color w:val="auto"/>
        </w:rPr>
        <w:t>CUSIP Number: 420261109</w:t>
      </w: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4" w:lineRule="exact"/>
        <w:rPr>
          <w:sz w:val="20"/>
          <w:szCs w:val="20"/>
          <w:color w:val="auto"/>
        </w:rPr>
      </w:pPr>
    </w:p>
    <w:p>
      <w:pPr>
        <w:ind w:left="1160" w:hanging="463"/>
        <w:spacing w:after="0" w:line="207" w:lineRule="exact"/>
        <w:tabs>
          <w:tab w:leader="none" w:pos="11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1160" w:hanging="463"/>
        <w:spacing w:after="0" w:line="207" w:lineRule="exact"/>
        <w:tabs>
          <w:tab w:leader="none" w:pos="11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1160" w:hanging="463"/>
        <w:spacing w:after="0" w:line="207" w:lineRule="exact"/>
        <w:tabs>
          <w:tab w:leader="none" w:pos="11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1160" w:hanging="463"/>
        <w:spacing w:after="0" w:line="207" w:lineRule="exact"/>
        <w:tabs>
          <w:tab w:leader="none" w:pos="11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1160" w:hanging="463"/>
        <w:spacing w:after="0" w:line="207" w:lineRule="exact"/>
        <w:tabs>
          <w:tab w:leader="none" w:pos="11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117" w:lineRule="exact"/>
        <w:rPr>
          <w:rFonts w:ascii="Arial" w:cs="Arial" w:eastAsia="Arial" w:hAnsi="Arial"/>
          <w:sz w:val="18"/>
          <w:szCs w:val="18"/>
          <w:color w:val="auto"/>
        </w:rPr>
      </w:pPr>
    </w:p>
    <w:p>
      <w:pPr>
        <w:ind w:left="1160" w:hanging="463"/>
        <w:spacing w:after="0" w:line="207" w:lineRule="exact"/>
        <w:tabs>
          <w:tab w:leader="none" w:pos="11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117" w:lineRule="exact"/>
        <w:rPr>
          <w:rFonts w:ascii="Arial" w:cs="Arial" w:eastAsia="Arial" w:hAnsi="Arial"/>
          <w:sz w:val="18"/>
          <w:szCs w:val="18"/>
          <w:color w:val="auto"/>
        </w:rPr>
      </w:pPr>
    </w:p>
    <w:p>
      <w:pPr>
        <w:ind w:left="1160" w:hanging="463"/>
        <w:spacing w:after="0" w:line="207" w:lineRule="exact"/>
        <w:tabs>
          <w:tab w:leader="none" w:pos="11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160" w:hanging="463"/>
        <w:spacing w:after="0" w:line="207" w:lineRule="exact"/>
        <w:tabs>
          <w:tab w:leader="none" w:pos="11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117" w:lineRule="exact"/>
        <w:rPr>
          <w:rFonts w:ascii="Arial" w:cs="Arial" w:eastAsia="Arial" w:hAnsi="Arial"/>
          <w:sz w:val="18"/>
          <w:szCs w:val="18"/>
          <w:color w:val="auto"/>
        </w:rPr>
      </w:pPr>
    </w:p>
    <w:p>
      <w:pPr>
        <w:ind w:left="1520" w:right="1380" w:hanging="823"/>
        <w:spacing w:after="0" w:line="239" w:lineRule="exact"/>
        <w:tabs>
          <w:tab w:leader="none" w:pos="1169"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62" w:lineRule="exact"/>
        <w:rPr>
          <w:rFonts w:ascii="Arial" w:cs="Arial" w:eastAsia="Arial" w:hAnsi="Arial"/>
          <w:sz w:val="18"/>
          <w:szCs w:val="18"/>
          <w:color w:val="auto"/>
        </w:rPr>
      </w:pPr>
    </w:p>
    <w:p>
      <w:pPr>
        <w:ind w:left="1160" w:hanging="463"/>
        <w:spacing w:after="0" w:line="207" w:lineRule="exact"/>
        <w:tabs>
          <w:tab w:leader="none" w:pos="11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117" w:lineRule="exact"/>
        <w:rPr>
          <w:rFonts w:ascii="Arial" w:cs="Arial" w:eastAsia="Arial" w:hAnsi="Arial"/>
          <w:sz w:val="18"/>
          <w:szCs w:val="18"/>
          <w:color w:val="auto"/>
        </w:rPr>
      </w:pPr>
    </w:p>
    <w:p>
      <w:pPr>
        <w:ind w:left="1160" w:hanging="463"/>
        <w:spacing w:after="0" w:line="207" w:lineRule="exact"/>
        <w:tabs>
          <w:tab w:leader="none" w:pos="11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w:t>
      </w:r>
    </w:p>
    <w:p>
      <w:pPr>
        <w:spacing w:after="0" w:line="230" w:lineRule="exact"/>
        <w:rPr>
          <w:rFonts w:ascii="Arial" w:cs="Arial" w:eastAsia="Arial" w:hAnsi="Arial"/>
          <w:sz w:val="18"/>
          <w:szCs w:val="18"/>
          <w:color w:val="auto"/>
        </w:rPr>
      </w:pPr>
    </w:p>
    <w:p>
      <w:pPr>
        <w:ind w:left="220" w:hanging="216"/>
        <w:spacing w:after="0" w:line="271" w:lineRule="auto"/>
        <w:rPr>
          <w:rFonts w:ascii="Arial" w:cs="Arial" w:eastAsia="Arial" w:hAnsi="Arial"/>
          <w:sz w:val="18"/>
          <w:szCs w:val="18"/>
          <w:color w:val="auto"/>
        </w:rPr>
      </w:pPr>
      <w:r>
        <w:rPr>
          <w:rFonts w:ascii="Arial" w:cs="Arial" w:eastAsia="Arial" w:hAnsi="Arial"/>
          <w:sz w:val="14"/>
          <w:szCs w:val="14"/>
          <w:color w:val="auto"/>
        </w:rPr>
        <w:t xml:space="preserve">1 </w:t>
      </w:r>
      <w:r>
        <w:rPr>
          <w:rFonts w:ascii="Arial" w:cs="Arial" w:eastAsia="Arial" w:hAnsi="Arial"/>
          <w:sz w:val="17"/>
          <w:szCs w:val="17"/>
          <w:color w:val="auto"/>
        </w:rPr>
        <w:t>The Trustee of the Hawkins, Inc. Employee Stock Ownership Plan and Trust and the Hawkins, Inc. Employee Stock Ownership Plan for Certain</w:t>
      </w:r>
      <w:r>
        <w:rPr>
          <w:rFonts w:ascii="Arial" w:cs="Arial" w:eastAsia="Arial" w:hAnsi="Arial"/>
          <w:sz w:val="14"/>
          <w:szCs w:val="14"/>
          <w:color w:val="auto"/>
        </w:rPr>
        <w:t xml:space="preserve"> </w:t>
      </w:r>
      <w:r>
        <w:rPr>
          <w:rFonts w:ascii="Arial" w:cs="Arial" w:eastAsia="Arial" w:hAnsi="Arial"/>
          <w:sz w:val="17"/>
          <w:szCs w:val="17"/>
          <w:color w:val="auto"/>
        </w:rPr>
        <w:t>Collectively Bargained Employees and Trust (together, the “ESOP”) is BMO Harris Bank N.A. The ESOP allows plan participants to direct voting of shares allocated to their plan accounts, and all shares held by the ESOP and reported on this Schedule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as to all shares reported on this Schedule. The Trustee also has limited dispositive power with respect to all shares reported on this Schedule, reflecting a requirement that the assets of the ESOP must primarily consist of shares of the Issuer’s stock. The Trustee disclaims beneficial ownership of the shares attributed to it in its capacity as Trustee of the ESOP.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-1145540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1120" w:hanging="437"/>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beneficially owned: 812,427.78.</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7.66%.</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812,427.78.</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812,427.78.</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685"/>
        <w:spacing w:after="0" w:line="277" w:lineRule="auto"/>
        <w:rPr>
          <w:sz w:val="20"/>
          <w:szCs w:val="20"/>
          <w:color w:val="auto"/>
        </w:rPr>
      </w:pPr>
      <w:r>
        <w:rPr>
          <w:rFonts w:ascii="Arial" w:cs="Arial" w:eastAsia="Arial" w:hAnsi="Arial"/>
          <w:sz w:val="18"/>
          <w:szCs w:val="18"/>
          <w:color w:val="auto"/>
        </w:rPr>
        <w:t>The plan participants and beneficiaries of the ESOP have the right to receive dividends from and the proceeds from the sale of the shares reported on this Schedule. No person has such a right with respect to more than 5% of the Issuer’s outstanding common stock.</w:t>
      </w:r>
    </w:p>
    <w:p>
      <w:pPr>
        <w:spacing w:after="0" w:line="315" w:lineRule="exact"/>
        <w:rPr>
          <w:sz w:val="20"/>
          <w:szCs w:val="20"/>
          <w:color w:val="auto"/>
        </w:rPr>
      </w:pPr>
    </w:p>
    <w:p>
      <w:pPr>
        <w:ind w:left="1140" w:right="12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0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right="240" w:firstLine="685"/>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 w:name="page5"/>
    <w:bookmarkEnd w:id="4"/>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4"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February 14, 2017</w:t>
      </w:r>
      <w:r>
        <w:rPr>
          <w:sz w:val="20"/>
          <w:szCs w:val="20"/>
          <w:color w:val="auto"/>
        </w:rPr>
        <w:tab/>
      </w:r>
      <w:r>
        <w:rPr>
          <w:rFonts w:ascii="Arial" w:cs="Arial" w:eastAsia="Arial" w:hAnsi="Arial"/>
          <w:sz w:val="18"/>
          <w:szCs w:val="18"/>
          <w:b w:val="1"/>
          <w:bCs w:val="1"/>
          <w:color w:val="auto"/>
        </w:rPr>
        <w:t>HAWKINS, INC. EMPLOYEE STOCK OWNERSHIP TRUST</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HAWKINS, INC., AS ADMINISTRATOR</w:t>
      </w: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Richard G. Erstad</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Vice President, General Counsel and Secretary</w:t>
      </w:r>
    </w:p>
    <w:sectPr>
      <w:pgSz w:w="11900" w:h="16838" w:orient="portrait"/>
      <w:cols w:equalWidth="0" w:num="1">
        <w:col w:w="11160"/>
      </w:cols>
      <w:pgMar w:left="2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4"/>
      <w:numFmt w:val="bullet"/>
      <w:start w:val="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lowerLetter"/>
      <w:start w:val="4"/>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2019-12-20T23:24:11Z</dcterms:created>
  <dcterms:modified xsi:type="dcterms:W3CDTF">2019-12-20T23:24:11Z</dcterms:modified>
</cp:coreProperties>
</file>