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36"/>
        </w:rPr>
      </w:pPr>
      <w:r>
        <w:rPr>
          <w:rFonts w:ascii="Calibri;sans-serif" w:hAnsi="Calibr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28"/>
        </w:rPr>
      </w:pPr>
      <w:r>
        <w:rPr>
          <w:rFonts w:ascii="Calibri;sans-serif" w:hAnsi="Calibri;sans-serif"/>
          <w:b/>
          <w:color w:val="000000"/>
          <w:sz w:val="28"/>
        </w:rPr>
        <w:t>CURRENT REPORT</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Pursuant to Section 13 or 15(d) of the</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Exchange Act of 1934</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 xml:space="preserve">Date of Report (Date of earliest event reported) January 31, 2024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Calibri;sans-serif" w:hAnsi="Calibri;sans-serif"/>
          <w:b/>
          <w:color w:val="000000"/>
          <w:sz w:val="48"/>
        </w:rPr>
      </w:pPr>
      <w:r>
        <w:rPr>
          <w:rFonts w:ascii="Calibri;sans-serif" w:hAnsi="Calibri;sans-serif"/>
          <w:b/>
          <w:color w:val="000000"/>
          <w:sz w:val="48"/>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637" w:type="dxa"/>
        <w:jc w:val="left"/>
        <w:tblInd w:w="0" w:type="dxa"/>
        <w:tblLayout w:type="fixed"/>
        <w:tblCellMar>
          <w:top w:w="28" w:type="dxa"/>
          <w:left w:w="28" w:type="dxa"/>
          <w:bottom w:w="28" w:type="dxa"/>
          <w:right w:w="28" w:type="dxa"/>
        </w:tblCellMar>
      </w:tblPr>
      <w:tblGrid>
        <w:gridCol w:w="619"/>
        <w:gridCol w:w="542"/>
        <w:gridCol w:w="548"/>
        <w:gridCol w:w="109"/>
        <w:gridCol w:w="109"/>
        <w:gridCol w:w="109"/>
        <w:gridCol w:w="637"/>
        <w:gridCol w:w="637"/>
        <w:gridCol w:w="645"/>
        <w:gridCol w:w="109"/>
        <w:gridCol w:w="109"/>
        <w:gridCol w:w="109"/>
        <w:gridCol w:w="688"/>
        <w:gridCol w:w="688"/>
        <w:gridCol w:w="979"/>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 Identification 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92" w:type="dxa"/>
        <w:jc w:val="center"/>
        <w:tblInd w:w="0" w:type="dxa"/>
        <w:tblLayout w:type="fixed"/>
        <w:tblCellMar>
          <w:top w:w="28" w:type="dxa"/>
          <w:left w:w="28" w:type="dxa"/>
          <w:bottom w:w="28" w:type="dxa"/>
          <w:right w:w="28" w:type="dxa"/>
        </w:tblCellMar>
      </w:tblPr>
      <w:tblGrid>
        <w:gridCol w:w="499"/>
        <w:gridCol w:w="439"/>
        <w:gridCol w:w="442"/>
        <w:gridCol w:w="289"/>
        <w:gridCol w:w="289"/>
        <w:gridCol w:w="291"/>
        <w:gridCol w:w="325"/>
        <w:gridCol w:w="325"/>
        <w:gridCol w:w="326"/>
        <w:gridCol w:w="109"/>
        <w:gridCol w:w="109"/>
        <w:gridCol w:w="109"/>
        <w:gridCol w:w="246"/>
        <w:gridCol w:w="246"/>
        <w:gridCol w:w="34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20"/>
              </w:rPr>
            </w:pPr>
            <w:r>
              <w:rPr>
                <w:rFonts w:ascii="Calibri;sans-serif" w:hAnsi="Calibri;sans-serif"/>
                <w:b/>
                <w:color w:val="000000"/>
                <w:sz w:val="20"/>
              </w:rPr>
              <w:t>2381 Rosegate,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Roseville,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 (</w:t>
      </w:r>
      <w:r>
        <w:rPr>
          <w:rFonts w:ascii="Calibri;sans-serif" w:hAnsi="Calibri;sans-serif"/>
          <w:b w:val="false"/>
          <w:i/>
          <w:color w:val="000000"/>
          <w:sz w:val="20"/>
        </w:rPr>
        <w:t>see</w:t>
      </w:r>
      <w:r>
        <w:rPr>
          <w:color w:val="000000"/>
        </w:rPr>
        <w:t xml:space="preserve"> </w:t>
      </w:r>
      <w:r>
        <w:rPr>
          <w:rFonts w:ascii="Calibri;sans-serif" w:hAnsi="Calibri;sans-serif"/>
          <w:b w:val="false"/>
          <w:color w:val="000000"/>
          <w:sz w:val="20"/>
        </w:rPr>
        <w:t>General Instruction A.2. below):</w:t>
      </w:r>
    </w:p>
    <w:tbl>
      <w:tblPr>
        <w:tblW w:w="9252" w:type="dxa"/>
        <w:jc w:val="left"/>
        <w:tblInd w:w="0" w:type="dxa"/>
        <w:tblLayout w:type="fixed"/>
        <w:tblCellMar>
          <w:top w:w="28" w:type="dxa"/>
          <w:left w:w="28" w:type="dxa"/>
          <w:bottom w:w="28" w:type="dxa"/>
          <w:right w:w="28" w:type="dxa"/>
        </w:tblCellMar>
      </w:tblPr>
      <w:tblGrid>
        <w:gridCol w:w="124"/>
        <w:gridCol w:w="109"/>
        <w:gridCol w:w="109"/>
        <w:gridCol w:w="2609"/>
        <w:gridCol w:w="2609"/>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Calibri;sans-serif" w:hAnsi="Calibr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2.02. Results of Operations and Financial Condition.</w:t>
      </w:r>
    </w:p>
    <w:p>
      <w:pPr>
        <w:pStyle w:val="TextBody"/>
        <w:bidi w:val="0"/>
        <w:spacing w:lineRule="auto" w:line="288" w:before="100" w:after="283"/>
        <w:ind w:left="0" w:right="0" w:firstLine="450"/>
        <w:jc w:val="left"/>
        <w:rPr>
          <w:rFonts w:ascii="Calibri;sans-serif" w:hAnsi="Calibri;sans-serif"/>
          <w:b w:val="false"/>
          <w:color w:val="000000"/>
          <w:sz w:val="20"/>
        </w:rPr>
      </w:pPr>
      <w:r>
        <w:rPr>
          <w:rFonts w:ascii="Calibri;sans-serif" w:hAnsi="Calibri;sans-serif"/>
          <w:b w:val="false"/>
          <w:color w:val="000000"/>
          <w:sz w:val="20"/>
        </w:rPr>
        <w:t>On January 31, 2024, Hawkins, Inc. issued a press release announcing financial results for its fiscal 2024 third quarter ended December 31, 2023.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Item 9.01. Financial Statements and Exhibits.</w:t>
      </w:r>
    </w:p>
    <w:p>
      <w:pPr>
        <w:pStyle w:val="TextBody"/>
        <w:bidi w:val="0"/>
        <w:spacing w:lineRule="auto" w:line="288" w:before="0" w:after="0"/>
        <w:ind w:left="0" w:right="0" w:hanging="360"/>
        <w:jc w:val="left"/>
        <w:rPr/>
      </w:pPr>
      <w:r>
        <w:rPr>
          <w:rFonts w:ascii="Calibri;sans-serif" w:hAnsi="Calibri;sans-serif"/>
          <w:b w:val="false"/>
          <w:color w:val="000000"/>
          <w:sz w:val="20"/>
        </w:rPr>
        <w:t>(d)</w:t>
      </w:r>
      <w:r>
        <w:rPr>
          <w:rFonts w:ascii="Calibri;sans-serif" w:hAnsi="Calibri;sans-serif"/>
          <w:b w:val="false"/>
          <w:color w:val="000000"/>
          <w:sz w:val="20"/>
          <w:u w:val="single"/>
        </w:rPr>
        <w:t>Exhibits</w:t>
      </w:r>
      <w:r>
        <w:rPr>
          <w:rFonts w:ascii="Calibri;sans-serif" w:hAnsi="Calibr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397"/>
        <w:gridCol w:w="2397"/>
        <w:gridCol w:w="2421"/>
        <w:gridCol w:w="109"/>
        <w:gridCol w:w="109"/>
        <w:gridCol w:w="109"/>
        <w:gridCol w:w="428"/>
        <w:gridCol w:w="428"/>
        <w:gridCol w:w="60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Method of Filing</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4-q3.htm">
              <w:r>
                <w:rPr>
                  <w:rStyle w:val="InternetLink"/>
                  <w:rFonts w:ascii="Calibri;sans-serif" w:hAnsi="Calibr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Press Release, dated January 31, 2024, announcing financial results of Hawkins, Inc. for its fiscal 2024 third quarter ended December 31,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262" w:type="dxa"/>
        <w:jc w:val="left"/>
        <w:tblInd w:w="0" w:type="dxa"/>
        <w:tblLayout w:type="fixed"/>
        <w:tblCellMar>
          <w:top w:w="28" w:type="dxa"/>
          <w:left w:w="28" w:type="dxa"/>
          <w:bottom w:w="28" w:type="dxa"/>
          <w:right w:w="28" w:type="dxa"/>
        </w:tblCellMar>
      </w:tblPr>
      <w:tblGrid>
        <w:gridCol w:w="704"/>
        <w:gridCol w:w="619"/>
        <w:gridCol w:w="626"/>
        <w:gridCol w:w="109"/>
        <w:gridCol w:w="109"/>
        <w:gridCol w:w="109"/>
        <w:gridCol w:w="141"/>
        <w:gridCol w:w="141"/>
        <w:gridCol w:w="141"/>
        <w:gridCol w:w="141"/>
        <w:gridCol w:w="141"/>
        <w:gridCol w:w="141"/>
        <w:gridCol w:w="1212"/>
        <w:gridCol w:w="1212"/>
        <w:gridCol w:w="1716"/>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Date: January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9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20"/>
        <w:gridCol w:w="320"/>
        <w:gridCol w:w="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 Reports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Third Quarter Fiscal 2024 Results</w:t>
      </w:r>
    </w:p>
    <w:p>
      <w:pPr>
        <w:pStyle w:val="TextBody"/>
        <w:bidi w:val="0"/>
        <w:spacing w:before="0" w:after="0"/>
        <w:jc w:val="center"/>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Roseville, Minn., January 31, 2024 – Hawkins, Inc. (Nasdaq: HWKN) today announced results for the three and nine months ended December 31, 2023, its third quarter of fiscal 2024.</w:t>
      </w:r>
    </w:p>
    <w:p>
      <w:pPr>
        <w:pStyle w:val="TextBody"/>
        <w:bidi w:val="0"/>
        <w:spacing w:before="0" w:after="0"/>
        <w:jc w:val="both"/>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Third Quarter Fiscal Year 2024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Third quarter sales of $208.5 million, with Water Treatment segment sales growth of 20% over the same quarter in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third quarter gross profit of $42.2 million, a 16% increase over the same period of the prior year, contributing to record third quarter operating income of $18.5 million, a 21% increase over the same period of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 xml:space="preserve">Third quarter diluted earnings per share ("EPS") of $0.71, an increase of 39% over the same period of the prior year.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third quarter Adjusted Earnings Before Interest, Taxes, Depreciation and Amortization ("Adjusted EBITDA"), a non-GAAP measure, of $29.7 million, a 25% increase over the same period of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As previously announced, added six Water Treatment locations in the quarter with two acquisitions, Water Solutions Unlimited, Inc. and The Miami Products &amp; Chemical Co.</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Year-to-date operating cash flow of $117.6 million allowed us to fund three acquisitions while still decreasing our debt by $11.0 million from the same time a year ago and reducing our leverage ratio to under 1x EBITDA.</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 xml:space="preserve">Named to Newsweek's 2024 list of America's Most Responsible Companies for the fourth year in a row.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Executive Commentary – Patrick H. Hawkins, Chief Executive Officer and President: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Calibri;sans-serif" w:hAnsi="Calibri;sans-serif"/>
          <w:b w:val="false"/>
          <w:color w:val="000000"/>
          <w:sz w:val="20"/>
        </w:rPr>
        <w:t>Following the strong first half of the year, our third quarter performance was highlighted by our bottom-line results, as net income grew 39% in the quarter, and we saw continued momentum in our Water Treatment segment that had revenue growth of 20% and operating income growth of over 80%. As we continue to execute on our strategies for this segment, we are pleased with our many successes, including the completion of the previously-announced acquisitions of Water Solutions Unlimited and Miami Products &amp; Chemicals, as well as the continued profit growth in the segment's legacy business. In our Industrial segment, operating income was up 15% despite some sales softness, showing disciplined margin management. Sales in our Health and Nutrition segment in the third quarter showed improved performance as compared to the first two quarters."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Mr. Hawkins continued, “As a result of the strong results in the first nine months, along with disciplined inventory management, we were able to fund the current year acquisitions of nearly $80 million while still bringing down our debt from the same time a year ago. With one quarter remaining in the fiscal year, we expect the diversity of our businesses and overall strength of the Company will allow us to continue to generate free cash flow and execute on our growth strategy."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Third Quarter Financial Highlights:</w:t>
      </w:r>
    </w:p>
    <w:p>
      <w:pPr>
        <w:pStyle w:val="TextBody"/>
        <w:bidi w:val="0"/>
        <w:spacing w:before="0" w:after="0"/>
        <w:jc w:val="both"/>
        <w:rPr/>
      </w:pPr>
      <w:r>
        <w:rPr/>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NET INCOME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 xml:space="preserve">For the third quarter of fiscal 2024, the Company reported net income of $14.9 million, or $0.71 per diluted share, compared to net income for the third quarter of fiscal 2023 of $10.7 million, or $0.51 per diluted share. </w:t>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REVENUE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Sales were $208.5 million for the third quarter of fiscal 2024, a decrease of $10.7 million, or 5%, from sales of $219.2 million in the same period a year ago. Increased sales in our Water Treatment segment were more than offset by decreased sales in our Industrial and Health and Nutrition segments. Industrial segment sales decreased $21.4 million, or 19%, to $93.0 million for the current quarter, from $114.4 million in the same period a year ago. The sale of our consumer bleach packaging business at the end of fiscal 2023 resulted in $2.7 million lower sales in the current quarter. In addition, sales declined due to overall lower volumes as well as lower selling prices on certain products driven by lower raw material costs and competitive pricing pressures. Water Treatment segment sales increased $13.5 million or 20%, to $82.0 million for the current quarter, from $68.5 million in the same period a year ago. Water Treatment sales increased as a result of increased selling prices on many of our products as well as increased sales volumes of certain of our products, including $8.2 million of added sales from our acquired businesses. Health and Nutrition segment sales decreased $2.7 million, or 7%, to $33.5 million for the current quarter, from $36.2 million in the same period a year ago. Health and Nutrition sales decreased as a result of lower sales of our manufactured products, offset somewhat by increased sales of our specialty distributed products.</w:t>
      </w:r>
    </w:p>
    <w:p>
      <w:pPr>
        <w:pStyle w:val="TextBody"/>
        <w:bidi w:val="0"/>
        <w:spacing w:lineRule="auto" w:line="288" w:before="0" w:after="180"/>
        <w:jc w:val="left"/>
        <w:rPr>
          <w:rFonts w:ascii="Calibri;sans-serif" w:hAnsi="Calibri;sans-serif"/>
          <w:b/>
          <w:color w:val="000000"/>
          <w:sz w:val="20"/>
        </w:rPr>
      </w:pPr>
      <w:r>
        <w:rPr>
          <w:rFonts w:ascii="Calibri;sans-serif" w:hAnsi="Calibri;sans-serif"/>
          <w:b/>
          <w:color w:val="000000"/>
          <w:sz w:val="20"/>
        </w:rPr>
        <w:t>GROSS PROFIT</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Gross profit increased $5.9 million, or 16%, to $42.2 million, or 20% of sales, for the current quarter, from $36.3 million, or 17% of sales, in the same period a year ago. During the current quarter, the LIFO reserve decreased, and gross profit increased, by $2.5 million due primarily to decreasing raw material prices. In the same quarter a year ago, the LIFO reserve increased, and gross profit decreased, by $3.7 million due primarily to rising raw material prices. Gross profit for the Industrial segment increased $0.5 million, or 3%, to $16.5 million, or 18% of sales, for the current quarter, from $16.0 million, or 14% of sales, in the same period a year ago. Industrial segment gross profit increased as the LIFO benefit offset declined unit margins on certain products. Gross profit for the Water Treatment segment increased $6.9 million, or 52%, to $20.2 million, or 25% of sales, for the current quarter, from $13.3 million, or 19% of sales, in the same period a year ago. Water Treatment segment gross profit increased as a result of improved per-unit margins on many of our products as well as increased sales, including the added sales from our acquired businesses. Gross profit for our Health and Nutrition segment decreased $1.5 million, or 21%, to $5.5 million, or 16% of sales, for the current quarter, from $7.0 million, or 19% of sales, in the same period a year ago. Health and Nutrition segment gross profit decreased as a result of decreased sales.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increased $2.8 million, or 13%, to $23.8 million, or 11% of sales, for the current quarter, from $21.0 million, or 10% of sales, in the same period a year ago. Expenses increased due to acquisition costs of $0.7 million as well as added costs from the acquired businesses in our Water Treatment segment of $2.2 million, including $0.7 million of amortization of intangibles.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ADJUSTED EBITDA</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December 31, 2023 was $29.7 million, an increase of $5.8 million, or 25%, from $23.8 million in the same period a year ago.</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INCOME TAXES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Our effective income tax rate was 18% for the current quarter and 24% for the same period a year ago. The effective tax rate in the third quarter of both years was impacted by favorable tax provision adjustments recorded. The effective tax rate is impacted by projected levels of annual taxable income, permanent items, and state taxes. Our effective tax rate for the full year is currently expected to be approximately 25-26%.</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BALANCE SHEET</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During the third quarter, our working capital was relatively stable and was approximately $26 million lower than the end of fiscal 2023 due to favorable cash collections on accounts receivable and disciplined management of our inventory levels. During the quarter, we borrowed $75 million to fund the acquisitions of Water Solutions and Miami Products, and subsequently paid down $15 million. Our year-to-date net borrowings of $8 million resulted in total debt outstanding of $120 million and a leverage ratio of 0.84x our trailing twelve-month proforma adjusted EBITDA, as compared to 0.96x of trailing twelve-month adjusted EBITDA at the end of fiscal 2023.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val="false"/>
          <w:color w:val="000000"/>
          <w:sz w:val="20"/>
          <w:u w:val="single"/>
        </w:rPr>
      </w:pPr>
      <w:r>
        <w:rPr>
          <w:rFonts w:ascii="Calibri;sans-serif" w:hAnsi="Calibri;sans-serif"/>
          <w:b w:val="false"/>
          <w:color w:val="000000"/>
          <w:sz w:val="20"/>
          <w:u w:val="single"/>
        </w:rPr>
        <w:t>About Hawkins, Inc.</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Hawkins, Inc. was founded in 1938 and is a leading specialty chemical and ingredients company that formulates, distributes, blends, and manufactures products for its Industrial, Water Treatment, and Health &amp; Nutrition customers. Headquartered in Roseville, Minnesota, the Company has 58 facilities in 26 states and creates value for its customers through superb customer service and support, quality products and personalized applications. Hawkins, Inc. generated $935 million of revenue in fiscal 2023 and has approximately 950 employees. For more information, including registering to receive email alerts, please visit www.hawkinsinc.com/investors. </w:t>
      </w:r>
    </w:p>
    <w:p>
      <w:pPr>
        <w:pStyle w:val="TextBody"/>
        <w:bidi w:val="0"/>
        <w:spacing w:before="0" w:after="0"/>
        <w:jc w:val="left"/>
        <w:rPr/>
      </w:pPr>
      <w:r>
        <w:rPr/>
      </w:r>
    </w:p>
    <w:p>
      <w:pPr>
        <w:pStyle w:val="TextBody"/>
        <w:bidi w:val="0"/>
        <w:spacing w:lineRule="auto" w:line="288" w:before="0" w:after="200"/>
        <w:jc w:val="left"/>
        <w:rPr>
          <w:rFonts w:ascii="Calibri;sans-serif" w:hAnsi="Calibri;sans-serif"/>
          <w:b w:val="false"/>
          <w:color w:val="000000"/>
          <w:sz w:val="20"/>
          <w:u w:val="single"/>
        </w:rPr>
      </w:pPr>
      <w:r>
        <w:rPr>
          <w:rFonts w:ascii="Calibri;sans-serif" w:hAnsi="Calibri;sans-serif"/>
          <w:b w:val="false"/>
          <w:color w:val="000000"/>
          <w:sz w:val="20"/>
          <w:u w:val="single"/>
        </w:rPr>
        <w:t>Reconciliation of Non-GAAP Financial Measures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200"/>
        <w:jc w:val="left"/>
        <w:rPr/>
      </w:pPr>
      <w:r>
        <w:rPr/>
      </w:r>
    </w:p>
    <w:tbl>
      <w:tblPr>
        <w:tblW w:w="10188" w:type="dxa"/>
        <w:jc w:val="left"/>
        <w:tblInd w:w="0" w:type="dxa"/>
        <w:tblLayout w:type="fixed"/>
        <w:tblCellMar>
          <w:top w:w="28" w:type="dxa"/>
          <w:left w:w="28" w:type="dxa"/>
          <w:bottom w:w="28" w:type="dxa"/>
          <w:right w:w="28" w:type="dxa"/>
        </w:tblCellMar>
      </w:tblPr>
      <w:tblGrid>
        <w:gridCol w:w="1071"/>
        <w:gridCol w:w="938"/>
        <w:gridCol w:w="945"/>
        <w:gridCol w:w="349"/>
        <w:gridCol w:w="1195"/>
        <w:gridCol w:w="180"/>
        <w:gridCol w:w="109"/>
        <w:gridCol w:w="109"/>
        <w:gridCol w:w="109"/>
        <w:gridCol w:w="279"/>
        <w:gridCol w:w="956"/>
        <w:gridCol w:w="144"/>
        <w:gridCol w:w="109"/>
        <w:gridCol w:w="109"/>
        <w:gridCol w:w="109"/>
        <w:gridCol w:w="317"/>
        <w:gridCol w:w="1244"/>
        <w:gridCol w:w="164"/>
        <w:gridCol w:w="109"/>
        <w:gridCol w:w="109"/>
        <w:gridCol w:w="109"/>
        <w:gridCol w:w="277"/>
        <w:gridCol w:w="946"/>
        <w:gridCol w:w="202"/>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 thousands)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1, 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Income (GAAP)</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14,885 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10,733 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48,428 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intangibles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5,247 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expense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Non-cash compensation expense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Non-recurring acquisition expenses </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29,667 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23,818 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112,040 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92,060 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CONSOLIDATED STATEMENTS OF INCOME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1540"/>
        <w:gridCol w:w="846"/>
        <w:gridCol w:w="862"/>
        <w:gridCol w:w="109"/>
        <w:gridCol w:w="109"/>
        <w:gridCol w:w="109"/>
        <w:gridCol w:w="286"/>
        <w:gridCol w:w="1038"/>
        <w:gridCol w:w="136"/>
        <w:gridCol w:w="109"/>
        <w:gridCol w:w="109"/>
        <w:gridCol w:w="109"/>
        <w:gridCol w:w="264"/>
        <w:gridCol w:w="950"/>
        <w:gridCol w:w="125"/>
        <w:gridCol w:w="109"/>
        <w:gridCol w:w="109"/>
        <w:gridCol w:w="109"/>
        <w:gridCol w:w="286"/>
        <w:gridCol w:w="1038"/>
        <w:gridCol w:w="136"/>
        <w:gridCol w:w="109"/>
        <w:gridCol w:w="109"/>
        <w:gridCol w:w="109"/>
        <w:gridCol w:w="263"/>
        <w:gridCol w:w="945"/>
        <w:gridCol w:w="182"/>
      </w:tblGrid>
      <w:tr>
        <w:trPr/>
        <w:tc>
          <w:tcPr>
            <w:tcW w:w="15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01,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01, 2023</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696,142 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706,953 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(166,248)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(548,017)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(577,559)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129,394 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(23,774)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(64,173)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83,952 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69,667 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income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81,820 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65,065 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(16,637)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14,885 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10,733 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48,428 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20,781,632 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20,818,347 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20,864,349 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20,847,285 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20,907,321 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20,974,264 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21,004,077 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21,004,849 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center"/>
        <w:tblInd w:w="0" w:type="dxa"/>
        <w:tblLayout w:type="fixed"/>
        <w:tblCellMar>
          <w:top w:w="28" w:type="dxa"/>
          <w:left w:w="28" w:type="dxa"/>
          <w:bottom w:w="28" w:type="dxa"/>
          <w:right w:w="28" w:type="dxa"/>
        </w:tblCellMar>
      </w:tblPr>
      <w:tblGrid>
        <w:gridCol w:w="2843"/>
        <w:gridCol w:w="2253"/>
        <w:gridCol w:w="2278"/>
        <w:gridCol w:w="109"/>
        <w:gridCol w:w="109"/>
        <w:gridCol w:w="109"/>
        <w:gridCol w:w="205"/>
        <w:gridCol w:w="771"/>
        <w:gridCol w:w="114"/>
        <w:gridCol w:w="109"/>
        <w:gridCol w:w="109"/>
        <w:gridCol w:w="109"/>
        <w:gridCol w:w="196"/>
        <w:gridCol w:w="736"/>
        <w:gridCol w:w="155"/>
      </w:tblGrid>
      <w:tr>
        <w:trPr/>
        <w:tc>
          <w:tcPr>
            <w:tcW w:w="284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195,004 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203,495 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116,728 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245,548 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644,047 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79,678 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23,698 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250,293 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20,790,292 and 20,850,454 shares issued and outstanding as of December 31,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36,781 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354,069 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393,754 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644,047 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8069" w:type="dxa"/>
        <w:jc w:val="left"/>
        <w:tblInd w:w="0" w:type="dxa"/>
        <w:tblLayout w:type="fixed"/>
        <w:tblCellMar>
          <w:top w:w="28" w:type="dxa"/>
          <w:left w:w="28" w:type="dxa"/>
          <w:bottom w:w="28" w:type="dxa"/>
          <w:right w:w="28" w:type="dxa"/>
        </w:tblCellMar>
      </w:tblPr>
      <w:tblGrid>
        <w:gridCol w:w="1910"/>
        <w:gridCol w:w="1680"/>
        <w:gridCol w:w="1689"/>
        <w:gridCol w:w="109"/>
        <w:gridCol w:w="109"/>
        <w:gridCol w:w="109"/>
        <w:gridCol w:w="235"/>
        <w:gridCol w:w="775"/>
        <w:gridCol w:w="130"/>
        <w:gridCol w:w="109"/>
        <w:gridCol w:w="109"/>
        <w:gridCol w:w="109"/>
        <w:gridCol w:w="196"/>
        <w:gridCol w:w="64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Nine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January 1,</w:t>
              <w:br/>
              <w:t>2023</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61,531 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25,665 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117,610 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(28,248)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(78,855)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(106,380)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(13,055)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REPORTABLE SEGMENTS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11"/>
        <w:gridCol w:w="1148"/>
        <w:gridCol w:w="1156"/>
        <w:gridCol w:w="109"/>
        <w:gridCol w:w="109"/>
        <w:gridCol w:w="109"/>
        <w:gridCol w:w="211"/>
        <w:gridCol w:w="826"/>
        <w:gridCol w:w="109"/>
        <w:gridCol w:w="109"/>
        <w:gridCol w:w="109"/>
        <w:gridCol w:w="109"/>
        <w:gridCol w:w="211"/>
        <w:gridCol w:w="826"/>
        <w:gridCol w:w="109"/>
        <w:gridCol w:w="109"/>
        <w:gridCol w:w="109"/>
        <w:gridCol w:w="109"/>
        <w:gridCol w:w="330"/>
        <w:gridCol w:w="1295"/>
        <w:gridCol w:w="170"/>
        <w:gridCol w:w="109"/>
        <w:gridCol w:w="109"/>
        <w:gridCol w:w="109"/>
        <w:gridCol w:w="211"/>
        <w:gridCol w:w="826"/>
        <w:gridCol w:w="158"/>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Nine months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696,142 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83,952 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Nine months ended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120,341 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Calibri;sans-serif" w:hAnsi="Calibri;sans-serif"/>
          <w:b w:val="false"/>
          <w:color w:val="000000"/>
          <w:sz w:val="20"/>
          <w:u w:val="single"/>
        </w:rPr>
        <w:t>Forward-Looking Statements</w:t>
      </w:r>
      <w:r>
        <w:rPr>
          <w:rFonts w:ascii="Calibri;sans-serif" w:hAnsi="Calibr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Contacts:    Jeffrey P. Oldenkamp</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612/331-6910</w:t>
      </w:r>
    </w:p>
    <w:p>
      <w:pPr>
        <w:pStyle w:val="TextBody"/>
        <w:bidi w:val="0"/>
        <w:spacing w:lineRule="auto" w:line="276" w:before="0" w:after="0"/>
        <w:ind w:left="0" w:right="0" w:firstLine="720"/>
        <w:jc w:val="left"/>
        <w:rPr>
          <w:rFonts w:ascii="Calibri;sans-serif" w:hAnsi="Calibri;sans-serif"/>
          <w:b w:val="false"/>
          <w:color w:val="000000"/>
          <w:sz w:val="20"/>
          <w:u w:val="single"/>
        </w:rPr>
      </w:pPr>
      <w:r>
        <w:rPr>
          <w:rFonts w:ascii="Calibri;sans-serif" w:hAnsi="Calibr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3332</Words>
  <Characters>18583</Characters>
  <CharactersWithSpaces>21608</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