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80"/>
        <w:spacing w:after="0"/>
        <w:rPr>
          <w:sz w:val="20"/>
          <w:szCs w:val="20"/>
          <w:color w:val="auto"/>
        </w:rPr>
      </w:pPr>
      <w:r>
        <w:rPr>
          <w:rFonts w:ascii="Courier New" w:cs="Courier New" w:eastAsia="Courier New" w:hAnsi="Courier New"/>
          <w:sz w:val="15"/>
          <w:szCs w:val="15"/>
          <w:color w:val="auto"/>
        </w:rPr>
        <w:t>UNITED STATES</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8"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7" w:lineRule="auto"/>
        <w:rPr>
          <w:sz w:val="20"/>
          <w:szCs w:val="20"/>
          <w:color w:val="auto"/>
        </w:rPr>
      </w:pPr>
      <w:r>
        <w:rPr>
          <w:rFonts w:ascii="Courier New" w:cs="Courier New" w:eastAsia="Courier New" w:hAnsi="Courier New"/>
          <w:sz w:val="15"/>
          <w:szCs w:val="15"/>
          <w:color w:val="auto"/>
        </w:rPr>
        <w:t>FORM 10-Q</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319" w:hanging="430"/>
        <w:spacing w:after="0" w:line="234" w:lineRule="auto"/>
        <w:tabs>
          <w:tab w:leader="none" w:pos="35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ind w:left="1580"/>
        <w:spacing w:after="0"/>
        <w:tabs>
          <w:tab w:leader="none" w:pos="4360" w:val="left"/>
        </w:tabs>
        <w:rPr>
          <w:sz w:val="20"/>
          <w:szCs w:val="20"/>
          <w:color w:val="auto"/>
        </w:rPr>
      </w:pPr>
      <w:r>
        <w:rPr>
          <w:rFonts w:ascii="Courier New" w:cs="Courier New" w:eastAsia="Courier New" w:hAnsi="Courier New"/>
          <w:sz w:val="15"/>
          <w:szCs w:val="15"/>
          <w:color w:val="auto"/>
        </w:rPr>
        <w:t>For the quarterly period ended</w:t>
      </w:r>
      <w:r>
        <w:rPr>
          <w:sz w:val="20"/>
          <w:szCs w:val="20"/>
          <w:color w:val="auto"/>
        </w:rPr>
        <w:tab/>
      </w:r>
      <w:r>
        <w:rPr>
          <w:rFonts w:ascii="Courier New" w:cs="Courier New" w:eastAsia="Courier New" w:hAnsi="Courier New"/>
          <w:sz w:val="14"/>
          <w:szCs w:val="14"/>
          <w:color w:val="auto"/>
        </w:rPr>
        <w:t>JUNE 30, 1995</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939" w:hanging="430"/>
        <w:spacing w:after="0" w:line="234" w:lineRule="auto"/>
        <w:tabs>
          <w:tab w:leader="none" w:pos="2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______________________to ______________________</w:t>
      </w:r>
    </w:p>
    <w:p>
      <w:pPr>
        <w:spacing w:after="0" w:line="171"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0-7647</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HAWKINS CHEMICAL,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w:t>
      </w:r>
    </w:p>
    <w:p>
      <w:pPr>
        <w:jc w:val="center"/>
        <w:ind w:right="321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393" w:right="1440" w:bottom="1440" w:gutter="0" w:footer="0" w:header="0"/>
        </w:sectPr>
      </w:pP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MINNESOTA</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of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740"/>
        <w:spacing w:after="0"/>
        <w:rPr>
          <w:sz w:val="20"/>
          <w:szCs w:val="20"/>
          <w:color w:val="auto"/>
        </w:rPr>
      </w:pPr>
      <w:r>
        <w:rPr>
          <w:rFonts w:ascii="Courier New" w:cs="Courier New" w:eastAsia="Courier New" w:hAnsi="Courier New"/>
          <w:sz w:val="15"/>
          <w:szCs w:val="15"/>
          <w:color w:val="auto"/>
        </w:rPr>
        <w:t>41-0771293</w:t>
      </w:r>
    </w:p>
    <w:p>
      <w:pPr>
        <w:ind w:left="17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2720" w:space="360"/>
            <w:col w:w="7159"/>
          </w:cols>
          <w:pgMar w:left="220" w:top="393"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3100 EAST HENNEPIN AVENUE, MINNEAPOLIS, MINNESOTA 55413</w:t>
      </w:r>
    </w:p>
    <w:p>
      <w:pPr>
        <w:jc w:val="center"/>
        <w:ind w:right="3139"/>
        <w:spacing w:after="0"/>
        <w:tabs>
          <w:tab w:leader="none" w:pos="12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7" w:lineRule="exact"/>
        <w:rPr>
          <w:sz w:val="24"/>
          <w:szCs w:val="24"/>
          <w:color w:val="auto"/>
        </w:rPr>
      </w:pPr>
    </w:p>
    <w:p>
      <w:pPr>
        <w:jc w:val="right"/>
        <w:ind w:right="6119"/>
        <w:spacing w:after="0"/>
        <w:rPr>
          <w:sz w:val="20"/>
          <w:szCs w:val="20"/>
          <w:color w:val="auto"/>
        </w:rPr>
      </w:pPr>
      <w:r>
        <w:rPr>
          <w:rFonts w:ascii="Courier New" w:cs="Courier New" w:eastAsia="Courier New" w:hAnsi="Courier New"/>
          <w:sz w:val="15"/>
          <w:szCs w:val="15"/>
          <w:color w:val="auto"/>
        </w:rPr>
        <w:t>(612)331-6910</w:t>
      </w:r>
    </w:p>
    <w:p>
      <w:pPr>
        <w:jc w:val="right"/>
        <w:ind w:right="6119"/>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393" w:right="1440" w:bottom="1440" w:gutter="0" w:footer="0" w:header="0"/>
          <w:type w:val="continuous"/>
        </w:sectPr>
      </w:pPr>
    </w:p>
    <w:p>
      <w:pPr>
        <w:ind w:left="1320"/>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1"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Yes ___X____</w:t>
      </w:r>
      <w:r>
        <w:rPr>
          <w:sz w:val="20"/>
          <w:szCs w:val="20"/>
          <w:color w:val="auto"/>
        </w:rPr>
        <w:tab/>
      </w:r>
      <w:r>
        <w:rPr>
          <w:rFonts w:ascii="Courier New" w:cs="Courier New" w:eastAsia="Courier New" w:hAnsi="Courier New"/>
          <w:sz w:val="14"/>
          <w:szCs w:val="14"/>
          <w:color w:val="auto"/>
        </w:rPr>
        <w:t>No_______</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393" w:right="1440" w:bottom="1440" w:gutter="0" w:footer="0" w:header="0"/>
          <w:type w:val="continuous"/>
        </w:sectPr>
      </w:pPr>
    </w:p>
    <w:p>
      <w:pPr>
        <w:spacing w:after="0" w:line="167"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Class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par value $.05 per share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May 12, 1995</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10,525,772</w:t>
      </w:r>
    </w:p>
    <w:p>
      <w:pPr>
        <w:sectPr>
          <w:pgSz w:w="11900" w:h="16838" w:orient="portrait"/>
          <w:cols w:equalWidth="0" w:num="2">
            <w:col w:w="3340" w:space="600"/>
            <w:col w:w="6299"/>
          </w:cols>
          <w:pgMar w:left="220" w:top="393" w:right="1440" w:bottom="1440" w:gutter="0" w:footer="0" w:header="0"/>
          <w:type w:val="continuous"/>
        </w:sectPr>
      </w:pPr>
    </w:p>
    <w:bookmarkStart w:id="1" w:name="page2"/>
    <w:bookmarkEnd w:id="1"/>
    <w:p>
      <w:pPr>
        <w:ind w:left="1840"/>
        <w:spacing w:after="0"/>
        <w:rPr>
          <w:sz w:val="20"/>
          <w:szCs w:val="20"/>
          <w:color w:val="auto"/>
        </w:rPr>
      </w:pPr>
      <w:r>
        <w:rPr>
          <w:rFonts w:ascii="Courier New" w:cs="Courier New" w:eastAsia="Courier New" w:hAnsi="Courier New"/>
          <w:sz w:val="15"/>
          <w:szCs w:val="15"/>
          <w:color w:val="auto"/>
        </w:rPr>
        <w:t>HAWKINS CHEMICAL, INC. AND SUBSIDIARIES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5200" w:type="dxa"/>
            <w:vAlign w:val="bottom"/>
          </w:tcPr>
          <w:p>
            <w:pPr>
              <w:ind w:left="2060"/>
              <w:spacing w:after="0"/>
              <w:rPr>
                <w:sz w:val="20"/>
                <w:szCs w:val="20"/>
                <w:color w:val="auto"/>
              </w:rPr>
            </w:pPr>
            <w:r>
              <w:rPr>
                <w:rFonts w:ascii="Courier New" w:cs="Courier New" w:eastAsia="Courier New" w:hAnsi="Courier New"/>
                <w:sz w:val="15"/>
                <w:szCs w:val="15"/>
                <w:color w:val="auto"/>
              </w:rPr>
              <w:t>INDEX TO FORM 10-Q</w:t>
            </w:r>
          </w:p>
        </w:tc>
        <w:tc>
          <w:tcPr>
            <w:tcW w:w="1140" w:type="dxa"/>
            <w:vAlign w:val="bottom"/>
          </w:tcPr>
          <w:p>
            <w:pPr>
              <w:spacing w:after="0"/>
              <w:rPr>
                <w:sz w:val="14"/>
                <w:szCs w:val="14"/>
                <w:color w:val="auto"/>
              </w:rPr>
            </w:pPr>
          </w:p>
        </w:tc>
      </w:tr>
      <w:tr>
        <w:trPr>
          <w:trHeight w:val="841"/>
        </w:trPr>
        <w:tc>
          <w:tcPr>
            <w:tcW w:w="6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68"/>
        </w:trPr>
        <w:tc>
          <w:tcPr>
            <w:tcW w:w="6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114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1140" w:type="dxa"/>
            <w:vAlign w:val="bottom"/>
          </w:tcPr>
          <w:p>
            <w:pPr>
              <w:spacing w:after="0"/>
              <w:rPr>
                <w:sz w:val="24"/>
                <w:szCs w:val="24"/>
                <w:color w:val="auto"/>
              </w:rPr>
            </w:pPr>
          </w:p>
        </w:tc>
      </w:tr>
      <w:tr>
        <w:trPr>
          <w:trHeight w:val="336"/>
        </w:trPr>
        <w:tc>
          <w:tcPr>
            <w:tcW w:w="660" w:type="dxa"/>
            <w:vAlign w:val="bottom"/>
          </w:tcPr>
          <w:p>
            <w:pPr>
              <w:spacing w:after="0"/>
              <w:rPr>
                <w:sz w:val="24"/>
                <w:szCs w:val="24"/>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Consolidated Condensed Balance Sheets - June 30, 1995 and</w:t>
            </w:r>
          </w:p>
        </w:tc>
        <w:tc>
          <w:tcPr>
            <w:tcW w:w="114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October 2, 1994.............................................</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Consolidated Condensed Statements of Income - Three Months and</w:t>
            </w:r>
          </w:p>
        </w:tc>
      </w:tr>
      <w:tr>
        <w:trPr>
          <w:trHeight w:val="168"/>
        </w:trPr>
        <w:tc>
          <w:tcPr>
            <w:tcW w:w="660" w:type="dxa"/>
            <w:vAlign w:val="bottom"/>
          </w:tcPr>
          <w:p>
            <w:pPr>
              <w:spacing w:after="0"/>
              <w:rPr>
                <w:sz w:val="14"/>
                <w:szCs w:val="14"/>
                <w:color w:val="auto"/>
              </w:rPr>
            </w:pP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Nine Months Ended June 30, 1995 and 1994....................</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60" w:type="dxa"/>
            <w:vAlign w:val="bottom"/>
          </w:tcPr>
          <w:p>
            <w:pPr>
              <w:spacing w:after="0"/>
              <w:rPr>
                <w:sz w:val="14"/>
                <w:szCs w:val="14"/>
                <w:color w:val="auto"/>
              </w:rPr>
            </w:pPr>
          </w:p>
        </w:tc>
        <w:tc>
          <w:tcPr>
            <w:tcW w:w="63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Consolidated Condensed Statements of Cash Flow - Nine Months</w:t>
            </w:r>
          </w:p>
        </w:tc>
      </w:tr>
      <w:tr>
        <w:trPr>
          <w:trHeight w:val="168"/>
        </w:trPr>
        <w:tc>
          <w:tcPr>
            <w:tcW w:w="660" w:type="dxa"/>
            <w:vAlign w:val="bottom"/>
          </w:tcPr>
          <w:p>
            <w:pPr>
              <w:spacing w:after="0"/>
              <w:rPr>
                <w:sz w:val="14"/>
                <w:szCs w:val="14"/>
                <w:color w:val="auto"/>
              </w:rPr>
            </w:pP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Ended June 30, 1995 and 1994................................</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60" w:type="dxa"/>
            <w:vAlign w:val="bottom"/>
          </w:tcPr>
          <w:p>
            <w:pPr>
              <w:spacing w:after="0"/>
              <w:rPr>
                <w:sz w:val="14"/>
                <w:szCs w:val="14"/>
                <w:color w:val="auto"/>
              </w:rPr>
            </w:pP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Notes to Consolidated Condensed Financial Statements..........</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6-7</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w w:val="96"/>
              </w:rPr>
              <w:t>Management's Discussion and Analysis of Financial Condition</w:t>
            </w:r>
          </w:p>
        </w:tc>
        <w:tc>
          <w:tcPr>
            <w:tcW w:w="114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5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and Results of Operations...................................</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8-9</w:t>
            </w:r>
          </w:p>
        </w:tc>
      </w:tr>
      <w:tr>
        <w:trPr>
          <w:trHeight w:val="336"/>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114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w w:val="92"/>
              </w:rPr>
              <w:t>Legal Proceedings.............................................</w:t>
            </w:r>
          </w:p>
        </w:tc>
        <w:tc>
          <w:tcPr>
            <w:tcW w:w="1140" w:type="dxa"/>
            <w:vAlign w:val="bottom"/>
          </w:tcPr>
          <w:p>
            <w:pPr>
              <w:ind w:left="540"/>
              <w:spacing w:after="0"/>
              <w:rPr>
                <w:sz w:val="20"/>
                <w:szCs w:val="20"/>
                <w:color w:val="auto"/>
              </w:rPr>
            </w:pPr>
            <w:r>
              <w:rPr>
                <w:rFonts w:ascii="Courier New" w:cs="Courier New" w:eastAsia="Courier New" w:hAnsi="Courier New"/>
                <w:sz w:val="15"/>
                <w:szCs w:val="15"/>
                <w:color w:val="auto"/>
              </w:rPr>
              <w:t>10</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w w:val="92"/>
              </w:rPr>
              <w:t>Exhibits and Reports on Form 8-K..............................</w:t>
            </w:r>
          </w:p>
        </w:tc>
        <w:tc>
          <w:tcPr>
            <w:tcW w:w="1140" w:type="dxa"/>
            <w:vAlign w:val="bottom"/>
          </w:tcPr>
          <w:p>
            <w:pPr>
              <w:ind w:left="540"/>
              <w:spacing w:after="0"/>
              <w:rPr>
                <w:sz w:val="20"/>
                <w:szCs w:val="20"/>
                <w:color w:val="auto"/>
              </w:rPr>
            </w:pPr>
            <w:r>
              <w:rPr>
                <w:rFonts w:ascii="Courier New" w:cs="Courier New" w:eastAsia="Courier New" w:hAnsi="Courier New"/>
                <w:sz w:val="15"/>
                <w:szCs w:val="15"/>
                <w:color w:val="auto"/>
              </w:rPr>
              <w:t>10</w:t>
            </w:r>
          </w:p>
        </w:tc>
      </w:tr>
      <w:tr>
        <w:trPr>
          <w:trHeight w:val="336"/>
        </w:trPr>
        <w:tc>
          <w:tcPr>
            <w:tcW w:w="660" w:type="dxa"/>
            <w:vAlign w:val="bottom"/>
          </w:tcPr>
          <w:p>
            <w:pPr>
              <w:spacing w:after="0"/>
              <w:rPr>
                <w:sz w:val="24"/>
                <w:szCs w:val="24"/>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w w:val="98"/>
              </w:rPr>
              <w:t>Financial Data Schedule...................................</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Exhibit 27</w:t>
            </w:r>
          </w:p>
        </w:tc>
      </w:tr>
      <w:tr>
        <w:trPr>
          <w:trHeight w:val="505"/>
        </w:trPr>
        <w:tc>
          <w:tcPr>
            <w:tcW w:w="660" w:type="dxa"/>
            <w:vAlign w:val="bottom"/>
          </w:tcPr>
          <w:p>
            <w:pPr>
              <w:spacing w:after="0"/>
              <w:rPr>
                <w:sz w:val="24"/>
                <w:szCs w:val="24"/>
                <w:color w:val="auto"/>
              </w:rPr>
            </w:pPr>
          </w:p>
        </w:tc>
        <w:tc>
          <w:tcPr>
            <w:tcW w:w="5200" w:type="dxa"/>
            <w:vAlign w:val="bottom"/>
          </w:tcPr>
          <w:p>
            <w:pPr>
              <w:ind w:left="2840"/>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ind w:left="2200"/>
        <w:spacing w:after="0"/>
        <w:tabs>
          <w:tab w:leader="none" w:pos="29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I.</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HAWKINS CHEMICAL, INC. AND SUBSIDIARIES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JUNE 30, 1995</w:t>
            </w:r>
          </w:p>
        </w:tc>
        <w:tc>
          <w:tcPr>
            <w:tcW w:w="19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OCTOBER 2, 1994</w:t>
            </w:r>
          </w:p>
        </w:tc>
      </w:tr>
      <w:tr>
        <w:trPr>
          <w:trHeight w:val="168"/>
        </w:trPr>
        <w:tc>
          <w:tcPr>
            <w:tcW w:w="770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7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(Unaudited)</w:t>
            </w:r>
          </w:p>
        </w:tc>
        <w:tc>
          <w:tcPr>
            <w:tcW w:w="19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(Derived from Audited</w:t>
            </w:r>
          </w:p>
        </w:tc>
      </w:tr>
      <w:tr>
        <w:trPr>
          <w:trHeight w:val="168"/>
        </w:trPr>
        <w:tc>
          <w:tcPr>
            <w:tcW w:w="7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financial statements)</w:t>
            </w:r>
          </w:p>
        </w:tc>
      </w:tr>
      <w:tr>
        <w:trPr>
          <w:trHeight w:val="336"/>
        </w:trPr>
        <w:tc>
          <w:tcPr>
            <w:tcW w:w="77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$ 10,639,912</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6,895,341</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Investments.........................................................................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7,871,248</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6,576,743</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Accounts receivable-net.............................................................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13,094,829</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9,509,807</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Note receivable.....................................................................</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208,943</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Inventories.........................................................................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5,461,925</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7,844,591</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Other current assets................................................................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1,601,383</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1,339,833</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38,878,240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32,166,315</w:t>
            </w:r>
          </w:p>
        </w:tc>
      </w:tr>
      <w:tr>
        <w:trPr>
          <w:trHeight w:val="336"/>
        </w:trPr>
        <w:tc>
          <w:tcPr>
            <w:tcW w:w="7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Property, plant and equipment-net.....................................................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10,356,810</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9,582,007</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Net assets of discontinued operations.................................................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23,531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1,614,717</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Note receivable-non current...........................................................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755,045</w:t>
            </w:r>
          </w:p>
        </w:tc>
        <w:tc>
          <w:tcPr>
            <w:tcW w:w="1920" w:type="dxa"/>
            <w:vAlign w:val="bottom"/>
          </w:tcPr>
          <w:p>
            <w:pPr>
              <w:spacing w:after="0"/>
              <w:rPr>
                <w:sz w:val="14"/>
                <w:szCs w:val="14"/>
                <w:color w:val="auto"/>
              </w:rPr>
            </w:pP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2,623,632</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2,611,945</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$52,637,258</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$45,974,984</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7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6"/>
        </w:trPr>
        <w:tc>
          <w:tcPr>
            <w:tcW w:w="77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36"/>
        </w:trPr>
        <w:tc>
          <w:tcPr>
            <w:tcW w:w="7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Accounts payable....................................................................</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$10,227,070</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$ 5,746,620</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Current portion of long-term debt...................................................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52,344</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48,919</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Other current liabilities...........................................................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4,484,321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4,389,962</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 current liabilities........................................................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14,763,735</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10,185,501</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Long term debt........................................................................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628,461</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680,805</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Deferred income taxes.................................................................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331,800</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335,300</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7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7700" w:type="dxa"/>
            <w:vAlign w:val="bottom"/>
          </w:tcPr>
          <w:p>
            <w:pPr>
              <w:jc w:val="right"/>
              <w:ind w:right="3427"/>
              <w:spacing w:after="0" w:line="168" w:lineRule="exact"/>
              <w:rPr>
                <w:sz w:val="20"/>
                <w:szCs w:val="20"/>
                <w:color w:val="auto"/>
              </w:rPr>
            </w:pPr>
            <w:r>
              <w:rPr>
                <w:rFonts w:ascii="Courier New" w:cs="Courier New" w:eastAsia="Courier New" w:hAnsi="Courier New"/>
                <w:sz w:val="15"/>
                <w:szCs w:val="15"/>
                <w:color w:val="auto"/>
              </w:rPr>
              <w:t>Common stock, par value $.05 per share; issued</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7700" w:type="dxa"/>
            <w:vAlign w:val="bottom"/>
          </w:tcPr>
          <w:p>
            <w:pPr>
              <w:jc w:val="right"/>
              <w:ind w:right="3847"/>
              <w:spacing w:after="0" w:line="168" w:lineRule="exact"/>
              <w:rPr>
                <w:sz w:val="20"/>
                <w:szCs w:val="20"/>
                <w:color w:val="auto"/>
              </w:rPr>
            </w:pPr>
            <w:r>
              <w:rPr>
                <w:rFonts w:ascii="Courier New" w:cs="Courier New" w:eastAsia="Courier New" w:hAnsi="Courier New"/>
                <w:sz w:val="15"/>
                <w:szCs w:val="15"/>
                <w:color w:val="auto"/>
              </w:rPr>
              <w:t>and outstanding, 10,525,772 shares and</w:t>
            </w: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9,569,196 shares respectively....................................................</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526,289</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478,460</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Additional paid-in capital..........................................................</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34,235,623</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26,869,988</w:t>
            </w:r>
          </w:p>
        </w:tc>
      </w:tr>
      <w:tr>
        <w:trPr>
          <w:trHeight w:val="168"/>
        </w:trPr>
        <w:tc>
          <w:tcPr>
            <w:tcW w:w="7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Retained earnings...................................................................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2,151,350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7,424,930</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 shareholders' equity.......................................................</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36,913,262</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34,773,378</w:t>
            </w:r>
          </w:p>
        </w:tc>
      </w:tr>
      <w:tr>
        <w:trPr>
          <w:trHeight w:val="168"/>
        </w:trPr>
        <w:tc>
          <w:tcPr>
            <w:tcW w:w="77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$52,637,258</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$45,974,984</w:t>
            </w:r>
          </w:p>
        </w:tc>
      </w:tr>
    </w:tbl>
    <w:p>
      <w:pPr>
        <w:ind w:left="7880"/>
        <w:spacing w:after="0" w:line="237" w:lineRule="auto"/>
        <w:tabs>
          <w:tab w:leader="none" w:pos="9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7880"/>
        <w:spacing w:after="0" w:line="238" w:lineRule="auto"/>
        <w:tabs>
          <w:tab w:leader="none" w:pos="9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200"/>
          </w:cols>
          <w:pgMar w:left="220" w:top="617" w:right="479" w:bottom="1440" w:gutter="0" w:footer="0" w:header="0"/>
        </w:sectPr>
      </w:pPr>
    </w:p>
    <w:bookmarkStart w:id="3" w:name="page4"/>
    <w:bookmarkEnd w:id="3"/>
    <w:p>
      <w:pPr>
        <w:jc w:val="center"/>
        <w:ind w:right="4440"/>
        <w:spacing w:after="0"/>
        <w:rPr>
          <w:sz w:val="20"/>
          <w:szCs w:val="20"/>
          <w:color w:val="auto"/>
        </w:rPr>
      </w:pPr>
      <w:r>
        <w:rPr>
          <w:rFonts w:ascii="Courier New" w:cs="Courier New" w:eastAsia="Courier New" w:hAnsi="Courier New"/>
          <w:sz w:val="15"/>
          <w:szCs w:val="15"/>
          <w:color w:val="auto"/>
        </w:rPr>
        <w:t>HAWKINS CHEMICAL, INC. AND SUBSIDIARIES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CONSOLIDATED CONDENSED STATEMENTS OF INCOME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2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 ENDED JUNE 30</w:t>
            </w:r>
          </w:p>
        </w:tc>
        <w:tc>
          <w:tcPr>
            <w:tcW w:w="2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NINE MONTHS ENDED JUNE 30</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$26,519,043</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$22,555,574</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$61,916,161</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$52,040,732</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Cost of sales...................................................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21,229,029</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17,968,823</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49,014,124</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40,429,604</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Selling, general and administrative.............................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2,363,251</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2,254,092</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6,194,328</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5,911,139</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Unusual and nonrecurring........................................</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750,000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costs and expenses.....................................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23,592,280</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20,222,915</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55,958,452</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46,340,743</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Income from operations.............................................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2,926,763</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2,332,659</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5,957,709</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5,699,989</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(deductions):</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6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income.................................................</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242,687</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143,368</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676,275</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411,006</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(13,784)</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(20,550)</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(41,274)</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(52,658)</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Miscellaneous...................................................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19,924</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(17,810)</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43,689</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21,114</w:t>
            </w:r>
          </w:p>
        </w:tc>
      </w:tr>
      <w:tr>
        <w:trPr>
          <w:trHeight w:val="336"/>
        </w:trPr>
        <w:tc>
          <w:tcPr>
            <w:tcW w:w="6000" w:type="dxa"/>
            <w:vAlign w:val="bottom"/>
          </w:tcPr>
          <w:p>
            <w:pPr>
              <w:spacing w:after="0"/>
              <w:rPr>
                <w:sz w:val="24"/>
                <w:szCs w:val="24"/>
                <w:color w:val="auto"/>
              </w:rPr>
            </w:pP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other income (deductions)..............................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248,827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105,008</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678,690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379,462</w:t>
            </w:r>
          </w:p>
        </w:tc>
      </w:tr>
      <w:tr>
        <w:trPr>
          <w:trHeight w:val="505"/>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taxes...........................................................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3,175,590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2,437,667</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6,636,399</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6,079,451</w:t>
            </w:r>
          </w:p>
        </w:tc>
      </w:tr>
      <w:tr>
        <w:trPr>
          <w:trHeight w:val="336"/>
        </w:trPr>
        <w:tc>
          <w:tcPr>
            <w:tcW w:w="6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Provision for income taxes from continuing operations..............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1,277,800</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972,900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2,667,700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2,421,700</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1,897,790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1,464,767</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3,968,699</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3,657,751</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(loss) from operations of Tessman Seed,</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 (less applicable income taxes of $0,</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$74,100, ($46,500), $59,100, respectively)......................</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112,090</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(69,905)</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89,374</w:t>
            </w:r>
          </w:p>
        </w:tc>
      </w:tr>
      <w:tr>
        <w:trPr>
          <w:trHeight w:val="336"/>
        </w:trPr>
        <w:tc>
          <w:tcPr>
            <w:tcW w:w="6000" w:type="dxa"/>
            <w:vAlign w:val="bottom"/>
          </w:tcPr>
          <w:p>
            <w:pPr>
              <w:ind w:left="280"/>
              <w:spacing w:after="0"/>
              <w:rPr>
                <w:sz w:val="20"/>
                <w:szCs w:val="20"/>
                <w:color w:val="auto"/>
              </w:rPr>
            </w:pPr>
            <w:r>
              <w:rPr>
                <w:rFonts w:ascii="Courier New" w:cs="Courier New" w:eastAsia="Courier New" w:hAnsi="Courier New"/>
                <w:sz w:val="15"/>
                <w:szCs w:val="15"/>
                <w:color w:val="auto"/>
              </w:rPr>
              <w:t>Loss on disposal of assets of Tessman Seed, Inc.</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(less applicable income taxes of $214,200)......................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(321,266)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(loss) from discontinued operations.........................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112,090</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(391,171)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89,374</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income.........................................................</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$ 1,897,790</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$ 1,576,857</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$ 3,577,528</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$ 3,747,125</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10,525,772</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10,525,772</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10,525,772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10,525,772</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$ 0.14</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$0.38</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0.01</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(0.04)</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$0.15</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$0.34</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$0.36</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617" w:right="139" w:bottom="1440" w:gutter="0" w:footer="0" w:header="0"/>
        </w:sectPr>
      </w:pPr>
    </w:p>
    <w:bookmarkStart w:id="4" w:name="page5"/>
    <w:bookmarkEnd w:id="4"/>
    <w:p>
      <w:pPr>
        <w:jc w:val="center"/>
        <w:ind w:right="3760"/>
        <w:spacing w:after="0"/>
        <w:rPr>
          <w:sz w:val="20"/>
          <w:szCs w:val="20"/>
          <w:color w:val="auto"/>
        </w:rPr>
      </w:pPr>
      <w:r>
        <w:rPr>
          <w:rFonts w:ascii="Courier New" w:cs="Courier New" w:eastAsia="Courier New" w:hAnsi="Courier New"/>
          <w:sz w:val="15"/>
          <w:szCs w:val="15"/>
          <w:color w:val="auto"/>
        </w:rPr>
        <w:t>HAWKINS CHEMICAL, INC. AND SUBSIDIARIES</w:t>
      </w:r>
    </w:p>
    <w:p>
      <w:pPr>
        <w:jc w:val="center"/>
        <w:ind w:right="3760"/>
        <w:spacing w:after="0" w:line="237" w:lineRule="auto"/>
        <w:rPr>
          <w:sz w:val="20"/>
          <w:szCs w:val="20"/>
          <w:color w:val="auto"/>
        </w:rPr>
      </w:pPr>
      <w:r>
        <w:rPr>
          <w:rFonts w:ascii="Courier New" w:cs="Courier New" w:eastAsia="Courier New" w:hAnsi="Courier New"/>
          <w:sz w:val="15"/>
          <w:szCs w:val="15"/>
          <w:color w:val="auto"/>
        </w:rPr>
        <w:t>CONSOLIDATED CONDENSED STATEMENTS OF CASH FLOWS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80" w:type="dxa"/>
            <w:vAlign w:val="bottom"/>
          </w:tcPr>
          <w:p>
            <w:pPr>
              <w:spacing w:after="0"/>
              <w:rPr>
                <w:sz w:val="14"/>
                <w:szCs w:val="14"/>
                <w:color w:val="auto"/>
              </w:rPr>
            </w:pPr>
          </w:p>
        </w:tc>
        <w:tc>
          <w:tcPr>
            <w:tcW w:w="25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NINE MONTHS ENDED JUNE 30</w:t>
            </w:r>
          </w:p>
        </w:tc>
      </w:tr>
      <w:tr>
        <w:trPr>
          <w:trHeight w:val="336"/>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82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82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income..................................................................................</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3,577,528</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3,747,125</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Net loss on disposal of assets of Tessman Seed, Inc.........................................</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321,266</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Net loss on discontinued operations of Tessman Seed, Inc....................................</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69,905</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(89,374)</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Unusual and nonrecurring charge.............................................................</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750,000</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973,579</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928,772</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Deferred income taxes.......................................................................</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(103,500)</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Other.......................................................................................</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(60,285)</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(81,068)</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Changes in certain current assets and liabilities...........................................</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2,492,842</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(795,245)</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8,021,335</w:t>
            </w: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3,710,210</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82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8280" w:type="dxa"/>
            <w:vAlign w:val="bottom"/>
          </w:tcPr>
          <w:p>
            <w:pPr>
              <w:jc w:val="right"/>
              <w:spacing w:after="0"/>
              <w:rPr>
                <w:sz w:val="20"/>
                <w:szCs w:val="20"/>
                <w:color w:val="auto"/>
              </w:rPr>
            </w:pPr>
            <w:r>
              <w:rPr>
                <w:rFonts w:ascii="Courier New" w:cs="Courier New" w:eastAsia="Courier New" w:hAnsi="Courier New"/>
                <w:sz w:val="15"/>
                <w:szCs w:val="15"/>
                <w:color w:val="auto"/>
                <w:w w:val="99"/>
              </w:rPr>
              <w:t>Additions to property, plant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(1,676,422)</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(913,323)</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Purchases of investments....................................................................</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(1,294,505)</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(3,584,979)</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Acquisition of Industrial Chemical..........................................................</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(2,502,430)</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Cash received on sale of assets and business of Tessman Seed, Inc...........................</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100,000</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(2,870,927)</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(7,000,732)</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2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82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dividends paid.........................................................................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(1,437,644)</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(1,278,163)</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Debt repayment..............................................................................</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(48,919)</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Payments received on note receivable........................................................</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80,726</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Proceeds from issuance of long-term debt....................................................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729,724</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(1,405,837)</w:t>
            </w:r>
          </w:p>
        </w:tc>
        <w:tc>
          <w:tcPr>
            <w:tcW w:w="3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(548,439)</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280" w:type="dxa"/>
            <w:vAlign w:val="bottom"/>
          </w:tcPr>
          <w:p>
            <w:pPr>
              <w:jc w:val="right"/>
              <w:spacing w:after="0"/>
              <w:rPr>
                <w:sz w:val="20"/>
                <w:szCs w:val="20"/>
                <w:color w:val="auto"/>
              </w:rPr>
            </w:pPr>
            <w:r>
              <w:rPr>
                <w:rFonts w:ascii="Courier New" w:cs="Courier New" w:eastAsia="Courier New" w:hAnsi="Courier New"/>
                <w:sz w:val="15"/>
                <w:szCs w:val="15"/>
                <w:color w:val="auto"/>
                <w:w w:val="97"/>
              </w:rPr>
              <w:t>INCREASE (DECREASE) IN CASH AND CASH EQUIVALENTS..............................................</w:t>
            </w:r>
          </w:p>
        </w:tc>
        <w:tc>
          <w:tcPr>
            <w:tcW w:w="30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3,744,571</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(3,838,961)</w:t>
            </w:r>
          </w:p>
        </w:tc>
      </w:tr>
      <w:tr>
        <w:trPr>
          <w:trHeight w:val="336"/>
        </w:trPr>
        <w:tc>
          <w:tcPr>
            <w:tcW w:w="828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30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6,895,341</w:t>
            </w:r>
          </w:p>
        </w:tc>
        <w:tc>
          <w:tcPr>
            <w:tcW w:w="3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9,519,580</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8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10,639,912</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5,680,619</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8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82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paid for interest......................................................................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56,180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13,940</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82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paid for income taxes..................................................................</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1,817,258</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2,598,130</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82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860"/>
          </w:cols>
          <w:pgMar w:left="220" w:top="617" w:right="819" w:bottom="1440" w:gutter="0" w:footer="0" w:header="0"/>
        </w:sectPr>
      </w:pPr>
    </w:p>
    <w:bookmarkStart w:id="5" w:name="page6"/>
    <w:bookmarkEnd w:id="5"/>
    <w:p>
      <w:pPr>
        <w:ind w:left="1840"/>
        <w:spacing w:after="0"/>
        <w:rPr>
          <w:sz w:val="20"/>
          <w:szCs w:val="20"/>
          <w:color w:val="auto"/>
        </w:rPr>
      </w:pPr>
      <w:r>
        <w:rPr>
          <w:rFonts w:ascii="Courier New" w:cs="Courier New" w:eastAsia="Courier New" w:hAnsi="Courier New"/>
          <w:sz w:val="15"/>
          <w:szCs w:val="15"/>
          <w:color w:val="auto"/>
        </w:rPr>
        <w:t>HAWKINS CHEMICAL, INC. AND SUBSIDIARIES</w:t>
      </w:r>
    </w:p>
    <w:p>
      <w:pPr>
        <w:ind w:left="1240"/>
        <w:spacing w:after="0" w:line="237" w:lineRule="auto"/>
        <w:rPr>
          <w:sz w:val="20"/>
          <w:szCs w:val="20"/>
          <w:color w:val="auto"/>
        </w:rPr>
      </w:pPr>
      <w:r>
        <w:rPr>
          <w:rFonts w:ascii="Courier New" w:cs="Courier New" w:eastAsia="Courier New" w:hAnsi="Courier New"/>
          <w:sz w:val="15"/>
          <w:szCs w:val="15"/>
          <w:color w:val="auto"/>
        </w:rPr>
        <w:t>NOTES TO CONSOLIDATED CONDENSED FINANCIAL STATEMENTS</w:t>
      </w:r>
    </w:p>
    <w:p>
      <w:pPr>
        <w:spacing w:after="0" w:line="342" w:lineRule="exact"/>
        <w:rPr>
          <w:sz w:val="20"/>
          <w:szCs w:val="20"/>
          <w:color w:val="auto"/>
        </w:rPr>
      </w:pPr>
    </w:p>
    <w:p>
      <w:pPr>
        <w:ind w:right="3239" w:firstLine="10"/>
        <w:spacing w:after="0" w:line="255" w:lineRule="auto"/>
        <w:tabs>
          <w:tab w:leader="none" w:pos="43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2, 1994,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 except as discussed in note 3 below.</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accounting policies followed by the Company are set forth in Note 1 to the Company's financial statements in the 1994 Hawkins Chemical, Inc. Annual Report which is incorporated by reference to Form 10-K filed with the Commission on December 30, 1994.</w:t>
      </w:r>
    </w:p>
    <w:p>
      <w:pPr>
        <w:spacing w:after="0" w:line="175" w:lineRule="exact"/>
        <w:rPr>
          <w:sz w:val="20"/>
          <w:szCs w:val="20"/>
          <w:color w:val="auto"/>
        </w:rPr>
      </w:pPr>
    </w:p>
    <w:p>
      <w:pPr>
        <w:ind w:right="3399" w:firstLine="10"/>
        <w:spacing w:after="0" w:line="236" w:lineRule="auto"/>
        <w:tabs>
          <w:tab w:leader="none" w:pos="43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March 1, 1995, the Company sold the inventory, equipment and operations of Tessman Seed, Inc., which sold a wide range of horticulture and pest control products. As a result of the sale the Company recorded a loss on disposal of $321,266, net of taxes totaling $214,200, to write-down Tessman's assets to the amount realized.</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Revenues for Tessman for the quarters ending June 30, 1995 and 1994 were $0 and $1,739,000, respectively, and for the nine months ending June 30, 1995 and 1994 were $931,000 and $3,658,000, respectively. The assets and liabilities of the discontinued operations have been reclassified on the balance sheet from their historic classification to separately identify them as net assets of discontinued operations and principally consisted of accounts receivable, inventory, equipment and accounts payable at October 2, 1994.</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inventory, equipment and operations of Tessman were sold for $1,144,714. At closing Hawkins received $100,000 and a note receivable for the balance. The note receivable is due over the next 5 years plus interest at 8%.</w:t>
      </w:r>
    </w:p>
    <w:p>
      <w:pPr>
        <w:spacing w:after="0" w:line="174" w:lineRule="exact"/>
        <w:rPr>
          <w:sz w:val="20"/>
          <w:szCs w:val="20"/>
          <w:color w:val="auto"/>
        </w:rPr>
      </w:pPr>
    </w:p>
    <w:p>
      <w:pPr>
        <w:ind w:right="3239" w:firstLine="10"/>
        <w:spacing w:after="0" w:line="255" w:lineRule="auto"/>
        <w:tabs>
          <w:tab w:leader="none" w:pos="4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recorded in the nine months ended June 30, 1995, as unusual and nonrecurring expenses, an accrual of $750,000 to cover expected legal fees and expenses, and liability or settlement costs, which may be incurred by the Company in connection with it's defense of a lawsuit filed against the Company related to a fire in an office/warehouse facility of The Lynde Company, a wholly owned subsidiary. See Part II, Item 1 of the Company's quarterly report on Form 10-Q, filed with the Commission on May 15, 1995 and Part II, Item 1 of this Form 10-Q for additional information regarding this matter.</w:t>
      </w:r>
    </w:p>
    <w:p>
      <w:pPr>
        <w:spacing w:after="0" w:line="165" w:lineRule="exact"/>
        <w:rPr>
          <w:rFonts w:ascii="Courier New" w:cs="Courier New" w:eastAsia="Courier New" w:hAnsi="Courier New"/>
          <w:sz w:val="14"/>
          <w:szCs w:val="14"/>
          <w:color w:val="auto"/>
        </w:rPr>
      </w:pPr>
    </w:p>
    <w:p>
      <w:pPr>
        <w:ind w:right="3399" w:firstLine="10"/>
        <w:spacing w:after="0" w:line="236" w:lineRule="auto"/>
        <w:tabs>
          <w:tab w:leader="none" w:pos="43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consist of insurance contracts with highly rated, stable insurance companies, and marketable securities consisting of investment grade municipal securities, all of which are carried at fair market value which approximates cost. On October 3, 1994, the Company adopted SFAS No. 115, "Accounting for Certain Investments in Debt and Equity Securities." The adoption of SFAS No. 115 did not have a material impact on the Company's financial statements. These securities are classified as "available-for-sale" as defined by SFAS No. 115.</w:t>
      </w:r>
    </w:p>
    <w:p>
      <w:pPr>
        <w:spacing w:after="0" w:line="177" w:lineRule="exact"/>
        <w:rPr>
          <w:rFonts w:ascii="Courier New" w:cs="Courier New" w:eastAsia="Courier New" w:hAnsi="Courier New"/>
          <w:sz w:val="15"/>
          <w:szCs w:val="15"/>
          <w:color w:val="auto"/>
        </w:rPr>
      </w:pPr>
    </w:p>
    <w:p>
      <w:pPr>
        <w:ind w:right="3499" w:firstLine="10"/>
        <w:spacing w:after="0" w:line="261" w:lineRule="auto"/>
        <w:tabs>
          <w:tab w:leader="none" w:pos="4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operations for the period ended June 30, 1995 are not necessarily indicative of the results that may be expected for the full year.</w:t>
      </w: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ind w:left="-10" w:right="3239" w:firstLine="10"/>
        <w:spacing w:after="0" w:line="236" w:lineRule="auto"/>
        <w:tabs>
          <w:tab w:leader="none" w:pos="4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principally valued by the LIFO method, are less than current cost by approximately $2,331,118 at June 30, 1995. Inventory consists principally of finished goods. Inventory quantities fluctuate during the year. No material amounts of interim liquidation of inventory quantities have occurred that are not expected to be replaced by year-end.</w:t>
      </w:r>
    </w:p>
    <w:p>
      <w:pPr>
        <w:spacing w:after="0" w:line="173" w:lineRule="exact"/>
        <w:rPr>
          <w:rFonts w:ascii="Courier New" w:cs="Courier New" w:eastAsia="Courier New" w:hAnsi="Courier New"/>
          <w:sz w:val="15"/>
          <w:szCs w:val="15"/>
          <w:color w:val="auto"/>
        </w:rPr>
      </w:pPr>
    </w:p>
    <w:p>
      <w:pPr>
        <w:ind w:left="-10" w:right="3239" w:firstLine="10"/>
        <w:spacing w:after="0" w:line="236" w:lineRule="auto"/>
        <w:tabs>
          <w:tab w:leader="none" w:pos="4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 and cash dividends per common share are based upon the weighted average number of shares outstanding after giving retroactive effect to a 10% stock dividend declared February 15, 1995 to shareholders of record at the close of business on March 31, 1995. Cash dividends in the amount of $1,437,644 were paid on April 12, 1995.</w:t>
      </w:r>
    </w:p>
    <w:p>
      <w:pPr>
        <w:spacing w:after="0" w:line="335"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4" w:right="1440" w:bottom="1440" w:gutter="0" w:footer="0" w:header="0"/>
        </w:sectPr>
      </w:pPr>
    </w:p>
    <w:bookmarkStart w:id="7" w:name="page8"/>
    <w:bookmarkEnd w:id="7"/>
    <w:p>
      <w:pPr>
        <w:ind w:left="1580" w:right="4719" w:hanging="1573"/>
        <w:spacing w:after="0" w:line="261" w:lineRule="auto"/>
        <w:tabs>
          <w:tab w:leader="none" w:pos="15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CONTINUING OPERATIONS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Net sales increased $3,963,469 (17.6%) in the third quarter of this fiscal year as compared to the same quarter a year ago, and $9,875,429 (19.0%) in the first nine months of fiscal 1995 as compared to the same period in fiscal 1994. These increases are primarily due to increases in the selling price of a single large-volume product, as well as volume increases which were less significant.</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Gross margin, as a percentage of net sales, for the third quarter of fiscal 1995 was 19.9% compared to 20.3% for the same quarter one year ago, and 20.8% for the first nine months of fiscal 1995 as compared to 22.3% for the first nine months of fiscal 1994. These decreases are mainly attributable to the increased cost of the single large-volume product mentioned previously, which resulted in an increase in the cost of sales of $325,000 and $1,340,000 in the third quarter and first nine months of fiscal 1995 respectively. One year ago, the cost of this product dropped substantially, causing unusually high gross margins. Gross margins are now more in line with what they have been in the past. The Company has generally been able to, and expects to continue to, adjust its selling prices as the cost of materials and other expenses change, thereby maintaining relatively stable gross margins.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general and administrative expenses, as a percentage of net sales, for the third quarter of fiscal 1995 were 8.9% compared to 10.0% for the same quarter one year ago, and 10.0% for the first nine months of fiscal 1995 as compared to 11.4% for the first nine months of fiscal 1994. Most of the expenses in this category are fixed with the remaining expenses fluctuating only slightly with net sales.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unusual and nonrecurring charge in the second quarter and first nine months of fiscal 1995 is attributable to the recording of a $750,000 reserve to cover legal fees, and expenses and liability or settlement costs, if any, which may be incurred by the Company in connection with its defense of a lawsuit filed against the Company. The lawsuit alleges that the plaintiff sustained damages resulting from a fire at an office/warehouse facility used by The Lynde Company, a wholly owned subsidiary of the Company. The actual legal fees and expenses, and liability or settlement costs, if any, which may be incurred by the Company throughout the life of the lawsuit are highly dependent on a variety of technical legal issues. For further discussion of the lawsuit, please see Part II, Item 1 of the Company's quarterly report on Form 10-Q filed with the Commission on May 15, 1995, and Part II, Item 1 of this Form 10-Q. The Company's operations were not materially impacted by the event as operations were able to be relocated to other facilities. Additionally, insurance will cover most of the loss sustained to the building and inventory.</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income increased $99,319 in the third quarter of fiscal 1995 as compared to the same quarter one year ago and $265,269 for the first nine months of this fiscal year as compared to the same period one year ago. These increases are due to an increase in the amount of cash available for investments and to a higher rate of return earned on cash equivalents and investments. Interest expense decreased slightly due mainly to the settlement of an income tax audit in the prior year.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March 1995, the Company adopted a formal plan to discontinue operations of</w:t>
      </w:r>
    </w:p>
    <w:p>
      <w:pPr>
        <w:spacing w:after="0" w:line="237" w:lineRule="auto"/>
        <w:rPr>
          <w:sz w:val="20"/>
          <w:szCs w:val="20"/>
          <w:color w:val="auto"/>
        </w:rPr>
      </w:pPr>
      <w:r>
        <w:rPr>
          <w:rFonts w:ascii="Courier New" w:cs="Courier New" w:eastAsia="Courier New" w:hAnsi="Courier New"/>
          <w:sz w:val="15"/>
          <w:szCs w:val="15"/>
          <w:color w:val="auto"/>
        </w:rPr>
        <w:t>Tessman Seed, which sold a wide range of horticulture and pest control</w:t>
      </w:r>
    </w:p>
    <w:p>
      <w:pPr>
        <w:spacing w:after="0" w:line="238" w:lineRule="auto"/>
        <w:rPr>
          <w:sz w:val="20"/>
          <w:szCs w:val="20"/>
          <w:color w:val="auto"/>
        </w:rPr>
      </w:pPr>
      <w:r>
        <w:rPr>
          <w:rFonts w:ascii="Courier New" w:cs="Courier New" w:eastAsia="Courier New" w:hAnsi="Courier New"/>
          <w:sz w:val="15"/>
          <w:szCs w:val="15"/>
          <w:color w:val="auto"/>
        </w:rPr>
        <w:t>products. Effective March 1, 1995, the Company sold the inventory, equipment</w:t>
      </w:r>
    </w:p>
    <w:p>
      <w:pPr>
        <w:spacing w:after="0"/>
        <w:tabs>
          <w:tab w:leader="none" w:pos="2440" w:val="left"/>
        </w:tabs>
        <w:rPr>
          <w:sz w:val="20"/>
          <w:szCs w:val="20"/>
          <w:color w:val="auto"/>
        </w:rPr>
      </w:pPr>
      <w:r>
        <w:rPr>
          <w:rFonts w:ascii="Courier New" w:cs="Courier New" w:eastAsia="Courier New" w:hAnsi="Courier New"/>
          <w:sz w:val="15"/>
          <w:szCs w:val="15"/>
          <w:color w:val="auto"/>
        </w:rPr>
        <w:t>and operations of Tessman.</w:t>
      </w:r>
      <w:r>
        <w:rPr>
          <w:sz w:val="20"/>
          <w:szCs w:val="20"/>
          <w:color w:val="auto"/>
        </w:rPr>
        <w:tab/>
      </w:r>
      <w:r>
        <w:rPr>
          <w:rFonts w:ascii="Courier New" w:cs="Courier New" w:eastAsia="Courier New" w:hAnsi="Courier New"/>
          <w:sz w:val="14"/>
          <w:szCs w:val="14"/>
          <w:color w:val="auto"/>
        </w:rPr>
        <w:t>As a result of the purchase transaction,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a loss on the disposal in the second quarter of $321,266, net of 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totaling $214,200, to write-down Tessman's assets to the amount realized.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sectPr>
      </w:pPr>
    </w:p>
    <w:bookmarkStart w:id="8" w:name="page9"/>
    <w:bookmarkEnd w:id="8"/>
    <w:p>
      <w:pPr>
        <w:jc w:val="both"/>
        <w:ind w:right="3399"/>
        <w:spacing w:after="0" w:line="236" w:lineRule="auto"/>
        <w:rPr>
          <w:sz w:val="20"/>
          <w:szCs w:val="20"/>
          <w:color w:val="auto"/>
        </w:rPr>
      </w:pPr>
      <w:r>
        <w:rPr>
          <w:rFonts w:ascii="Courier New" w:cs="Courier New" w:eastAsia="Courier New" w:hAnsi="Courier New"/>
          <w:sz w:val="15"/>
          <w:szCs w:val="15"/>
          <w:color w:val="auto"/>
        </w:rPr>
        <w:t>Revenues for Tessman for the quarters ended June 30, 1995 and 1994 were $0 and $1,739,000, respectively, and for the nine months ended June 30, 1995 and 1994 were $931,000 and $3,658,000, respectively. The income/(loss) for Tessman for the quarters and nine months ending June 30, 1995 and 1994 were $.01 per share or less.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 period ended June 30, 1995 cash flows from operations were</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$8,021,335, which is $4,433,807 higher than net income primarily due to non-cash charges incurred and significant flucuations in inventory, accounts receivable and accounts payable. Noncash charges incurred during the first nine months include the loss on the sale of Tessman Seed and the unusual and nonrecuring charge relating to The Lynde Company lawsuit, totaling $1,071,266. Inventories are $2,382,666 lower than they were at the end of the 1994 fiscal year primarily due to delays in the receipt of barge shipments of caustic soda caused by high water on the Mississippi River for approximately three weeks in May and June. Accounts receivables are $3,585,022 higher than the they were at the end of the 1994 fiscal year due to normal sales activity during the third quarter. Accounts payable have increased $4,480,450 during the year primarily due to timing of payments.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During the nine months ended June 30, 1995, the Company purchased additional equipment and made improvements to the existing facilities for cash of $1,676,422, and purchased $1,294,505 of investments.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inventory, equipment and operations of Tessman were sold for $1,144,714. At closing Hawkins received $100,000 and a note receivable for the balance. The note receivable is due over the next five years plus interest at 8%.</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the Company in a position to issue either debt or equity securities on favorable terms.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low-risk investment contracts with highly rated, stable insurance companies, and marketable securities consisting of investment grade municipal securities, all of which are carried at fair value which approximates cost. All cash equivalents and investments are highly liquid and are available upon demand.</w:t>
      </w:r>
    </w:p>
    <w:p>
      <w:pPr>
        <w:spacing w:after="0" w:line="180"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Other than as discussed above, management is not aware of any matters that have materially affected the first nine months of fiscal 1995, but are not expected to materially affect future periods, nor is management aware of other matters not affecting this period that are expected to materially affect future periods.</w:t>
      </w: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9" w:name="page10"/>
    <w:bookmarkEnd w:id="9"/>
    <w:p>
      <w:pPr>
        <w:ind w:left="2380"/>
        <w:spacing w:after="0"/>
        <w:tabs>
          <w:tab w:leader="none" w:pos="322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As noted in the Company's quarterly report on Form 10-Q, filed with the Commission on May 15, 1995, the Company and its subsidiary, The Lynde Company, were named as defendants in DONNA M. COOKSEY, ET AL. V. HAWKINS CHEMICAL, INC. AND THE LYNDE COMPANY. This proceeding is currently pending in State District Court in Hennepin County, Minnesota. As further noted in such previous filing, the Company's primary and umbrella insurers have denied a tender of the defense of the lawsuit and have denied any obligation to indemnify the Company for damages claimed by third parties in connection with the fire. On July 7, 1995, the Company commenced suit (the "Lawsuit") against The North River Insurance Company and The Weschester Fire Insurance Company, the primary and umbrella insurers, respectively, which have denied coverage. This action was filed in Federal District Court for the District of Minnesota. The Lawsuit seeks declaratory relief consisting of a finding that the Company has coverage under both the primary and umbrella policies. Each of the defendant insurers has filed an answer in the Lawsuit, each denying the allegations in the Company's Complaint. No further progress has been made with respect to the Lawsuit to date, and it is impossible to determine at this time what the outcome will be.</w:t>
      </w:r>
    </w:p>
    <w:p>
      <w:pPr>
        <w:spacing w:after="0" w:line="200" w:lineRule="exact"/>
        <w:rPr>
          <w:sz w:val="20"/>
          <w:szCs w:val="20"/>
          <w:color w:val="auto"/>
        </w:rPr>
      </w:pPr>
    </w:p>
    <w:p>
      <w:pPr>
        <w:spacing w:after="0" w:line="30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4" w:lineRule="exact"/>
        <w:rPr>
          <w:rFonts w:ascii="Courier New" w:cs="Courier New" w:eastAsia="Courier New" w:hAnsi="Courier New"/>
          <w:sz w:val="15"/>
          <w:szCs w:val="15"/>
          <w:color w:val="auto"/>
        </w:rPr>
      </w:pPr>
    </w:p>
    <w:p>
      <w:pPr>
        <w:ind w:left="440" w:right="32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exhibits are included with this Quarterly Report on Form 10-Q (or incorporated by reference) as required by Item 601 of Regulation S-K.</w:t>
      </w:r>
    </w:p>
    <w:p>
      <w:pPr>
        <w:sectPr>
          <w:pgSz w:w="11900" w:h="16838" w:orient="portrait"/>
          <w:cols w:equalWidth="0" w:num="1">
            <w:col w:w="10239"/>
          </w:cols>
          <w:pgMar w:left="220" w:top="617" w:right="1440" w:bottom="1440" w:gutter="0" w:footer="0" w:header="0"/>
        </w:sect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1480" w:space="720"/>
            <w:col w:w="1900" w:space="720"/>
            <w:col w:w="541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11</w:t>
      </w:r>
    </w:p>
    <w:p>
      <w:pPr>
        <w:spacing w:after="0" w:line="227" w:lineRule="exact"/>
        <w:rPr>
          <w:sz w:val="20"/>
          <w:szCs w:val="20"/>
          <w:color w:val="auto"/>
        </w:rPr>
      </w:pPr>
    </w:p>
    <w:p>
      <w:pPr>
        <w:sectPr>
          <w:pgSz w:w="11900" w:h="16838" w:orient="portrait"/>
          <w:cols w:equalWidth="0" w:num="3">
            <w:col w:w="1040" w:space="720"/>
            <w:col w:w="2700" w:space="720"/>
            <w:col w:w="5059"/>
          </w:cols>
          <w:pgMar w:left="220" w:top="617" w:right="1440" w:bottom="1440" w:gutter="0" w:footer="0" w:header="0"/>
          <w:type w:val="continuous"/>
        </w:sectPr>
      </w:pPr>
    </w:p>
    <w:p>
      <w:pPr>
        <w:spacing w:after="0" w:line="135"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44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report on Form 8-K was filed on April 18, 1995, disclosing a press release regarding the litigation related to the fire at The Lynde Company's office/warehouse.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HAWKINS CHEMICAL, INC.</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__________________________________</w:t>
      </w:r>
    </w:p>
    <w:p>
      <w:pPr>
        <w:ind w:left="3500"/>
        <w:spacing w:after="0" w:line="237" w:lineRule="auto"/>
        <w:rPr>
          <w:sz w:val="20"/>
          <w:szCs w:val="20"/>
          <w:color w:val="auto"/>
        </w:rPr>
      </w:pPr>
      <w:r>
        <w:rPr>
          <w:rFonts w:ascii="Courier New" w:cs="Courier New" w:eastAsia="Courier New" w:hAnsi="Courier New"/>
          <w:sz w:val="15"/>
          <w:szCs w:val="15"/>
          <w:color w:val="auto"/>
        </w:rPr>
        <w:t>Howard M. Hawkins, Treasurer</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(Chief Financial and Accounting Officer)</w:t>
      </w:r>
    </w:p>
    <w:p>
      <w:pPr>
        <w:spacing w:after="0" w:line="34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August 11, 1995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type w:val="continuous"/>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9-MOS</w:t>
      </w:r>
    </w:p>
    <w:p>
      <w:pPr>
        <w:ind w:left="2180"/>
        <w:spacing w:after="0" w:line="237" w:lineRule="auto"/>
        <w:rPr>
          <w:sz w:val="20"/>
          <w:szCs w:val="20"/>
          <w:color w:val="auto"/>
        </w:rPr>
      </w:pPr>
      <w:r>
        <w:rPr>
          <w:rFonts w:ascii="Courier New" w:cs="Courier New" w:eastAsia="Courier New" w:hAnsi="Courier New"/>
          <w:sz w:val="15"/>
          <w:szCs w:val="15"/>
          <w:color w:val="auto"/>
        </w:rPr>
        <w:t>OCT-01-1995</w:t>
      </w:r>
    </w:p>
    <w:p>
      <w:pPr>
        <w:ind w:left="2440"/>
        <w:spacing w:after="0" w:line="238" w:lineRule="auto"/>
        <w:rPr>
          <w:sz w:val="20"/>
          <w:szCs w:val="20"/>
          <w:color w:val="auto"/>
        </w:rPr>
      </w:pPr>
      <w:r>
        <w:rPr>
          <w:rFonts w:ascii="Courier New" w:cs="Courier New" w:eastAsia="Courier New" w:hAnsi="Courier New"/>
          <w:sz w:val="15"/>
          <w:szCs w:val="15"/>
          <w:color w:val="auto"/>
        </w:rPr>
        <w:t>OCT-03-1994</w:t>
      </w:r>
    </w:p>
    <w:p>
      <w:pPr>
        <w:ind w:left="2620"/>
        <w:spacing w:after="0" w:line="237" w:lineRule="auto"/>
        <w:rPr>
          <w:sz w:val="20"/>
          <w:szCs w:val="20"/>
          <w:color w:val="auto"/>
        </w:rPr>
      </w:pPr>
      <w:r>
        <w:rPr>
          <w:rFonts w:ascii="Courier New" w:cs="Courier New" w:eastAsia="Courier New" w:hAnsi="Courier New"/>
          <w:sz w:val="15"/>
          <w:szCs w:val="15"/>
          <w:color w:val="auto"/>
        </w:rPr>
        <w:t>JUN-30-1995</w:t>
      </w:r>
    </w:p>
    <w:p>
      <w:pPr>
        <w:ind w:left="3240"/>
        <w:spacing w:after="0" w:line="238" w:lineRule="auto"/>
        <w:rPr>
          <w:sz w:val="20"/>
          <w:szCs w:val="20"/>
          <w:color w:val="auto"/>
        </w:rPr>
      </w:pPr>
      <w:r>
        <w:rPr>
          <w:rFonts w:ascii="Courier New" w:cs="Courier New" w:eastAsia="Courier New" w:hAnsi="Courier New"/>
          <w:sz w:val="15"/>
          <w:szCs w:val="15"/>
          <w:color w:val="auto"/>
        </w:rPr>
        <w:t>10,639,912</w:t>
      </w:r>
    </w:p>
    <w:p>
      <w:pPr>
        <w:ind w:left="2800"/>
        <w:spacing w:after="0" w:line="237" w:lineRule="auto"/>
        <w:rPr>
          <w:sz w:val="20"/>
          <w:szCs w:val="20"/>
          <w:color w:val="auto"/>
        </w:rPr>
      </w:pPr>
      <w:r>
        <w:rPr>
          <w:rFonts w:ascii="Courier New" w:cs="Courier New" w:eastAsia="Courier New" w:hAnsi="Courier New"/>
          <w:sz w:val="15"/>
          <w:szCs w:val="15"/>
          <w:color w:val="auto"/>
        </w:rPr>
        <w:t>7,871,248</w:t>
      </w:r>
    </w:p>
    <w:p>
      <w:pPr>
        <w:ind w:left="2620"/>
        <w:spacing w:after="0" w:line="238" w:lineRule="auto"/>
        <w:rPr>
          <w:sz w:val="20"/>
          <w:szCs w:val="20"/>
          <w:color w:val="auto"/>
        </w:rPr>
      </w:pPr>
      <w:r>
        <w:rPr>
          <w:rFonts w:ascii="Courier New" w:cs="Courier New" w:eastAsia="Courier New" w:hAnsi="Courier New"/>
          <w:sz w:val="15"/>
          <w:szCs w:val="15"/>
          <w:color w:val="auto"/>
        </w:rPr>
        <w:t>13,094,829</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880"/>
        <w:spacing w:after="0" w:line="238" w:lineRule="auto"/>
        <w:rPr>
          <w:sz w:val="20"/>
          <w:szCs w:val="20"/>
          <w:color w:val="auto"/>
        </w:rPr>
      </w:pPr>
      <w:r>
        <w:rPr>
          <w:rFonts w:ascii="Courier New" w:cs="Courier New" w:eastAsia="Courier New" w:hAnsi="Courier New"/>
          <w:sz w:val="15"/>
          <w:szCs w:val="15"/>
          <w:color w:val="auto"/>
        </w:rPr>
        <w:t>5,461,925</w:t>
      </w:r>
    </w:p>
    <w:p>
      <w:pPr>
        <w:ind w:left="2360"/>
        <w:spacing w:after="0" w:line="238" w:lineRule="auto"/>
        <w:rPr>
          <w:sz w:val="20"/>
          <w:szCs w:val="20"/>
          <w:color w:val="auto"/>
        </w:rPr>
      </w:pPr>
      <w:r>
        <w:rPr>
          <w:rFonts w:ascii="Courier New" w:cs="Courier New" w:eastAsia="Courier New" w:hAnsi="Courier New"/>
          <w:sz w:val="15"/>
          <w:szCs w:val="15"/>
          <w:color w:val="auto"/>
        </w:rPr>
        <w:t>38,878,240</w:t>
      </w:r>
    </w:p>
    <w:p>
      <w:pPr>
        <w:ind w:left="3240"/>
        <w:spacing w:after="0" w:line="237" w:lineRule="auto"/>
        <w:rPr>
          <w:sz w:val="20"/>
          <w:szCs w:val="20"/>
          <w:color w:val="auto"/>
        </w:rPr>
      </w:pPr>
      <w:r>
        <w:rPr>
          <w:rFonts w:ascii="Courier New" w:cs="Courier New" w:eastAsia="Courier New" w:hAnsi="Courier New"/>
          <w:sz w:val="15"/>
          <w:szCs w:val="15"/>
          <w:color w:val="auto"/>
        </w:rPr>
        <w:t>10,356,810</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2540"/>
        <w:spacing w:after="0" w:line="237" w:lineRule="auto"/>
        <w:rPr>
          <w:sz w:val="20"/>
          <w:szCs w:val="20"/>
          <w:color w:val="auto"/>
        </w:rPr>
      </w:pPr>
      <w:r>
        <w:rPr>
          <w:rFonts w:ascii="Courier New" w:cs="Courier New" w:eastAsia="Courier New" w:hAnsi="Courier New"/>
          <w:sz w:val="15"/>
          <w:szCs w:val="15"/>
          <w:color w:val="auto"/>
        </w:rPr>
        <w:t>52,637,258</w:t>
      </w:r>
    </w:p>
    <w:p>
      <w:pPr>
        <w:ind w:left="1920"/>
        <w:spacing w:after="0" w:line="238" w:lineRule="auto"/>
        <w:rPr>
          <w:sz w:val="20"/>
          <w:szCs w:val="20"/>
          <w:color w:val="auto"/>
        </w:rPr>
      </w:pPr>
      <w:r>
        <w:rPr>
          <w:rFonts w:ascii="Courier New" w:cs="Courier New" w:eastAsia="Courier New" w:hAnsi="Courier New"/>
          <w:sz w:val="15"/>
          <w:szCs w:val="15"/>
          <w:color w:val="auto"/>
        </w:rPr>
        <w:t>14,763,735</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3320"/>
        <w:spacing w:after="0" w:line="238" w:lineRule="auto"/>
        <w:rPr>
          <w:sz w:val="20"/>
          <w:szCs w:val="20"/>
          <w:color w:val="auto"/>
        </w:rPr>
      </w:pPr>
      <w:r>
        <w:rPr>
          <w:rFonts w:ascii="Courier New" w:cs="Courier New" w:eastAsia="Courier New" w:hAnsi="Courier New"/>
          <w:sz w:val="15"/>
          <w:szCs w:val="15"/>
          <w:color w:val="auto"/>
        </w:rPr>
        <w:t>526,289</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2880"/>
        <w:spacing w:after="0" w:line="238" w:lineRule="auto"/>
        <w:rPr>
          <w:sz w:val="20"/>
          <w:szCs w:val="20"/>
          <w:color w:val="auto"/>
        </w:rPr>
      </w:pPr>
      <w:r>
        <w:rPr>
          <w:rFonts w:ascii="Courier New" w:cs="Courier New" w:eastAsia="Courier New" w:hAnsi="Courier New"/>
          <w:sz w:val="15"/>
          <w:szCs w:val="15"/>
          <w:color w:val="auto"/>
        </w:rPr>
        <w:t>36,386,973</w:t>
      </w:r>
    </w:p>
    <w:p>
      <w:pPr>
        <w:ind w:left="1300"/>
        <w:spacing w:after="0" w:line="237" w:lineRule="auto"/>
        <w:rPr>
          <w:sz w:val="20"/>
          <w:szCs w:val="20"/>
          <w:color w:val="auto"/>
        </w:rPr>
      </w:pPr>
      <w:r>
        <w:rPr>
          <w:rFonts w:ascii="Courier New" w:cs="Courier New" w:eastAsia="Courier New" w:hAnsi="Courier New"/>
          <w:sz w:val="15"/>
          <w:szCs w:val="15"/>
          <w:color w:val="auto"/>
        </w:rPr>
        <w:t>52,637,258</w:t>
      </w:r>
    </w:p>
    <w:p>
      <w:pPr>
        <w:ind w:left="3140"/>
        <w:spacing w:after="0" w:line="238" w:lineRule="auto"/>
        <w:rPr>
          <w:sz w:val="20"/>
          <w:szCs w:val="20"/>
          <w:color w:val="auto"/>
        </w:rPr>
      </w:pPr>
      <w:r>
        <w:rPr>
          <w:rFonts w:ascii="Courier New" w:cs="Courier New" w:eastAsia="Courier New" w:hAnsi="Courier New"/>
          <w:sz w:val="15"/>
          <w:szCs w:val="15"/>
          <w:color w:val="auto"/>
        </w:rPr>
        <w:t>61,916,161</w:t>
      </w:r>
    </w:p>
    <w:p>
      <w:pPr>
        <w:ind w:left="2360"/>
        <w:spacing w:after="0" w:line="237" w:lineRule="auto"/>
        <w:rPr>
          <w:sz w:val="20"/>
          <w:szCs w:val="20"/>
          <w:color w:val="auto"/>
        </w:rPr>
      </w:pPr>
      <w:r>
        <w:rPr>
          <w:rFonts w:ascii="Courier New" w:cs="Courier New" w:eastAsia="Courier New" w:hAnsi="Courier New"/>
          <w:sz w:val="15"/>
          <w:szCs w:val="15"/>
          <w:color w:val="auto"/>
        </w:rPr>
        <w:t>61,916,161</w:t>
      </w:r>
    </w:p>
    <w:p>
      <w:pPr>
        <w:jc w:val="right"/>
        <w:ind w:right="5939"/>
        <w:spacing w:after="0" w:line="238" w:lineRule="auto"/>
        <w:rPr>
          <w:sz w:val="20"/>
          <w:szCs w:val="20"/>
          <w:color w:val="auto"/>
        </w:rPr>
      </w:pPr>
      <w:r>
        <w:rPr>
          <w:rFonts w:ascii="Courier New" w:cs="Courier New" w:eastAsia="Courier New" w:hAnsi="Courier New"/>
          <w:sz w:val="15"/>
          <w:szCs w:val="15"/>
          <w:color w:val="auto"/>
        </w:rPr>
        <w:t>49,014,124</w:t>
      </w:r>
    </w:p>
    <w:p>
      <w:pPr>
        <w:ind w:left="2620"/>
        <w:spacing w:after="0" w:line="238" w:lineRule="auto"/>
        <w:rPr>
          <w:sz w:val="20"/>
          <w:szCs w:val="20"/>
          <w:color w:val="auto"/>
        </w:rPr>
      </w:pPr>
      <w:r>
        <w:rPr>
          <w:rFonts w:ascii="Courier New" w:cs="Courier New" w:eastAsia="Courier New" w:hAnsi="Courier New"/>
          <w:sz w:val="15"/>
          <w:szCs w:val="15"/>
          <w:color w:val="auto"/>
        </w:rPr>
        <w:t>55,958,452</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540"/>
        <w:spacing w:after="0" w:line="237" w:lineRule="auto"/>
        <w:rPr>
          <w:sz w:val="20"/>
          <w:szCs w:val="20"/>
          <w:color w:val="auto"/>
        </w:rPr>
      </w:pPr>
      <w:r>
        <w:rPr>
          <w:rFonts w:ascii="Courier New" w:cs="Courier New" w:eastAsia="Courier New" w:hAnsi="Courier New"/>
          <w:sz w:val="15"/>
          <w:szCs w:val="15"/>
          <w:color w:val="auto"/>
        </w:rPr>
        <w:t>41,274</w:t>
      </w:r>
    </w:p>
    <w:p>
      <w:pPr>
        <w:ind w:left="2540"/>
        <w:spacing w:after="0" w:line="238" w:lineRule="auto"/>
        <w:rPr>
          <w:sz w:val="20"/>
          <w:szCs w:val="20"/>
          <w:color w:val="auto"/>
        </w:rPr>
      </w:pPr>
      <w:r>
        <w:rPr>
          <w:rFonts w:ascii="Courier New" w:cs="Courier New" w:eastAsia="Courier New" w:hAnsi="Courier New"/>
          <w:sz w:val="15"/>
          <w:szCs w:val="15"/>
          <w:color w:val="auto"/>
        </w:rPr>
        <w:t>6,636,399</w:t>
      </w:r>
    </w:p>
    <w:p>
      <w:pPr>
        <w:ind w:left="2800"/>
        <w:spacing w:after="0" w:line="237" w:lineRule="auto"/>
        <w:rPr>
          <w:sz w:val="20"/>
          <w:szCs w:val="20"/>
          <w:color w:val="auto"/>
        </w:rPr>
      </w:pPr>
      <w:r>
        <w:rPr>
          <w:rFonts w:ascii="Courier New" w:cs="Courier New" w:eastAsia="Courier New" w:hAnsi="Courier New"/>
          <w:sz w:val="15"/>
          <w:szCs w:val="15"/>
          <w:color w:val="auto"/>
        </w:rPr>
        <w:t>2,667,700</w:t>
      </w:r>
    </w:p>
    <w:p>
      <w:pPr>
        <w:ind w:left="2180"/>
        <w:spacing w:after="0" w:line="238" w:lineRule="auto"/>
        <w:rPr>
          <w:sz w:val="20"/>
          <w:szCs w:val="20"/>
          <w:color w:val="auto"/>
        </w:rPr>
      </w:pPr>
      <w:r>
        <w:rPr>
          <w:rFonts w:ascii="Courier New" w:cs="Courier New" w:eastAsia="Courier New" w:hAnsi="Courier New"/>
          <w:sz w:val="15"/>
          <w:szCs w:val="15"/>
          <w:color w:val="auto"/>
        </w:rPr>
        <w:t>3,968,699</w:t>
      </w:r>
    </w:p>
    <w:p>
      <w:pPr>
        <w:ind w:left="2800"/>
        <w:spacing w:after="0" w:line="238" w:lineRule="auto"/>
        <w:rPr>
          <w:sz w:val="20"/>
          <w:szCs w:val="20"/>
          <w:color w:val="auto"/>
        </w:rPr>
      </w:pPr>
      <w:r>
        <w:rPr>
          <w:rFonts w:ascii="Courier New" w:cs="Courier New" w:eastAsia="Courier New" w:hAnsi="Courier New"/>
          <w:sz w:val="15"/>
          <w:szCs w:val="15"/>
          <w:color w:val="auto"/>
        </w:rPr>
        <w:t>391,171</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7" w:lineRule="auto"/>
        <w:rPr>
          <w:sz w:val="20"/>
          <w:szCs w:val="20"/>
          <w:color w:val="auto"/>
        </w:rPr>
      </w:pPr>
      <w:r>
        <w:rPr>
          <w:rFonts w:ascii="Courier New" w:cs="Courier New" w:eastAsia="Courier New" w:hAnsi="Courier New"/>
          <w:sz w:val="15"/>
          <w:szCs w:val="15"/>
          <w:color w:val="auto"/>
        </w:rPr>
        <w:t>3,577,528</w:t>
      </w:r>
    </w:p>
    <w:p>
      <w:pPr>
        <w:ind w:left="3240"/>
        <w:spacing w:after="0" w:line="238" w:lineRule="auto"/>
        <w:rPr>
          <w:sz w:val="20"/>
          <w:szCs w:val="20"/>
          <w:color w:val="auto"/>
        </w:rPr>
      </w:pPr>
      <w:r>
        <w:rPr>
          <w:rFonts w:ascii="Courier New" w:cs="Courier New" w:eastAsia="Courier New" w:hAnsi="Courier New"/>
          <w:sz w:val="15"/>
          <w:szCs w:val="15"/>
          <w:color w:val="auto"/>
        </w:rPr>
        <w:t>.34</w:t>
      </w:r>
    </w:p>
    <w:p>
      <w:pPr>
        <w:ind w:left="3240"/>
        <w:spacing w:after="0" w:line="237" w:lineRule="auto"/>
        <w:rPr>
          <w:sz w:val="20"/>
          <w:szCs w:val="20"/>
          <w:color w:val="auto"/>
        </w:rPr>
      </w:pPr>
      <w:r>
        <w:rPr>
          <w:rFonts w:ascii="Courier New" w:cs="Courier New" w:eastAsia="Courier New" w:hAnsi="Courier New"/>
          <w:sz w:val="15"/>
          <w:szCs w:val="15"/>
          <w:color w:val="auto"/>
        </w:rPr>
        <w:t>.34</w:t>
      </w:r>
    </w:p>
    <w:sectPr>
      <w:pgSz w:w="11900" w:h="16838" w:orient="portrait"/>
      <w:cols w:equalWidth="0" w:num="1">
        <w:col w:w="10139"/>
      </w:cols>
      <w:pgMar w:left="3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2019-12-13T01:51:17Z</dcterms:created>
  <dcterms:modified xsi:type="dcterms:W3CDTF">2019-12-13T01:51:17Z</dcterms:modified>
</cp:coreProperties>
</file>