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Hawkins Patrick 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8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1,530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0000FF"/>
              </w:rPr>
              <w:t>292,108.359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0000FF"/>
              </w:rPr>
              <w:t>26,073.163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 of shares for no consideration.</w:t>
      </w:r>
    </w:p>
    <w:p>
      <w:pPr>
        <w:spacing w:after="0" w:line="5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6.71 shares acquired on December 29, 2023, pursuant to the Issuer's dividend reinvestment plan and 201 shares acquired on December 29, 2023, pursuant to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03/06/2024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2024-03-06T15:47:38Z</dcterms:created>
  <dcterms:modified xsi:type="dcterms:W3CDTF">2024-03-06T15:47:38Z</dcterms:modified>
</cp:coreProperties>
</file>