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August 3, 2016</w:t>
      </w:r>
    </w:p>
    <w:p>
      <w:pPr>
        <w:spacing w:after="0" w:line="200" w:lineRule="exact"/>
        <w:rPr>
          <w:sz w:val="24"/>
          <w:szCs w:val="24"/>
          <w:color w:val="auto"/>
        </w:rPr>
      </w:pPr>
    </w:p>
    <w:p>
      <w:pPr>
        <w:spacing w:after="0" w:line="366"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60"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August 3, 2016, Hawkins, Inc. issued a press release announcing financial results for its fiscal 2017 first quarter ended July 3, 2016.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99.1—Press Release, dated August 3, 2016, announcing financial results of Hawkins, Inc. for its fiscal 2017 first quarter ended July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ectPr>
          <w:pgSz w:w="11900" w:h="16838" w:orient="portrait"/>
          <w:cols w:equalWidth="0" w:num="1">
            <w:col w:w="11240"/>
          </w:cols>
          <w:pgMar w:left="240" w:top="580" w:right="41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August 3, 2016,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2017 first quarter ended July 3, 2016.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6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August 3,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FISCAL 2017 RESULTS</w:t>
      </w:r>
    </w:p>
    <w:p>
      <w:pPr>
        <w:sectPr>
          <w:pgSz w:w="11900" w:h="16838" w:orient="portrait"/>
          <w:cols w:equalWidth="0" w:num="1">
            <w:col w:w="11400"/>
          </w:cols>
          <w:pgMar w:left="240" w:top="746" w:right="259" w:bottom="1440" w:gutter="0" w:footer="0" w:header="0"/>
          <w:type w:val="continuous"/>
        </w:sectPr>
      </w:pP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Minneapolis, MN, August 3, 2016 – Hawkins, Inc. (Nasdaq: HWKN) today announced first quarter results for fiscal 2017. Sales of $131.4 million for the three months ended July 3, 2016 represented an increase of 29.4% from $101.5 million for the same period of the prior year. Net income was $7.6 million, or $0.72 per diluted share, compared to net income of $6.8 million, or $0.64 per diluted share for the same period in fiscal 2015.</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Health and Nutrition segment acquired at the end of the third quarter of fiscal 2016 is the primary driver for our year-over-year earnings performance with our operating income growing 21% and EBITDA growing 26% over last year’s first quarter,” said Patrick Hawkins, Chief Executive Officer and President. “We are pleased with this new segment’s operating performance and continue to be enthused about the growth prospects given their position in the health and nutritional ingredients market.” Mr. Hawkins continued, “Our Industrial segment saw increased sales volumes year-over-year, but was challenged with declining market prices on certain bulk commodity products and reduced sales of our agricultural products, which negatively impacted its sales performance. Profitability in our Water Treatment segment increased across all geographies, largely due to higher sales volumes of specialized products as well as the acquisition we completed in this segment in the third quarter of fiscal 2016.”</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the first quarter of fiscal 2017, Industrial segment sales were $63.8 million, a decrease of $3.8 million, or 5.6%, from the same period of the prior year. While overall sales volumes increased somewhat from a year ago, lower commodity prices on many high-volume bulk as well as a product mix shift to products with lower average selling prices led to the year-over-year decline in sales dollars. Water Treatment segment sales were $35.6 million for the most recent quarter, an increase of $1.7 million, or 5.1%, from the same period of the prior year. The increase in sales dollars was largely due to the business we acquired in the third quarter of fiscal 2016 as well as increased volumes of specialized products partially offset by lower volumes of bulk products. Sales for our Health and Nutrition segment established in the third quarter of fiscal 2016 were $32.0 million for the current quarter.</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Company-wide gross profit for the first quarter of fiscal 2017 was $28.2 million, or 21.5% of sales, an increase of $7.5 million from $20.7 million, or 20.4% of sales, for the same period of the prior year.</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for the Industrial segment was $10.4 million, or 16.3% of sales, for the quarter, a decrease of $0.3 million from $10.7 million, or 15.9% of sales, for the same period of the prior year. Decreased volumes of certain products that carry higher per-unit margins, combined with increased operational costs, negatively impacted gross profits. In addition, market selling prices of certain bulk commodity products declined in advance of our product costs in inventory which unfavorably impacted our gross profit.</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for the Water Treatment segment was $10.6 million, or 29.8% of sales, for the quarter, an increase of $0.6 million from $10.0 million, or 29.6% of sales, for the same period of the prior year. The increase in gross profit dollars was primarily driven by increased sales volumes of specialized products that have higher per-unit margins as well as profits from the business acquired in the third quarter of fiscal 2016. Gross profit for our Health and Nutrition segment was $7.2 million, or 22.4% of sales, for the quarter.</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Company-wide selling, general and administrative expenses ("SG&amp;A") were $15.1 million, or 11.5% of sales, for the quarter, compared to $9.9 million, or 9.7% of sales, for the same period of the prior year. SG&amp;A expenses in our Health and Nutrition Segment were $4.7 million in the current quarter, including $1.2 million of amortization expense on acquired intangible assets. Expenses increased in our Water Treatment and Industrial Segments largely as a result of the addition of sales and support personnel.</w:t>
      </w:r>
    </w:p>
    <w:p>
      <w:pPr>
        <w:sectPr>
          <w:pgSz w:w="11900" w:h="16838" w:orient="portrait"/>
          <w:cols w:equalWidth="0" w:num="1">
            <w:col w:w="11400"/>
          </w:cols>
          <w:pgMar w:left="240" w:top="746" w:right="259" w:bottom="1440" w:gutter="0" w:footer="0" w:header="0"/>
          <w:type w:val="continuous"/>
        </w:sectPr>
      </w:pPr>
    </w:p>
    <w:bookmarkStart w:id="5" w:name="page6"/>
    <w:bookmarkEnd w:id="5"/>
    <w:p>
      <w:pPr>
        <w:spacing w:after="0" w:line="276" w:lineRule="auto"/>
        <w:rPr>
          <w:sz w:val="20"/>
          <w:szCs w:val="20"/>
          <w:color w:val="auto"/>
        </w:rPr>
      </w:pPr>
      <w:r>
        <w:rPr>
          <w:rFonts w:ascii="Arial" w:cs="Arial" w:eastAsia="Arial" w:hAnsi="Arial"/>
          <w:sz w:val="17"/>
          <w:szCs w:val="17"/>
          <w:color w:val="auto"/>
        </w:rPr>
        <w:t>The Company borrowed $131.0 million to partially fund the acquisition of Stauber in the third quarter of fiscal 2016. As a result, adjusted EBITDA, a non-GAAP financial measure, has become an important performance indicator and a key compliance measure under the terms of our new credit agreement. An explanation of the computation of adjusted EBITDA is presented below. Adjusted EBITDA for the three months ended July 3, 2016 was $18.7 million, an increase of $3.8 million from adjusted EBITDA of $14.9 million for the same period in the prior year. The increase was due to the combined impact of higher gross profits, partially offset by the increase in SG&amp;A expenses (net of amortization expense) described earlier.</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effective income tax rate was 38.5% for the three months ended July 3, 2016 compared to 37.5% for the three months ended June 28, 2015. Our effective tax rate is based on projected levels of annual taxable income, permanent items, and state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adjusted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pacing w:after="0" w:line="29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20"/>
                <w:szCs w:val="20"/>
                <w:color w:val="auto"/>
              </w:rPr>
            </w:pPr>
          </w:p>
        </w:tc>
        <w:tc>
          <w:tcPr>
            <w:tcW w:w="28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70"/>
        </w:trPr>
        <w:tc>
          <w:tcPr>
            <w:tcW w:w="730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3"/>
                <w:szCs w:val="23"/>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 2016</w:t>
            </w:r>
          </w:p>
        </w:tc>
        <w:tc>
          <w:tcPr>
            <w:tcW w:w="16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June 28, 2015</w:t>
            </w:r>
          </w:p>
        </w:tc>
        <w:tc>
          <w:tcPr>
            <w:tcW w:w="0" w:type="dxa"/>
            <w:vAlign w:val="bottom"/>
          </w:tcPr>
          <w:p>
            <w:pPr>
              <w:spacing w:after="0"/>
              <w:rPr>
                <w:sz w:val="1"/>
                <w:szCs w:val="1"/>
                <w:color w:val="auto"/>
              </w:rPr>
            </w:pPr>
          </w:p>
        </w:tc>
      </w:tr>
      <w:tr>
        <w:trPr>
          <w:trHeight w:val="27"/>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Net Income (GAAP)</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0"/>
        </w:trPr>
        <w:tc>
          <w:tcPr>
            <w:tcW w:w="7300" w:type="dxa"/>
            <w:vAlign w:val="bottom"/>
          </w:tcPr>
          <w:p>
            <w:pPr>
              <w:ind w:left="120"/>
              <w:spacing w:after="0"/>
              <w:rPr>
                <w:sz w:val="20"/>
                <w:szCs w:val="20"/>
                <w:color w:val="auto"/>
              </w:rPr>
            </w:pPr>
            <w:r>
              <w:rPr>
                <w:rFonts w:ascii="Arial" w:cs="Arial" w:eastAsia="Arial" w:hAnsi="Arial"/>
                <w:sz w:val="18"/>
                <w:szCs w:val="18"/>
                <w:color w:val="auto"/>
              </w:rPr>
              <w:t>Stauber acquisition expenses</w:t>
            </w: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18,761</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14,865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80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April 3, 2016,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20"/>
          </w:cols>
          <w:pgMar w:left="240" w:top="63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2017 RESULTS</w:t>
      </w:r>
    </w:p>
    <w:p>
      <w:pPr>
        <w:spacing w:after="0" w:line="200" w:lineRule="exact"/>
        <w:rPr>
          <w:sz w:val="20"/>
          <w:szCs w:val="20"/>
          <w:color w:val="auto"/>
        </w:rPr>
      </w:pP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3,</w:t>
            </w:r>
          </w:p>
        </w:tc>
        <w:tc>
          <w:tcPr>
            <w:tcW w:w="26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28,</w:t>
            </w:r>
          </w:p>
        </w:tc>
      </w:tr>
      <w:tr>
        <w:trPr>
          <w:trHeight w:val="192"/>
        </w:trPr>
        <w:tc>
          <w:tcPr>
            <w:tcW w:w="8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(80,761)</w:t>
            </w:r>
          </w:p>
        </w:tc>
        <w:tc>
          <w:tcPr>
            <w:tcW w:w="100" w:type="dxa"/>
            <w:vAlign w:val="bottom"/>
          </w:tcPr>
          <w:p>
            <w:pPr>
              <w:spacing w:after="0"/>
              <w:rPr>
                <w:sz w:val="21"/>
                <w:szCs w:val="2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1"/>
                <w:szCs w:val="2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10,513,139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10,580,542</w:t>
            </w:r>
          </w:p>
        </w:tc>
        <w:tc>
          <w:tcPr>
            <w:tcW w:w="100" w:type="dxa"/>
            <w:vAlign w:val="bottom"/>
          </w:tcPr>
          <w:p>
            <w:pPr>
              <w:spacing w:after="0"/>
              <w:rPr>
                <w:sz w:val="21"/>
                <w:szCs w:val="21"/>
                <w:color w:val="auto"/>
              </w:rPr>
            </w:pPr>
          </w:p>
        </w:tc>
      </w:tr>
      <w:tr>
        <w:trPr>
          <w:trHeight w:val="250"/>
        </w:trPr>
        <w:tc>
          <w:tcPr>
            <w:tcW w:w="828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10,555,282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10,628,409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8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8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8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2019-12-05T06:55:04Z</dcterms:created>
  <dcterms:modified xsi:type="dcterms:W3CDTF">2019-12-05T06:55:04Z</dcterms:modified>
</cp:coreProperties>
</file>