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9"/>
          <w:szCs w:val="29"/>
          <w:b w:val="1"/>
          <w:bCs w:val="1"/>
          <w:color w:val="auto"/>
        </w:rPr>
        <w:drawing>
          <wp:anchor simplePos="0" relativeHeight="251657728" behindDoc="1" locked="0" layoutInCell="0" allowOverlap="1">
            <wp:simplePos x="0" y="0"/>
            <wp:positionH relativeFrom="page">
              <wp:posOffset>217805</wp:posOffset>
            </wp:positionH>
            <wp:positionV relativeFrom="page">
              <wp:posOffset>715010</wp:posOffset>
            </wp:positionV>
            <wp:extent cx="7126605"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26605" cy="17145"/>
                    </a:xfrm>
                    <a:prstGeom prst="rect">
                      <a:avLst/>
                    </a:prstGeom>
                    <a:noFill/>
                  </pic:spPr>
                </pic:pic>
              </a:graphicData>
            </a:graphic>
          </wp:anchor>
        </w:drawing>
        <w:drawing>
          <wp:anchor simplePos="0" relativeHeight="251657728" behindDoc="1" locked="0" layoutInCell="0" allowOverlap="1">
            <wp:simplePos x="0" y="0"/>
            <wp:positionH relativeFrom="page">
              <wp:posOffset>217805</wp:posOffset>
            </wp:positionH>
            <wp:positionV relativeFrom="page">
              <wp:posOffset>534670</wp:posOffset>
            </wp:positionV>
            <wp:extent cx="712660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26605" cy="8890"/>
                    </a:xfrm>
                    <a:prstGeom prst="rect">
                      <a:avLst/>
                    </a:prstGeom>
                    <a:noFill/>
                  </pic:spPr>
                </pic:pic>
              </a:graphicData>
            </a:graphic>
          </wp:anchor>
        </w:drawing>
        <w:t>UNITED STATES</w:t>
      </w:r>
    </w:p>
    <w:p>
      <w:pPr>
        <w:spacing w:after="0" w:line="36"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SECURITIES AND EXCHANGE COMMISSION</w:t>
      </w:r>
    </w:p>
    <w:p>
      <w:pPr>
        <w:spacing w:after="0" w:line="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2200275</wp:posOffset>
            </wp:positionH>
            <wp:positionV relativeFrom="paragraph">
              <wp:posOffset>90170</wp:posOffset>
            </wp:positionV>
            <wp:extent cx="285559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855595" cy="8890"/>
                    </a:xfrm>
                    <a:prstGeom prst="rect">
                      <a:avLst/>
                    </a:prstGeom>
                    <a:noFill/>
                  </pic:spPr>
                </pic:pic>
              </a:graphicData>
            </a:graphic>
          </wp:anchor>
        </w:drawing>
      </w:r>
    </w:p>
    <w:p>
      <w:pPr>
        <w:spacing w:after="0" w:line="131"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2200275</wp:posOffset>
            </wp:positionH>
            <wp:positionV relativeFrom="paragraph">
              <wp:posOffset>40005</wp:posOffset>
            </wp:positionV>
            <wp:extent cx="285559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855595" cy="8890"/>
                    </a:xfrm>
                    <a:prstGeom prst="rect">
                      <a:avLst/>
                    </a:prstGeom>
                    <a:noFill/>
                  </pic:spPr>
                </pic:pic>
              </a:graphicData>
            </a:graphic>
          </wp:anchor>
        </w:drawing>
      </w:r>
    </w:p>
    <w:p>
      <w:pPr>
        <w:spacing w:after="0" w:line="200" w:lineRule="exact"/>
        <w:rPr>
          <w:sz w:val="24"/>
          <w:szCs w:val="24"/>
          <w:color w:val="auto"/>
        </w:rPr>
      </w:pPr>
    </w:p>
    <w:p>
      <w:pPr>
        <w:spacing w:after="0" w:line="261"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QUARTERLY REPORT PURSUANT TO SECTION 13 OR 15(d) OF THE</w:t>
      </w:r>
    </w:p>
    <w:p>
      <w:pPr>
        <w:spacing w:after="0" w:line="28"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SECURITIES EXCHANGE ACT OF 1934</w:t>
      </w:r>
    </w:p>
    <w:p>
      <w:pPr>
        <w:spacing w:after="0" w:line="2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quarterly period ended September 29, 2019</w:t>
      </w:r>
    </w:p>
    <w:p>
      <w:pPr>
        <w:spacing w:after="0" w:line="6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0-7647</w:t>
      </w:r>
    </w:p>
    <w:p>
      <w:pPr>
        <w:spacing w:after="0" w:line="148"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HAWKINS, INC.</w:t>
      </w:r>
    </w:p>
    <w:p>
      <w:pPr>
        <w:spacing w:after="0" w:line="69" w:lineRule="exact"/>
        <w:rPr>
          <w:sz w:val="24"/>
          <w:szCs w:val="24"/>
          <w:color w:val="auto"/>
        </w:rPr>
      </w:pPr>
    </w:p>
    <w:p>
      <w:pPr>
        <w:jc w:val="center"/>
        <w:ind w:right="20"/>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699770</wp:posOffset>
            </wp:positionH>
            <wp:positionV relativeFrom="paragraph">
              <wp:posOffset>23495</wp:posOffset>
            </wp:positionV>
            <wp:extent cx="585724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857240" cy="8890"/>
                    </a:xfrm>
                    <a:prstGeom prst="rect">
                      <a:avLst/>
                    </a:prstGeom>
                    <a:noFill/>
                  </pic:spPr>
                </pic:pic>
              </a:graphicData>
            </a:graphic>
          </wp:anchor>
        </w:drawing>
      </w:r>
    </w:p>
    <w:p>
      <w:pPr>
        <w:spacing w:after="0" w:line="200" w:lineRule="exact"/>
        <w:rPr>
          <w:sz w:val="24"/>
          <w:szCs w:val="24"/>
          <w:color w:val="auto"/>
        </w:rPr>
      </w:pPr>
    </w:p>
    <w:p>
      <w:pPr>
        <w:spacing w:after="0" w:line="353"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520" w:type="dxa"/>
            <w:vAlign w:val="bottom"/>
          </w:tcPr>
          <w:p>
            <w:pPr>
              <w:spacing w:after="0"/>
              <w:rPr>
                <w:sz w:val="20"/>
                <w:szCs w:val="20"/>
                <w:color w:val="auto"/>
              </w:rPr>
            </w:pPr>
          </w:p>
        </w:tc>
        <w:tc>
          <w:tcPr>
            <w:tcW w:w="3400" w:type="dxa"/>
            <w:vAlign w:val="bottom"/>
            <w:gridSpan w:val="2"/>
          </w:tcPr>
          <w:p>
            <w:pPr>
              <w:jc w:val="center"/>
              <w:ind w:left="1100"/>
              <w:spacing w:after="0"/>
              <w:rPr>
                <w:sz w:val="20"/>
                <w:szCs w:val="20"/>
                <w:color w:val="auto"/>
              </w:rPr>
            </w:pPr>
            <w:r>
              <w:rPr>
                <w:rFonts w:ascii="Arial" w:cs="Arial" w:eastAsia="Arial" w:hAnsi="Arial"/>
                <w:sz w:val="18"/>
                <w:szCs w:val="18"/>
                <w:b w:val="1"/>
                <w:bCs w:val="1"/>
                <w:color w:val="auto"/>
                <w:w w:val="92"/>
              </w:rPr>
              <w:t>Minnesota</w:t>
            </w:r>
          </w:p>
        </w:tc>
        <w:tc>
          <w:tcPr>
            <w:tcW w:w="2720" w:type="dxa"/>
            <w:vAlign w:val="bottom"/>
          </w:tcPr>
          <w:p>
            <w:pPr>
              <w:spacing w:after="0"/>
              <w:rPr>
                <w:sz w:val="20"/>
                <w:szCs w:val="20"/>
                <w:color w:val="auto"/>
              </w:rPr>
            </w:pPr>
          </w:p>
        </w:tc>
        <w:tc>
          <w:tcPr>
            <w:tcW w:w="4260" w:type="dxa"/>
            <w:vAlign w:val="bottom"/>
            <w:gridSpan w:val="2"/>
          </w:tcPr>
          <w:p>
            <w:pPr>
              <w:jc w:val="center"/>
              <w:ind w:right="88"/>
              <w:spacing w:after="0"/>
              <w:rPr>
                <w:sz w:val="20"/>
                <w:szCs w:val="20"/>
                <w:color w:val="auto"/>
              </w:rPr>
            </w:pPr>
            <w:r>
              <w:rPr>
                <w:rFonts w:ascii="Arial" w:cs="Arial" w:eastAsia="Arial" w:hAnsi="Arial"/>
                <w:sz w:val="18"/>
                <w:szCs w:val="18"/>
                <w:b w:val="1"/>
                <w:bCs w:val="1"/>
                <w:color w:val="auto"/>
                <w:w w:val="89"/>
              </w:rPr>
              <w:t>41-0771293</w:t>
            </w:r>
          </w:p>
        </w:tc>
        <w:tc>
          <w:tcPr>
            <w:tcW w:w="520" w:type="dxa"/>
            <w:vAlign w:val="bottom"/>
          </w:tcPr>
          <w:p>
            <w:pPr>
              <w:spacing w:after="0"/>
              <w:rPr>
                <w:sz w:val="20"/>
                <w:szCs w:val="20"/>
                <w:color w:val="auto"/>
              </w:rPr>
            </w:pPr>
          </w:p>
        </w:tc>
      </w:tr>
      <w:tr>
        <w:trPr>
          <w:trHeight w:val="27"/>
        </w:trPr>
        <w:tc>
          <w:tcPr>
            <w:tcW w:w="520" w:type="dxa"/>
            <w:vAlign w:val="bottom"/>
            <w:tcBorders>
              <w:bottom w:val="single" w:sz="8" w:color="auto"/>
            </w:tcBorders>
          </w:tcPr>
          <w:p>
            <w:pPr>
              <w:spacing w:after="0"/>
              <w:rPr>
                <w:sz w:val="2"/>
                <w:szCs w:val="2"/>
                <w:color w:val="auto"/>
              </w:rPr>
            </w:pPr>
          </w:p>
        </w:tc>
        <w:tc>
          <w:tcPr>
            <w:tcW w:w="29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27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29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r>
      <w:tr>
        <w:trPr>
          <w:trHeight w:val="146"/>
        </w:trPr>
        <w:tc>
          <w:tcPr>
            <w:tcW w:w="520" w:type="dxa"/>
            <w:vAlign w:val="bottom"/>
          </w:tcPr>
          <w:p>
            <w:pPr>
              <w:spacing w:after="0"/>
              <w:rPr>
                <w:sz w:val="12"/>
                <w:szCs w:val="12"/>
                <w:color w:val="auto"/>
              </w:rPr>
            </w:pPr>
          </w:p>
        </w:tc>
        <w:tc>
          <w:tcPr>
            <w:tcW w:w="3400" w:type="dxa"/>
            <w:vAlign w:val="bottom"/>
            <w:gridSpan w:val="2"/>
          </w:tcPr>
          <w:p>
            <w:pPr>
              <w:jc w:val="center"/>
              <w:ind w:left="1100"/>
              <w:spacing w:after="0" w:line="147" w:lineRule="exact"/>
              <w:rPr>
                <w:sz w:val="20"/>
                <w:szCs w:val="20"/>
                <w:color w:val="auto"/>
              </w:rPr>
            </w:pPr>
            <w:r>
              <w:rPr>
                <w:rFonts w:ascii="Arial" w:cs="Arial" w:eastAsia="Arial" w:hAnsi="Arial"/>
                <w:sz w:val="14"/>
                <w:szCs w:val="14"/>
                <w:b w:val="1"/>
                <w:bCs w:val="1"/>
                <w:color w:val="auto"/>
                <w:w w:val="92"/>
              </w:rPr>
              <w:t>(State or other jurisdiction of</w:t>
            </w:r>
          </w:p>
        </w:tc>
        <w:tc>
          <w:tcPr>
            <w:tcW w:w="272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3460" w:type="dxa"/>
            <w:vAlign w:val="bottom"/>
            <w:gridSpan w:val="2"/>
          </w:tcPr>
          <w:p>
            <w:pPr>
              <w:jc w:val="center"/>
              <w:ind w:right="2020"/>
              <w:spacing w:after="0" w:line="147" w:lineRule="exact"/>
              <w:rPr>
                <w:sz w:val="20"/>
                <w:szCs w:val="20"/>
                <w:color w:val="auto"/>
              </w:rPr>
            </w:pPr>
            <w:r>
              <w:rPr>
                <w:rFonts w:ascii="Arial" w:cs="Arial" w:eastAsia="Arial" w:hAnsi="Arial"/>
                <w:sz w:val="14"/>
                <w:szCs w:val="14"/>
                <w:b w:val="1"/>
                <w:bCs w:val="1"/>
                <w:color w:val="auto"/>
                <w:w w:val="96"/>
              </w:rPr>
              <w:t>(I.R.S. Employer</w:t>
            </w:r>
          </w:p>
        </w:tc>
      </w:tr>
      <w:tr>
        <w:trPr>
          <w:trHeight w:val="186"/>
        </w:trPr>
        <w:tc>
          <w:tcPr>
            <w:tcW w:w="520" w:type="dxa"/>
            <w:vAlign w:val="bottom"/>
          </w:tcPr>
          <w:p>
            <w:pPr>
              <w:spacing w:after="0"/>
              <w:rPr>
                <w:sz w:val="16"/>
                <w:szCs w:val="16"/>
                <w:color w:val="auto"/>
              </w:rPr>
            </w:pPr>
          </w:p>
        </w:tc>
        <w:tc>
          <w:tcPr>
            <w:tcW w:w="3400" w:type="dxa"/>
            <w:vAlign w:val="bottom"/>
            <w:gridSpan w:val="2"/>
          </w:tcPr>
          <w:p>
            <w:pPr>
              <w:jc w:val="center"/>
              <w:ind w:left="1100"/>
              <w:spacing w:after="0"/>
              <w:rPr>
                <w:sz w:val="20"/>
                <w:szCs w:val="20"/>
                <w:color w:val="auto"/>
              </w:rPr>
            </w:pPr>
            <w:r>
              <w:rPr>
                <w:rFonts w:ascii="Arial" w:cs="Arial" w:eastAsia="Arial" w:hAnsi="Arial"/>
                <w:sz w:val="14"/>
                <w:szCs w:val="14"/>
                <w:b w:val="1"/>
                <w:bCs w:val="1"/>
                <w:color w:val="auto"/>
                <w:w w:val="93"/>
              </w:rPr>
              <w:t>incorporation or organization)</w:t>
            </w:r>
          </w:p>
        </w:tc>
        <w:tc>
          <w:tcPr>
            <w:tcW w:w="272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3460" w:type="dxa"/>
            <w:vAlign w:val="bottom"/>
            <w:gridSpan w:val="2"/>
          </w:tcPr>
          <w:p>
            <w:pPr>
              <w:jc w:val="center"/>
              <w:ind w:right="2020"/>
              <w:spacing w:after="0"/>
              <w:rPr>
                <w:sz w:val="20"/>
                <w:szCs w:val="20"/>
                <w:color w:val="auto"/>
              </w:rPr>
            </w:pPr>
            <w:r>
              <w:rPr>
                <w:rFonts w:ascii="Arial" w:cs="Arial" w:eastAsia="Arial" w:hAnsi="Arial"/>
                <w:sz w:val="14"/>
                <w:szCs w:val="14"/>
                <w:b w:val="1"/>
                <w:bCs w:val="1"/>
                <w:color w:val="auto"/>
                <w:w w:val="94"/>
              </w:rPr>
              <w:t>Identification No.)</w:t>
            </w:r>
          </w:p>
        </w:tc>
      </w:tr>
      <w:tr>
        <w:trPr>
          <w:trHeight w:val="498"/>
        </w:trPr>
        <w:tc>
          <w:tcPr>
            <w:tcW w:w="520" w:type="dxa"/>
            <w:vAlign w:val="bottom"/>
          </w:tcPr>
          <w:p>
            <w:pPr>
              <w:spacing w:after="0"/>
              <w:rPr>
                <w:sz w:val="24"/>
                <w:szCs w:val="24"/>
                <w:color w:val="auto"/>
              </w:rPr>
            </w:pPr>
          </w:p>
        </w:tc>
        <w:tc>
          <w:tcPr>
            <w:tcW w:w="6120" w:type="dxa"/>
            <w:vAlign w:val="bottom"/>
            <w:gridSpan w:val="3"/>
          </w:tcPr>
          <w:p>
            <w:pPr>
              <w:jc w:val="center"/>
              <w:ind w:right="99"/>
              <w:spacing w:after="0"/>
              <w:rPr>
                <w:sz w:val="20"/>
                <w:szCs w:val="20"/>
                <w:color w:val="auto"/>
              </w:rPr>
            </w:pPr>
            <w:r>
              <w:rPr>
                <w:rFonts w:ascii="Arial" w:cs="Arial" w:eastAsia="Arial" w:hAnsi="Arial"/>
                <w:sz w:val="18"/>
                <w:szCs w:val="18"/>
                <w:b w:val="1"/>
                <w:bCs w:val="1"/>
                <w:color w:val="auto"/>
                <w:w w:val="88"/>
              </w:rPr>
              <w:t>2381 Rosegate, Roseville, Minnesota</w:t>
            </w:r>
          </w:p>
        </w:tc>
        <w:tc>
          <w:tcPr>
            <w:tcW w:w="4260" w:type="dxa"/>
            <w:vAlign w:val="bottom"/>
            <w:gridSpan w:val="2"/>
          </w:tcPr>
          <w:p>
            <w:pPr>
              <w:jc w:val="right"/>
              <w:ind w:right="2388"/>
              <w:spacing w:after="0"/>
              <w:rPr>
                <w:sz w:val="20"/>
                <w:szCs w:val="20"/>
                <w:color w:val="auto"/>
              </w:rPr>
            </w:pPr>
            <w:r>
              <w:rPr>
                <w:rFonts w:ascii="Arial" w:cs="Arial" w:eastAsia="Arial" w:hAnsi="Arial"/>
                <w:sz w:val="18"/>
                <w:szCs w:val="18"/>
                <w:b w:val="1"/>
                <w:bCs w:val="1"/>
                <w:color w:val="auto"/>
              </w:rPr>
              <w:t>55113</w:t>
            </w:r>
          </w:p>
        </w:tc>
        <w:tc>
          <w:tcPr>
            <w:tcW w:w="520" w:type="dxa"/>
            <w:vAlign w:val="bottom"/>
          </w:tcPr>
          <w:p>
            <w:pPr>
              <w:spacing w:after="0"/>
              <w:rPr>
                <w:sz w:val="24"/>
                <w:szCs w:val="24"/>
                <w:color w:val="auto"/>
              </w:rPr>
            </w:pPr>
          </w:p>
        </w:tc>
      </w:tr>
      <w:tr>
        <w:trPr>
          <w:trHeight w:val="272"/>
        </w:trPr>
        <w:tc>
          <w:tcPr>
            <w:tcW w:w="520" w:type="dxa"/>
            <w:vAlign w:val="bottom"/>
          </w:tcPr>
          <w:p>
            <w:pPr>
              <w:spacing w:after="0"/>
              <w:rPr>
                <w:sz w:val="23"/>
                <w:szCs w:val="23"/>
                <w:color w:val="auto"/>
              </w:rPr>
            </w:pPr>
          </w:p>
        </w:tc>
        <w:tc>
          <w:tcPr>
            <w:tcW w:w="6120" w:type="dxa"/>
            <w:vAlign w:val="bottom"/>
            <w:gridSpan w:val="3"/>
          </w:tcPr>
          <w:p>
            <w:pPr>
              <w:jc w:val="center"/>
              <w:ind w:right="99"/>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4780" w:type="dxa"/>
            <w:vAlign w:val="bottom"/>
            <w:gridSpan w:val="3"/>
          </w:tcPr>
          <w:p>
            <w:pPr>
              <w:jc w:val="center"/>
              <w:ind w:right="1600"/>
              <w:spacing w:after="0"/>
              <w:rPr>
                <w:sz w:val="20"/>
                <w:szCs w:val="20"/>
                <w:color w:val="auto"/>
              </w:rPr>
            </w:pPr>
            <w:r>
              <w:rPr>
                <w:rFonts w:ascii="Arial" w:cs="Arial" w:eastAsia="Arial" w:hAnsi="Arial"/>
                <w:sz w:val="14"/>
                <w:szCs w:val="14"/>
                <w:b w:val="1"/>
                <w:bCs w:val="1"/>
                <w:color w:val="auto"/>
                <w:w w:val="92"/>
              </w:rPr>
              <w:t>(Zip code)</w:t>
            </w:r>
          </w:p>
        </w:tc>
      </w:tr>
      <w:tr>
        <w:trPr>
          <w:trHeight w:val="458"/>
        </w:trPr>
        <w:tc>
          <w:tcPr>
            <w:tcW w:w="520" w:type="dxa"/>
            <w:vAlign w:val="bottom"/>
          </w:tcPr>
          <w:p>
            <w:pPr>
              <w:spacing w:after="0"/>
              <w:rPr>
                <w:sz w:val="24"/>
                <w:szCs w:val="24"/>
                <w:color w:val="auto"/>
              </w:rPr>
            </w:pPr>
          </w:p>
        </w:tc>
        <w:tc>
          <w:tcPr>
            <w:tcW w:w="29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720" w:type="dxa"/>
            <w:vAlign w:val="bottom"/>
          </w:tcPr>
          <w:p>
            <w:pPr>
              <w:jc w:val="right"/>
              <w:ind w:right="279"/>
              <w:spacing w:after="0"/>
              <w:rPr>
                <w:sz w:val="20"/>
                <w:szCs w:val="20"/>
                <w:color w:val="auto"/>
              </w:rPr>
            </w:pPr>
            <w:r>
              <w:rPr>
                <w:rFonts w:ascii="Arial" w:cs="Arial" w:eastAsia="Arial" w:hAnsi="Arial"/>
                <w:sz w:val="18"/>
                <w:szCs w:val="18"/>
                <w:b w:val="1"/>
                <w:bCs w:val="1"/>
                <w:color w:val="auto"/>
              </w:rPr>
              <w:t>(612) 331-6910</w:t>
            </w:r>
          </w:p>
        </w:tc>
        <w:tc>
          <w:tcPr>
            <w:tcW w:w="1320" w:type="dxa"/>
            <w:vAlign w:val="bottom"/>
          </w:tcPr>
          <w:p>
            <w:pPr>
              <w:spacing w:after="0"/>
              <w:rPr>
                <w:sz w:val="24"/>
                <w:szCs w:val="24"/>
                <w:color w:val="auto"/>
              </w:rPr>
            </w:pPr>
          </w:p>
        </w:tc>
        <w:tc>
          <w:tcPr>
            <w:tcW w:w="2940" w:type="dxa"/>
            <w:vAlign w:val="bottom"/>
          </w:tcPr>
          <w:p>
            <w:pPr>
              <w:spacing w:after="0"/>
              <w:rPr>
                <w:sz w:val="24"/>
                <w:szCs w:val="24"/>
                <w:color w:val="auto"/>
              </w:rPr>
            </w:pPr>
          </w:p>
        </w:tc>
        <w:tc>
          <w:tcPr>
            <w:tcW w:w="520" w:type="dxa"/>
            <w:vAlign w:val="bottom"/>
          </w:tcPr>
          <w:p>
            <w:pPr>
              <w:spacing w:after="0"/>
              <w:rPr>
                <w:sz w:val="24"/>
                <w:szCs w:val="24"/>
                <w:color w:val="auto"/>
              </w:rPr>
            </w:pPr>
          </w:p>
        </w:tc>
      </w:tr>
      <w:tr>
        <w:trPr>
          <w:trHeight w:val="224"/>
        </w:trPr>
        <w:tc>
          <w:tcPr>
            <w:tcW w:w="520" w:type="dxa"/>
            <w:vAlign w:val="bottom"/>
          </w:tcPr>
          <w:p>
            <w:pPr>
              <w:spacing w:after="0"/>
              <w:rPr>
                <w:sz w:val="19"/>
                <w:szCs w:val="19"/>
                <w:color w:val="auto"/>
              </w:rPr>
            </w:pPr>
          </w:p>
        </w:tc>
        <w:tc>
          <w:tcPr>
            <w:tcW w:w="2940" w:type="dxa"/>
            <w:vAlign w:val="bottom"/>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4040" w:type="dxa"/>
            <w:vAlign w:val="bottom"/>
            <w:tcBorders>
              <w:bottom w:val="single" w:sz="8" w:color="auto"/>
            </w:tcBorders>
            <w:gridSpan w:val="2"/>
          </w:tcPr>
          <w:p>
            <w:pPr>
              <w:jc w:val="center"/>
              <w:ind w:right="377"/>
              <w:spacing w:after="0"/>
              <w:rPr>
                <w:sz w:val="20"/>
                <w:szCs w:val="20"/>
                <w:color w:val="auto"/>
              </w:rPr>
            </w:pPr>
            <w:r>
              <w:rPr>
                <w:rFonts w:ascii="Arial" w:cs="Arial" w:eastAsia="Arial" w:hAnsi="Arial"/>
                <w:sz w:val="14"/>
                <w:szCs w:val="14"/>
                <w:b w:val="1"/>
                <w:bCs w:val="1"/>
                <w:color w:val="auto"/>
                <w:w w:val="91"/>
              </w:rPr>
              <w:t>(Registrant’s telephone number, including area code)</w:t>
            </w:r>
          </w:p>
        </w:tc>
        <w:tc>
          <w:tcPr>
            <w:tcW w:w="3460" w:type="dxa"/>
            <w:vAlign w:val="bottom"/>
            <w:gridSpan w:val="2"/>
          </w:tcPr>
          <w:p>
            <w:pPr>
              <w:spacing w:after="0"/>
              <w:rPr>
                <w:sz w:val="19"/>
                <w:szCs w:val="19"/>
                <w:color w:val="auto"/>
              </w:rPr>
            </w:pPr>
          </w:p>
        </w:tc>
      </w:tr>
      <w:tr>
        <w:trPr>
          <w:trHeight w:val="540"/>
        </w:trPr>
        <w:tc>
          <w:tcPr>
            <w:tcW w:w="6640" w:type="dxa"/>
            <w:vAlign w:val="bottom"/>
            <w:gridSpan w:val="4"/>
          </w:tcPr>
          <w:p>
            <w:pPr>
              <w:spacing w:after="0"/>
              <w:rPr>
                <w:sz w:val="20"/>
                <w:szCs w:val="20"/>
                <w:color w:val="auto"/>
              </w:rPr>
            </w:pPr>
            <w:r>
              <w:rPr>
                <w:rFonts w:ascii="Arial" w:cs="Arial" w:eastAsia="Arial" w:hAnsi="Arial"/>
                <w:sz w:val="18"/>
                <w:szCs w:val="18"/>
                <w:color w:val="auto"/>
              </w:rPr>
              <w:t>Securities registered pursuant to Section 12(b) of the Act:</w:t>
            </w:r>
          </w:p>
        </w:tc>
        <w:tc>
          <w:tcPr>
            <w:tcW w:w="1320" w:type="dxa"/>
            <w:vAlign w:val="bottom"/>
          </w:tcPr>
          <w:p>
            <w:pPr>
              <w:spacing w:after="0"/>
              <w:rPr>
                <w:sz w:val="24"/>
                <w:szCs w:val="24"/>
                <w:color w:val="auto"/>
              </w:rPr>
            </w:pPr>
          </w:p>
        </w:tc>
        <w:tc>
          <w:tcPr>
            <w:tcW w:w="2940" w:type="dxa"/>
            <w:vAlign w:val="bottom"/>
          </w:tcPr>
          <w:p>
            <w:pPr>
              <w:spacing w:after="0"/>
              <w:rPr>
                <w:sz w:val="24"/>
                <w:szCs w:val="24"/>
                <w:color w:val="auto"/>
              </w:rPr>
            </w:pPr>
          </w:p>
        </w:tc>
        <w:tc>
          <w:tcPr>
            <w:tcW w:w="520" w:type="dxa"/>
            <w:vAlign w:val="bottom"/>
          </w:tcPr>
          <w:p>
            <w:pPr>
              <w:spacing w:after="0"/>
              <w:rPr>
                <w:sz w:val="24"/>
                <w:szCs w:val="24"/>
                <w:color w:val="auto"/>
              </w:rPr>
            </w:pPr>
          </w:p>
        </w:tc>
      </w:tr>
      <w:tr>
        <w:trPr>
          <w:trHeight w:val="359"/>
        </w:trPr>
        <w:tc>
          <w:tcPr>
            <w:tcW w:w="520" w:type="dxa"/>
            <w:vAlign w:val="bottom"/>
          </w:tcPr>
          <w:p>
            <w:pPr>
              <w:spacing w:after="0"/>
              <w:rPr>
                <w:sz w:val="24"/>
                <w:szCs w:val="24"/>
                <w:color w:val="auto"/>
              </w:rPr>
            </w:pPr>
          </w:p>
        </w:tc>
        <w:tc>
          <w:tcPr>
            <w:tcW w:w="3400" w:type="dxa"/>
            <w:vAlign w:val="bottom"/>
            <w:gridSpan w:val="2"/>
          </w:tcPr>
          <w:p>
            <w:pPr>
              <w:ind w:left="1220"/>
              <w:spacing w:after="0"/>
              <w:rPr>
                <w:sz w:val="20"/>
                <w:szCs w:val="20"/>
                <w:color w:val="auto"/>
              </w:rPr>
            </w:pPr>
            <w:r>
              <w:rPr>
                <w:rFonts w:ascii="Arial" w:cs="Arial" w:eastAsia="Arial" w:hAnsi="Arial"/>
                <w:sz w:val="16"/>
                <w:szCs w:val="16"/>
                <w:b w:val="1"/>
                <w:bCs w:val="1"/>
                <w:color w:val="auto"/>
              </w:rPr>
              <w:t>Title of each class</w:t>
            </w:r>
          </w:p>
        </w:tc>
        <w:tc>
          <w:tcPr>
            <w:tcW w:w="2720" w:type="dxa"/>
            <w:vAlign w:val="bottom"/>
          </w:tcPr>
          <w:p>
            <w:pPr>
              <w:jc w:val="center"/>
              <w:ind w:right="179"/>
              <w:spacing w:after="0"/>
              <w:rPr>
                <w:sz w:val="20"/>
                <w:szCs w:val="20"/>
                <w:color w:val="auto"/>
              </w:rPr>
            </w:pPr>
            <w:r>
              <w:rPr>
                <w:rFonts w:ascii="Arial" w:cs="Arial" w:eastAsia="Arial" w:hAnsi="Arial"/>
                <w:sz w:val="16"/>
                <w:szCs w:val="16"/>
                <w:b w:val="1"/>
                <w:bCs w:val="1"/>
                <w:color w:val="auto"/>
                <w:w w:val="92"/>
              </w:rPr>
              <w:t>Trading Symbol(s)</w:t>
            </w:r>
          </w:p>
        </w:tc>
        <w:tc>
          <w:tcPr>
            <w:tcW w:w="4780" w:type="dxa"/>
            <w:vAlign w:val="bottom"/>
            <w:gridSpan w:val="3"/>
          </w:tcPr>
          <w:p>
            <w:pPr>
              <w:jc w:val="center"/>
              <w:ind w:right="1020"/>
              <w:spacing w:after="0"/>
              <w:rPr>
                <w:sz w:val="20"/>
                <w:szCs w:val="20"/>
                <w:color w:val="auto"/>
              </w:rPr>
            </w:pPr>
            <w:r>
              <w:rPr>
                <w:rFonts w:ascii="Arial" w:cs="Arial" w:eastAsia="Arial" w:hAnsi="Arial"/>
                <w:sz w:val="16"/>
                <w:szCs w:val="16"/>
                <w:b w:val="1"/>
                <w:bCs w:val="1"/>
                <w:color w:val="auto"/>
                <w:w w:val="88"/>
              </w:rPr>
              <w:t>Name of each exchange on which registered</w:t>
            </w:r>
          </w:p>
        </w:tc>
      </w:tr>
      <w:tr>
        <w:trPr>
          <w:trHeight w:val="33"/>
        </w:trPr>
        <w:tc>
          <w:tcPr>
            <w:tcW w:w="520" w:type="dxa"/>
            <w:vAlign w:val="bottom"/>
          </w:tcPr>
          <w:p>
            <w:pPr>
              <w:spacing w:after="0"/>
              <w:rPr>
                <w:sz w:val="2"/>
                <w:szCs w:val="2"/>
                <w:color w:val="auto"/>
              </w:rPr>
            </w:pPr>
          </w:p>
        </w:tc>
        <w:tc>
          <w:tcPr>
            <w:tcW w:w="3400" w:type="dxa"/>
            <w:vAlign w:val="bottom"/>
            <w:tcBorders>
              <w:bottom w:val="single" w:sz="8" w:color="auto"/>
            </w:tcBorders>
            <w:gridSpan w:val="2"/>
          </w:tcPr>
          <w:p>
            <w:pPr>
              <w:spacing w:after="0"/>
              <w:rPr>
                <w:sz w:val="2"/>
                <w:szCs w:val="2"/>
                <w:color w:val="auto"/>
              </w:rPr>
            </w:pPr>
          </w:p>
        </w:tc>
        <w:tc>
          <w:tcPr>
            <w:tcW w:w="2720" w:type="dxa"/>
            <w:vAlign w:val="bottom"/>
            <w:tcBorders>
              <w:bottom w:val="single" w:sz="8" w:color="auto"/>
            </w:tcBorders>
          </w:tcPr>
          <w:p>
            <w:pPr>
              <w:spacing w:after="0"/>
              <w:rPr>
                <w:sz w:val="2"/>
                <w:szCs w:val="2"/>
                <w:color w:val="auto"/>
              </w:rPr>
            </w:pPr>
          </w:p>
        </w:tc>
        <w:tc>
          <w:tcPr>
            <w:tcW w:w="4260" w:type="dxa"/>
            <w:vAlign w:val="bottom"/>
            <w:tcBorders>
              <w:bottom w:val="single" w:sz="8" w:color="auto"/>
            </w:tcBorders>
            <w:gridSpan w:val="2"/>
          </w:tcPr>
          <w:p>
            <w:pPr>
              <w:spacing w:after="0"/>
              <w:rPr>
                <w:sz w:val="2"/>
                <w:szCs w:val="2"/>
                <w:color w:val="auto"/>
              </w:rPr>
            </w:pPr>
          </w:p>
        </w:tc>
        <w:tc>
          <w:tcPr>
            <w:tcW w:w="520" w:type="dxa"/>
            <w:vAlign w:val="bottom"/>
          </w:tcPr>
          <w:p>
            <w:pPr>
              <w:spacing w:after="0"/>
              <w:rPr>
                <w:sz w:val="2"/>
                <w:szCs w:val="2"/>
                <w:color w:val="auto"/>
              </w:rPr>
            </w:pPr>
          </w:p>
        </w:tc>
      </w:tr>
      <w:tr>
        <w:trPr>
          <w:trHeight w:val="217"/>
        </w:trPr>
        <w:tc>
          <w:tcPr>
            <w:tcW w:w="520" w:type="dxa"/>
            <w:vAlign w:val="bottom"/>
          </w:tcPr>
          <w:p>
            <w:pPr>
              <w:spacing w:after="0"/>
              <w:rPr>
                <w:sz w:val="18"/>
                <w:szCs w:val="18"/>
                <w:color w:val="auto"/>
              </w:rPr>
            </w:pPr>
          </w:p>
        </w:tc>
        <w:tc>
          <w:tcPr>
            <w:tcW w:w="3400" w:type="dxa"/>
            <w:vAlign w:val="bottom"/>
            <w:gridSpan w:val="2"/>
          </w:tcPr>
          <w:p>
            <w:pPr>
              <w:ind w:left="20"/>
              <w:spacing w:after="0"/>
              <w:rPr>
                <w:sz w:val="20"/>
                <w:szCs w:val="20"/>
                <w:color w:val="auto"/>
              </w:rPr>
            </w:pPr>
            <w:r>
              <w:rPr>
                <w:rFonts w:ascii="Arial" w:cs="Arial" w:eastAsia="Arial" w:hAnsi="Arial"/>
                <w:sz w:val="16"/>
                <w:szCs w:val="16"/>
                <w:color w:val="auto"/>
              </w:rPr>
              <w:t>Common Stock, par value $.05 per share</w:t>
            </w:r>
          </w:p>
        </w:tc>
        <w:tc>
          <w:tcPr>
            <w:tcW w:w="2720" w:type="dxa"/>
            <w:vAlign w:val="bottom"/>
          </w:tcPr>
          <w:p>
            <w:pPr>
              <w:jc w:val="center"/>
              <w:ind w:right="179"/>
              <w:spacing w:after="0"/>
              <w:rPr>
                <w:sz w:val="20"/>
                <w:szCs w:val="20"/>
                <w:color w:val="auto"/>
              </w:rPr>
            </w:pPr>
            <w:r>
              <w:rPr>
                <w:rFonts w:ascii="Arial" w:cs="Arial" w:eastAsia="Arial" w:hAnsi="Arial"/>
                <w:sz w:val="16"/>
                <w:szCs w:val="16"/>
                <w:color w:val="auto"/>
              </w:rPr>
              <w:t>HWKN</w:t>
            </w:r>
          </w:p>
        </w:tc>
        <w:tc>
          <w:tcPr>
            <w:tcW w:w="4780" w:type="dxa"/>
            <w:vAlign w:val="bottom"/>
            <w:gridSpan w:val="3"/>
          </w:tcPr>
          <w:p>
            <w:pPr>
              <w:jc w:val="center"/>
              <w:ind w:right="1020"/>
              <w:spacing w:after="0"/>
              <w:rPr>
                <w:sz w:val="20"/>
                <w:szCs w:val="20"/>
                <w:color w:val="auto"/>
              </w:rPr>
            </w:pPr>
            <w:r>
              <w:rPr>
                <w:rFonts w:ascii="Arial" w:cs="Arial" w:eastAsia="Arial" w:hAnsi="Arial"/>
                <w:sz w:val="16"/>
                <w:szCs w:val="16"/>
                <w:color w:val="auto"/>
                <w:w w:val="94"/>
              </w:rPr>
              <w:t>Nasdaq Stock Market LLC</w:t>
            </w:r>
          </w:p>
        </w:tc>
      </w:tr>
    </w:tbl>
    <w:p>
      <w:pPr>
        <w:spacing w:after="0" w:line="100" w:lineRule="exact"/>
        <w:rPr>
          <w:sz w:val="24"/>
          <w:szCs w:val="24"/>
          <w:color w:val="auto"/>
        </w:rPr>
      </w:pPr>
    </w:p>
    <w:p>
      <w:pPr>
        <w:ind w:right="480"/>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30" w:lineRule="exact"/>
        <w:rPr>
          <w:sz w:val="24"/>
          <w:szCs w:val="24"/>
          <w:color w:val="auto"/>
        </w:rPr>
      </w:pPr>
    </w:p>
    <w:p>
      <w:pPr>
        <w:ind w:right="540"/>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30" w:lineRule="exact"/>
        <w:rPr>
          <w:sz w:val="24"/>
          <w:szCs w:val="24"/>
          <w:color w:val="auto"/>
        </w:rPr>
      </w:pPr>
    </w:p>
    <w:p>
      <w:pPr>
        <w:spacing w:after="0" w:line="264"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95" w:lineRule="exact"/>
        <w:rPr>
          <w:sz w:val="24"/>
          <w:szCs w:val="24"/>
          <w:color w:val="auto"/>
        </w:rPr>
      </w:pPr>
    </w:p>
    <w:tbl>
      <w:tblPr>
        <w:tblLayout w:type="fixed"/>
        <w:tblInd w:w="40" w:type="dxa"/>
        <w:tblCellMar>
          <w:top w:w="0" w:type="dxa"/>
          <w:left w:w="0" w:type="dxa"/>
          <w:bottom w:w="0" w:type="dxa"/>
          <w:right w:w="0" w:type="dxa"/>
        </w:tblCellMar>
      </w:tblPr>
      <w:tr>
        <w:trPr>
          <w:trHeight w:val="283"/>
        </w:trPr>
        <w:tc>
          <w:tcPr>
            <w:tcW w:w="194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3200" w:type="dxa"/>
            <w:vAlign w:val="bottom"/>
          </w:tcPr>
          <w:p>
            <w:pPr>
              <w:ind w:left="320"/>
              <w:spacing w:after="0" w:line="181" w:lineRule="exact"/>
              <w:rPr>
                <w:sz w:val="20"/>
                <w:szCs w:val="20"/>
                <w:color w:val="auto"/>
              </w:rPr>
            </w:pPr>
            <w:r>
              <w:rPr>
                <w:rFonts w:ascii="MS PGothic" w:cs="MS PGothic" w:eastAsia="MS PGothic" w:hAnsi="MS PGothic"/>
                <w:sz w:val="18"/>
                <w:szCs w:val="18"/>
                <w:color w:val="auto"/>
              </w:rPr>
              <w:t>☐</w:t>
            </w:r>
          </w:p>
        </w:tc>
        <w:tc>
          <w:tcPr>
            <w:tcW w:w="5160" w:type="dxa"/>
            <w:vAlign w:val="bottom"/>
          </w:tcPr>
          <w:p>
            <w:pPr>
              <w:ind w:left="2720"/>
              <w:spacing w:after="0"/>
              <w:rPr>
                <w:sz w:val="20"/>
                <w:szCs w:val="20"/>
                <w:color w:val="auto"/>
              </w:rPr>
            </w:pPr>
            <w:r>
              <w:rPr>
                <w:rFonts w:ascii="Arial" w:cs="Arial" w:eastAsia="Arial" w:hAnsi="Arial"/>
                <w:sz w:val="18"/>
                <w:szCs w:val="18"/>
                <w:color w:val="auto"/>
              </w:rPr>
              <w:t>Accelerated filer</w:t>
            </w:r>
          </w:p>
        </w:tc>
        <w:tc>
          <w:tcPr>
            <w:tcW w:w="620" w:type="dxa"/>
            <w:vAlign w:val="bottom"/>
          </w:tcPr>
          <w:p>
            <w:pPr>
              <w:ind w:left="46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405"/>
        </w:trPr>
        <w:tc>
          <w:tcPr>
            <w:tcW w:w="1940" w:type="dxa"/>
            <w:vAlign w:val="bottom"/>
          </w:tcPr>
          <w:p>
            <w:pPr>
              <w:spacing w:after="0"/>
              <w:rPr>
                <w:sz w:val="20"/>
                <w:szCs w:val="20"/>
                <w:color w:val="auto"/>
              </w:rPr>
            </w:pPr>
            <w:r>
              <w:rPr>
                <w:rFonts w:ascii="Arial" w:cs="Arial" w:eastAsia="Arial" w:hAnsi="Arial"/>
                <w:sz w:val="18"/>
                <w:szCs w:val="18"/>
                <w:color w:val="auto"/>
              </w:rPr>
              <w:t>Non-accelerated filer</w:t>
            </w:r>
          </w:p>
        </w:tc>
        <w:tc>
          <w:tcPr>
            <w:tcW w:w="3200" w:type="dxa"/>
            <w:vAlign w:val="bottom"/>
          </w:tcPr>
          <w:p>
            <w:pPr>
              <w:ind w:left="320"/>
              <w:spacing w:after="0" w:line="181" w:lineRule="exact"/>
              <w:rPr>
                <w:sz w:val="20"/>
                <w:szCs w:val="20"/>
                <w:color w:val="auto"/>
              </w:rPr>
            </w:pPr>
            <w:r>
              <w:rPr>
                <w:rFonts w:ascii="MS PGothic" w:cs="MS PGothic" w:eastAsia="MS PGothic" w:hAnsi="MS PGothic"/>
                <w:sz w:val="18"/>
                <w:szCs w:val="18"/>
                <w:color w:val="auto"/>
              </w:rPr>
              <w:t>☐</w:t>
            </w:r>
          </w:p>
        </w:tc>
        <w:tc>
          <w:tcPr>
            <w:tcW w:w="5160" w:type="dxa"/>
            <w:vAlign w:val="bottom"/>
          </w:tcPr>
          <w:p>
            <w:pPr>
              <w:ind w:left="2720"/>
              <w:spacing w:after="0"/>
              <w:rPr>
                <w:sz w:val="20"/>
                <w:szCs w:val="20"/>
                <w:color w:val="auto"/>
              </w:rPr>
            </w:pPr>
            <w:r>
              <w:rPr>
                <w:rFonts w:ascii="Arial" w:cs="Arial" w:eastAsia="Arial" w:hAnsi="Arial"/>
                <w:sz w:val="18"/>
                <w:szCs w:val="18"/>
                <w:color w:val="auto"/>
              </w:rPr>
              <w:t>Smaller reporting company</w:t>
            </w:r>
          </w:p>
        </w:tc>
        <w:tc>
          <w:tcPr>
            <w:tcW w:w="620" w:type="dxa"/>
            <w:vAlign w:val="bottom"/>
          </w:tcPr>
          <w:p>
            <w:pPr>
              <w:ind w:left="46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92"/>
        </w:trPr>
        <w:tc>
          <w:tcPr>
            <w:tcW w:w="1940" w:type="dxa"/>
            <w:vAlign w:val="bottom"/>
          </w:tcPr>
          <w:p>
            <w:pPr>
              <w:spacing w:after="0"/>
              <w:rPr>
                <w:sz w:val="24"/>
                <w:szCs w:val="24"/>
                <w:color w:val="auto"/>
              </w:rPr>
            </w:pPr>
          </w:p>
        </w:tc>
        <w:tc>
          <w:tcPr>
            <w:tcW w:w="3200" w:type="dxa"/>
            <w:vAlign w:val="bottom"/>
          </w:tcPr>
          <w:p>
            <w:pPr>
              <w:spacing w:after="0"/>
              <w:rPr>
                <w:sz w:val="24"/>
                <w:szCs w:val="24"/>
                <w:color w:val="auto"/>
              </w:rPr>
            </w:pPr>
          </w:p>
        </w:tc>
        <w:tc>
          <w:tcPr>
            <w:tcW w:w="5160" w:type="dxa"/>
            <w:vAlign w:val="bottom"/>
          </w:tcPr>
          <w:p>
            <w:pPr>
              <w:ind w:left="2720"/>
              <w:spacing w:after="0"/>
              <w:rPr>
                <w:sz w:val="20"/>
                <w:szCs w:val="20"/>
                <w:color w:val="auto"/>
              </w:rPr>
            </w:pPr>
            <w:r>
              <w:rPr>
                <w:rFonts w:ascii="Arial" w:cs="Arial" w:eastAsia="Arial" w:hAnsi="Arial"/>
                <w:sz w:val="18"/>
                <w:szCs w:val="18"/>
                <w:color w:val="auto"/>
              </w:rPr>
              <w:t>Emerging growth company</w:t>
            </w:r>
          </w:p>
        </w:tc>
        <w:tc>
          <w:tcPr>
            <w:tcW w:w="620" w:type="dxa"/>
            <w:vAlign w:val="bottom"/>
          </w:tcPr>
          <w:p>
            <w:pPr>
              <w:ind w:left="460"/>
              <w:spacing w:after="0" w:line="181" w:lineRule="exact"/>
              <w:rPr>
                <w:sz w:val="20"/>
                <w:szCs w:val="20"/>
                <w:color w:val="auto"/>
              </w:rPr>
            </w:pPr>
            <w:r>
              <w:rPr>
                <w:rFonts w:ascii="MS PGothic" w:cs="MS PGothic" w:eastAsia="MS PGothic" w:hAnsi="MS PGothic"/>
                <w:sz w:val="18"/>
                <w:szCs w:val="18"/>
                <w:color w:val="auto"/>
                <w:w w:val="77"/>
              </w:rPr>
              <w:t>☐</w:t>
            </w:r>
          </w:p>
        </w:tc>
      </w:tr>
    </w:tbl>
    <w:p>
      <w:pPr>
        <w:ind w:right="140"/>
        <w:spacing w:after="0" w:line="220"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is a shell company (as defined in Rule 12b-2 of the Exchange Act).</w:t>
      </w:r>
    </w:p>
    <w:p>
      <w:pPr>
        <w:spacing w:after="0" w:line="7" w:lineRule="exact"/>
        <w:rPr>
          <w:sz w:val="24"/>
          <w:szCs w:val="24"/>
          <w:color w:val="auto"/>
        </w:rPr>
      </w:pPr>
    </w:p>
    <w:p>
      <w:pPr>
        <w:ind w:left="660"/>
        <w:spacing w:after="0" w:line="207" w:lineRule="exact"/>
        <w:tabs>
          <w:tab w:leader="none" w:pos="1400" w:val="left"/>
        </w:tabs>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ab/>
        <w:t xml:space="preserve">NO </w:t>
      </w:r>
      <w:r>
        <w:rPr>
          <w:rFonts w:ascii="MS PGothic" w:cs="MS PGothic" w:eastAsia="MS PGothic" w:hAnsi="MS PGothic"/>
          <w:sz w:val="18"/>
          <w:szCs w:val="18"/>
          <w:color w:val="auto"/>
        </w:rPr>
        <w:t>☒</w:t>
      </w:r>
    </w:p>
    <w:p>
      <w:pPr>
        <w:spacing w:after="0" w:line="11" w:lineRule="exact"/>
        <w:rPr>
          <w:sz w:val="24"/>
          <w:szCs w:val="24"/>
          <w:color w:val="auto"/>
        </w:rPr>
      </w:pPr>
    </w:p>
    <w:p>
      <w:pPr>
        <w:spacing w:after="0"/>
        <w:rPr>
          <w:sz w:val="20"/>
          <w:szCs w:val="20"/>
          <w:color w:val="auto"/>
        </w:rPr>
      </w:pPr>
      <w:r>
        <w:rPr>
          <w:rFonts w:ascii="Arial" w:cs="Arial" w:eastAsia="Arial" w:hAnsi="Arial"/>
          <w:sz w:val="18"/>
          <w:szCs w:val="18"/>
          <w:color w:val="auto"/>
        </w:rPr>
        <w:t>Indicate the number of shares outstanding of each of the issuer’s classes of common stock, as of the latest practicable date.</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188"/>
        </w:trPr>
        <w:tc>
          <w:tcPr>
            <w:tcW w:w="100" w:type="dxa"/>
            <w:vAlign w:val="bottom"/>
            <w:tcBorders>
              <w:bottom w:val="single" w:sz="8" w:color="auto"/>
            </w:tcBorders>
          </w:tcPr>
          <w:p>
            <w:pPr>
              <w:spacing w:after="0"/>
              <w:rPr>
                <w:sz w:val="16"/>
                <w:szCs w:val="16"/>
                <w:color w:val="auto"/>
              </w:rPr>
            </w:pPr>
          </w:p>
        </w:tc>
        <w:tc>
          <w:tcPr>
            <w:tcW w:w="4880" w:type="dxa"/>
            <w:vAlign w:val="bottom"/>
            <w:tcBorders>
              <w:bottom w:val="single" w:sz="8" w:color="auto"/>
            </w:tcBorders>
          </w:tcPr>
          <w:p>
            <w:pPr>
              <w:jc w:val="center"/>
              <w:ind w:right="19"/>
              <w:spacing w:after="0"/>
              <w:rPr>
                <w:sz w:val="20"/>
                <w:szCs w:val="20"/>
                <w:color w:val="auto"/>
              </w:rPr>
            </w:pPr>
            <w:r>
              <w:rPr>
                <w:rFonts w:ascii="Arial" w:cs="Arial" w:eastAsia="Arial" w:hAnsi="Arial"/>
                <w:sz w:val="14"/>
                <w:szCs w:val="14"/>
                <w:color w:val="auto"/>
              </w:rPr>
              <w:t>CLASS</w:t>
            </w:r>
          </w:p>
        </w:tc>
        <w:tc>
          <w:tcPr>
            <w:tcW w:w="300" w:type="dxa"/>
            <w:vAlign w:val="bottom"/>
          </w:tcPr>
          <w:p>
            <w:pPr>
              <w:spacing w:after="0"/>
              <w:rPr>
                <w:sz w:val="16"/>
                <w:szCs w:val="16"/>
                <w:color w:val="auto"/>
              </w:rPr>
            </w:pPr>
          </w:p>
        </w:tc>
        <w:tc>
          <w:tcPr>
            <w:tcW w:w="484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2"/>
              </w:rPr>
              <w:t>Shares Outstanding at October 25, 2019</w:t>
            </w:r>
          </w:p>
        </w:tc>
        <w:tc>
          <w:tcPr>
            <w:tcW w:w="1200" w:type="dxa"/>
            <w:vAlign w:val="bottom"/>
          </w:tcPr>
          <w:p>
            <w:pPr>
              <w:spacing w:after="0"/>
              <w:rPr>
                <w:sz w:val="16"/>
                <w:szCs w:val="16"/>
                <w:color w:val="auto"/>
              </w:rPr>
            </w:pPr>
          </w:p>
        </w:tc>
      </w:tr>
      <w:tr>
        <w:trPr>
          <w:trHeight w:val="243"/>
        </w:trPr>
        <w:tc>
          <w:tcPr>
            <w:tcW w:w="100" w:type="dxa"/>
            <w:vAlign w:val="bottom"/>
          </w:tcPr>
          <w:p>
            <w:pPr>
              <w:spacing w:after="0"/>
              <w:rPr>
                <w:sz w:val="21"/>
                <w:szCs w:val="21"/>
                <w:color w:val="auto"/>
              </w:rPr>
            </w:pPr>
          </w:p>
        </w:tc>
        <w:tc>
          <w:tcPr>
            <w:tcW w:w="5180" w:type="dxa"/>
            <w:vAlign w:val="bottom"/>
            <w:gridSpan w:val="2"/>
          </w:tcPr>
          <w:p>
            <w:pPr>
              <w:jc w:val="center"/>
              <w:ind w:right="400"/>
              <w:spacing w:after="0"/>
              <w:rPr>
                <w:sz w:val="20"/>
                <w:szCs w:val="20"/>
                <w:color w:val="auto"/>
              </w:rPr>
            </w:pPr>
            <w:r>
              <w:rPr>
                <w:rFonts w:ascii="Arial" w:cs="Arial" w:eastAsia="Arial" w:hAnsi="Arial"/>
                <w:sz w:val="18"/>
                <w:szCs w:val="18"/>
                <w:color w:val="auto"/>
                <w:w w:val="89"/>
              </w:rPr>
              <w:t>Common Stock, par value $.05 per share</w:t>
            </w:r>
          </w:p>
        </w:tc>
        <w:tc>
          <w:tcPr>
            <w:tcW w:w="4840" w:type="dxa"/>
            <w:vAlign w:val="bottom"/>
          </w:tcPr>
          <w:p>
            <w:pPr>
              <w:jc w:val="right"/>
              <w:ind w:right="1939"/>
              <w:spacing w:after="0"/>
              <w:rPr>
                <w:sz w:val="20"/>
                <w:szCs w:val="20"/>
                <w:color w:val="auto"/>
              </w:rPr>
            </w:pPr>
            <w:r>
              <w:rPr>
                <w:rFonts w:ascii="Arial" w:cs="Arial" w:eastAsia="Arial" w:hAnsi="Arial"/>
                <w:sz w:val="18"/>
                <w:szCs w:val="18"/>
                <w:color w:val="auto"/>
              </w:rPr>
              <w:t>10,628,976</w:t>
            </w:r>
          </w:p>
        </w:tc>
        <w:tc>
          <w:tcPr>
            <w:tcW w:w="1200" w:type="dxa"/>
            <w:vAlign w:val="bottom"/>
          </w:tcPr>
          <w:p>
            <w:pPr>
              <w:spacing w:after="0"/>
              <w:rPr>
                <w:sz w:val="21"/>
                <w:szCs w:val="21"/>
                <w:color w:val="auto"/>
              </w:rPr>
            </w:pPr>
          </w:p>
        </w:tc>
      </w:tr>
      <w:tr>
        <w:trPr>
          <w:trHeight w:val="216"/>
        </w:trPr>
        <w:tc>
          <w:tcPr>
            <w:tcW w:w="100" w:type="dxa"/>
            <w:vAlign w:val="bottom"/>
          </w:tcPr>
          <w:p>
            <w:pPr>
              <w:spacing w:after="0"/>
              <w:rPr>
                <w:sz w:val="18"/>
                <w:szCs w:val="18"/>
                <w:color w:val="auto"/>
              </w:rPr>
            </w:pPr>
          </w:p>
        </w:tc>
        <w:tc>
          <w:tcPr>
            <w:tcW w:w="488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48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spacing w:after="0"/>
              <w:rPr>
                <w:sz w:val="18"/>
                <w:szCs w:val="18"/>
                <w:color w:val="auto"/>
              </w:rPr>
            </w:pPr>
          </w:p>
        </w:tc>
      </w:tr>
      <w:tr>
        <w:trPr>
          <w:trHeight w:val="122"/>
        </w:trPr>
        <w:tc>
          <w:tcPr>
            <w:tcW w:w="100" w:type="dxa"/>
            <w:vAlign w:val="bottom"/>
          </w:tcPr>
          <w:p>
            <w:pPr>
              <w:spacing w:after="0"/>
              <w:rPr>
                <w:sz w:val="10"/>
                <w:szCs w:val="10"/>
                <w:color w:val="auto"/>
              </w:rPr>
            </w:pPr>
          </w:p>
        </w:tc>
        <w:tc>
          <w:tcPr>
            <w:tcW w:w="4880" w:type="dxa"/>
            <w:vAlign w:val="bottom"/>
            <w:tcBorders>
              <w:bottom w:val="single" w:sz="8" w:color="auto"/>
            </w:tcBorders>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4840" w:type="dxa"/>
            <w:vAlign w:val="bottom"/>
            <w:tcBorders>
              <w:bottom w:val="single" w:sz="8" w:color="auto"/>
            </w:tcBorders>
          </w:tcPr>
          <w:p>
            <w:pPr>
              <w:spacing w:after="0"/>
              <w:rPr>
                <w:sz w:val="10"/>
                <w:szCs w:val="10"/>
                <w:color w:val="auto"/>
              </w:rPr>
            </w:pPr>
          </w:p>
        </w:tc>
        <w:tc>
          <w:tcPr>
            <w:tcW w:w="1200" w:type="dxa"/>
            <w:vAlign w:val="bottom"/>
            <w:tcBorders>
              <w:bottom w:val="single" w:sz="8" w:color="auto"/>
            </w:tcBorders>
          </w:tcPr>
          <w:p>
            <w:pPr>
              <w:spacing w:after="0"/>
              <w:rPr>
                <w:sz w:val="10"/>
                <w:szCs w:val="10"/>
                <w:color w:val="auto"/>
              </w:rPr>
            </w:pPr>
          </w:p>
        </w:tc>
      </w:tr>
    </w:tbl>
    <w:p>
      <w:pPr>
        <w:sectPr>
          <w:pgSz w:w="11900" w:h="16838" w:orient="portrait"/>
          <w:cols w:equalWidth="0" w:num="1">
            <w:col w:w="11420"/>
          </w:cols>
          <w:pgMar w:left="240" w:top="1174" w:right="239" w:bottom="1440" w:gutter="0" w:footer="0" w:header="0"/>
        </w:sectPr>
      </w:pPr>
    </w:p>
    <w:bookmarkStart w:id="1" w:name="page2"/>
    <w:bookmarkEnd w:id="1"/>
    <w:p>
      <w:pPr>
        <w:jc w:val="center"/>
        <w:ind w:right="-899"/>
        <w:spacing w:after="0"/>
        <w:rPr>
          <w:sz w:val="20"/>
          <w:szCs w:val="20"/>
          <w:color w:val="auto"/>
        </w:rPr>
      </w:pPr>
      <w:r>
        <w:rPr>
          <w:rFonts w:ascii="Arial" w:cs="Arial" w:eastAsia="Arial" w:hAnsi="Arial"/>
          <w:sz w:val="18"/>
          <w:szCs w:val="18"/>
          <w:b w:val="1"/>
          <w:bCs w:val="1"/>
          <w:color w:val="auto"/>
        </w:rPr>
        <w:t>HAWKINS, INC.</w:t>
      </w:r>
    </w:p>
    <w:p>
      <w:pPr>
        <w:spacing w:after="0" w:line="27" w:lineRule="exact"/>
        <w:rPr>
          <w:sz w:val="20"/>
          <w:szCs w:val="20"/>
          <w:color w:val="auto"/>
        </w:rPr>
      </w:pPr>
    </w:p>
    <w:p>
      <w:pPr>
        <w:jc w:val="center"/>
        <w:ind w:right="-899"/>
        <w:spacing w:after="0"/>
        <w:rPr>
          <w:sz w:val="20"/>
          <w:szCs w:val="20"/>
          <w:color w:val="auto"/>
        </w:rPr>
      </w:pPr>
      <w:r>
        <w:rPr>
          <w:rFonts w:ascii="Arial" w:cs="Arial" w:eastAsia="Arial" w:hAnsi="Arial"/>
          <w:sz w:val="18"/>
          <w:szCs w:val="18"/>
          <w:b w:val="1"/>
          <w:bCs w:val="1"/>
          <w:color w:val="auto"/>
        </w:rPr>
        <w:t>INDEX TO FORM 10-Q</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11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940" w:type="dxa"/>
            <w:vAlign w:val="bottom"/>
            <w:gridSpan w:val="3"/>
          </w:tcPr>
          <w:p>
            <w:pPr>
              <w:jc w:val="right"/>
              <w:spacing w:after="0"/>
              <w:rPr>
                <w:sz w:val="20"/>
                <w:szCs w:val="20"/>
                <w:color w:val="auto"/>
              </w:rPr>
            </w:pPr>
            <w:r>
              <w:rPr>
                <w:rFonts w:ascii="Arial" w:cs="Arial" w:eastAsia="Arial" w:hAnsi="Arial"/>
                <w:sz w:val="14"/>
                <w:szCs w:val="14"/>
                <w:b w:val="1"/>
                <w:bCs w:val="1"/>
                <w:color w:val="auto"/>
              </w:rPr>
              <w:t>Page</w:t>
            </w:r>
          </w:p>
        </w:tc>
      </w:tr>
      <w:tr>
        <w:trPr>
          <w:trHeight w:val="336"/>
        </w:trPr>
        <w:tc>
          <w:tcPr>
            <w:tcW w:w="1140" w:type="dxa"/>
            <w:vAlign w:val="bottom"/>
          </w:tcPr>
          <w:p>
            <w:pPr>
              <w:spacing w:after="0"/>
              <w:rPr>
                <w:sz w:val="20"/>
                <w:szCs w:val="20"/>
                <w:color w:val="auto"/>
              </w:rPr>
            </w:pPr>
            <w:r>
              <w:rPr>
                <w:rFonts w:ascii="Arial" w:cs="Arial" w:eastAsia="Arial" w:hAnsi="Arial"/>
                <w:sz w:val="18"/>
                <w:szCs w:val="18"/>
                <w:b w:val="1"/>
                <w:bCs w:val="1"/>
                <w:color w:val="auto"/>
              </w:rPr>
              <w:t>PART I.</w:t>
            </w:r>
          </w:p>
        </w:tc>
        <w:tc>
          <w:tcPr>
            <w:tcW w:w="2400" w:type="dxa"/>
            <w:vAlign w:val="bottom"/>
            <w:tcBorders>
              <w:bottom w:val="single" w:sz="8" w:color="0000EE"/>
            </w:tcBorders>
            <w:gridSpan w:val="9"/>
          </w:tcPr>
          <w:p>
            <w:pPr>
              <w:spacing w:after="0"/>
              <w:rPr>
                <w:rFonts w:ascii="Arial" w:cs="Arial" w:eastAsia="Arial" w:hAnsi="Arial"/>
                <w:sz w:val="18"/>
                <w:szCs w:val="18"/>
                <w:b w:val="1"/>
                <w:bCs w:val="1"/>
                <w:color w:val="0000EE"/>
              </w:rPr>
            </w:pPr>
            <w:hyperlink w:anchor="page3">
              <w:r>
                <w:rPr>
                  <w:rFonts w:ascii="Arial" w:cs="Arial" w:eastAsia="Arial" w:hAnsi="Arial"/>
                  <w:sz w:val="18"/>
                  <w:szCs w:val="18"/>
                  <w:b w:val="1"/>
                  <w:bCs w:val="1"/>
                  <w:color w:val="0000EE"/>
                </w:rPr>
                <w:t>FINANCIAL INFORMATION</w:t>
              </w:r>
            </w:hyperlink>
          </w:p>
        </w:tc>
        <w:tc>
          <w:tcPr>
            <w:tcW w:w="5960" w:type="dxa"/>
            <w:vAlign w:val="bottom"/>
            <w:gridSpan w:val="11"/>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372"/>
        </w:trPr>
        <w:tc>
          <w:tcPr>
            <w:tcW w:w="1140" w:type="dxa"/>
            <w:vAlign w:val="bottom"/>
          </w:tcPr>
          <w:p>
            <w:pPr>
              <w:spacing w:after="0"/>
              <w:rPr>
                <w:sz w:val="20"/>
                <w:szCs w:val="20"/>
                <w:color w:val="auto"/>
              </w:rPr>
            </w:pPr>
            <w:r>
              <w:rPr>
                <w:rFonts w:ascii="Arial" w:cs="Arial" w:eastAsia="Arial" w:hAnsi="Arial"/>
                <w:sz w:val="18"/>
                <w:szCs w:val="18"/>
                <w:color w:val="auto"/>
              </w:rPr>
              <w:t>Item 1.</w:t>
            </w:r>
          </w:p>
        </w:tc>
        <w:tc>
          <w:tcPr>
            <w:tcW w:w="2440" w:type="dxa"/>
            <w:vAlign w:val="bottom"/>
            <w:tcBorders>
              <w:bottom w:val="single" w:sz="8" w:color="0000EE"/>
            </w:tcBorders>
            <w:gridSpan w:val="11"/>
          </w:tcPr>
          <w:p>
            <w:pPr>
              <w:spacing w:after="0"/>
              <w:rPr>
                <w:rFonts w:ascii="Arial" w:cs="Arial" w:eastAsia="Arial" w:hAnsi="Arial"/>
                <w:sz w:val="18"/>
                <w:szCs w:val="18"/>
                <w:color w:val="0000EE"/>
                <w:w w:val="89"/>
              </w:rPr>
            </w:pPr>
            <w:hyperlink w:anchor="page3">
              <w:r>
                <w:rPr>
                  <w:rFonts w:ascii="Arial" w:cs="Arial" w:eastAsia="Arial" w:hAnsi="Arial"/>
                  <w:sz w:val="18"/>
                  <w:szCs w:val="18"/>
                  <w:color w:val="0000EE"/>
                  <w:w w:val="89"/>
                </w:rPr>
                <w:t>Financial Statements (unaudited):</w:t>
              </w:r>
            </w:hyperlink>
          </w:p>
        </w:tc>
        <w:tc>
          <w:tcPr>
            <w:tcW w:w="5920" w:type="dxa"/>
            <w:vAlign w:val="bottom"/>
            <w:gridSpan w:val="9"/>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372"/>
        </w:trPr>
        <w:tc>
          <w:tcPr>
            <w:tcW w:w="1140" w:type="dxa"/>
            <w:vAlign w:val="bottom"/>
          </w:tcPr>
          <w:p>
            <w:pPr>
              <w:spacing w:after="0"/>
              <w:rPr>
                <w:sz w:val="24"/>
                <w:szCs w:val="24"/>
                <w:color w:val="auto"/>
              </w:rPr>
            </w:pPr>
          </w:p>
        </w:tc>
        <w:tc>
          <w:tcPr>
            <w:tcW w:w="6060" w:type="dxa"/>
            <w:vAlign w:val="bottom"/>
            <w:gridSpan w:val="15"/>
          </w:tcPr>
          <w:p>
            <w:pPr>
              <w:spacing w:after="0"/>
              <w:rPr>
                <w:rFonts w:ascii="Arial" w:cs="Arial" w:eastAsia="Arial" w:hAnsi="Arial"/>
                <w:sz w:val="18"/>
                <w:szCs w:val="18"/>
                <w:color w:val="0000EE"/>
                <w:w w:val="88"/>
              </w:rPr>
            </w:pPr>
            <w:hyperlink w:anchor="page3">
              <w:r>
                <w:rPr>
                  <w:rFonts w:ascii="Arial" w:cs="Arial" w:eastAsia="Arial" w:hAnsi="Arial"/>
                  <w:sz w:val="18"/>
                  <w:szCs w:val="18"/>
                  <w:color w:val="0000EE"/>
                  <w:w w:val="88"/>
                </w:rPr>
                <w:t>Condensed Consolidated Balance Sheets – September 29, 2019 and March 31, 2019</w:t>
              </w:r>
            </w:hyperlink>
          </w:p>
        </w:tc>
        <w:tc>
          <w:tcPr>
            <w:tcW w:w="2300" w:type="dxa"/>
            <w:vAlign w:val="bottom"/>
            <w:gridSpan w:val="5"/>
          </w:tcPr>
          <w:p>
            <w:pPr>
              <w:spacing w:after="0"/>
              <w:rPr>
                <w:sz w:val="24"/>
                <w:szCs w:val="24"/>
                <w:color w:val="auto"/>
              </w:rPr>
            </w:pPr>
          </w:p>
        </w:tc>
        <w:tc>
          <w:tcPr>
            <w:tcW w:w="940" w:type="dxa"/>
            <w:vAlign w:val="bottom"/>
            <w:gridSpan w:val="3"/>
          </w:tcPr>
          <w:p>
            <w:pPr>
              <w:jc w:val="right"/>
              <w:spacing w:after="0"/>
              <w:rPr>
                <w:rFonts w:ascii="Arial" w:cs="Arial" w:eastAsia="Arial" w:hAnsi="Arial"/>
                <w:sz w:val="18"/>
                <w:szCs w:val="18"/>
                <w:color w:val="0000EE"/>
              </w:rPr>
            </w:pPr>
            <w:hyperlink w:anchor="page3">
              <w:r>
                <w:rPr>
                  <w:rFonts w:ascii="Arial" w:cs="Arial" w:eastAsia="Arial" w:hAnsi="Arial"/>
                  <w:sz w:val="18"/>
                  <w:szCs w:val="18"/>
                  <w:color w:val="0000EE"/>
                </w:rPr>
                <w:t>1</w:t>
              </w:r>
            </w:hyperlink>
          </w:p>
        </w:tc>
      </w:tr>
      <w:tr>
        <w:trPr>
          <w:trHeight w:val="20"/>
        </w:trPr>
        <w:tc>
          <w:tcPr>
            <w:tcW w:w="114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1580" w:type="dxa"/>
            <w:vAlign w:val="bottom"/>
            <w:gridSpan w:val="2"/>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700" w:type="dxa"/>
            <w:vAlign w:val="bottom"/>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372"/>
        </w:trPr>
        <w:tc>
          <w:tcPr>
            <w:tcW w:w="1140" w:type="dxa"/>
            <w:vAlign w:val="bottom"/>
          </w:tcPr>
          <w:p>
            <w:pPr>
              <w:spacing w:after="0"/>
              <w:rPr>
                <w:sz w:val="24"/>
                <w:szCs w:val="24"/>
                <w:color w:val="auto"/>
              </w:rPr>
            </w:pPr>
          </w:p>
        </w:tc>
        <w:tc>
          <w:tcPr>
            <w:tcW w:w="7500" w:type="dxa"/>
            <w:vAlign w:val="bottom"/>
            <w:gridSpan w:val="18"/>
          </w:tcPr>
          <w:p>
            <w:pPr>
              <w:spacing w:after="0"/>
              <w:rPr>
                <w:rFonts w:ascii="Arial" w:cs="Arial" w:eastAsia="Arial" w:hAnsi="Arial"/>
                <w:sz w:val="18"/>
                <w:szCs w:val="18"/>
                <w:color w:val="0000EE"/>
                <w:w w:val="89"/>
              </w:rPr>
            </w:pPr>
            <w:hyperlink w:anchor="page4">
              <w:r>
                <w:rPr>
                  <w:rFonts w:ascii="Arial" w:cs="Arial" w:eastAsia="Arial" w:hAnsi="Arial"/>
                  <w:sz w:val="18"/>
                  <w:szCs w:val="18"/>
                  <w:color w:val="0000EE"/>
                  <w:w w:val="89"/>
                </w:rPr>
                <w:t>Condensed Consolidated Statements of Income – Three and Six Months Ended September 29, 2019 and</w:t>
              </w:r>
            </w:hyperlink>
          </w:p>
        </w:tc>
        <w:tc>
          <w:tcPr>
            <w:tcW w:w="860" w:type="dxa"/>
            <w:vAlign w:val="bottom"/>
            <w:gridSpan w:val="2"/>
          </w:tcPr>
          <w:p>
            <w:pPr>
              <w:spacing w:after="0"/>
              <w:rPr>
                <w:sz w:val="24"/>
                <w:szCs w:val="24"/>
                <w:color w:val="auto"/>
              </w:rPr>
            </w:pPr>
          </w:p>
        </w:tc>
        <w:tc>
          <w:tcPr>
            <w:tcW w:w="940" w:type="dxa"/>
            <w:vAlign w:val="bottom"/>
            <w:gridSpan w:val="3"/>
          </w:tcPr>
          <w:p>
            <w:pPr>
              <w:jc w:val="right"/>
              <w:spacing w:after="0"/>
              <w:rPr>
                <w:rFonts w:ascii="Arial" w:cs="Arial" w:eastAsia="Arial" w:hAnsi="Arial"/>
                <w:sz w:val="18"/>
                <w:szCs w:val="18"/>
                <w:color w:val="0000EE"/>
              </w:rPr>
            </w:pPr>
            <w:hyperlink w:anchor="page4">
              <w:r>
                <w:rPr>
                  <w:rFonts w:ascii="Arial" w:cs="Arial" w:eastAsia="Arial" w:hAnsi="Arial"/>
                  <w:sz w:val="18"/>
                  <w:szCs w:val="18"/>
                  <w:color w:val="0000EE"/>
                </w:rPr>
                <w:t>2</w:t>
              </w:r>
            </w:hyperlink>
          </w:p>
        </w:tc>
      </w:tr>
      <w:tr>
        <w:trPr>
          <w:trHeight w:val="196"/>
        </w:trPr>
        <w:tc>
          <w:tcPr>
            <w:tcW w:w="1140" w:type="dxa"/>
            <w:vAlign w:val="bottom"/>
          </w:tcPr>
          <w:p>
            <w:pPr>
              <w:spacing w:after="0"/>
              <w:rPr>
                <w:sz w:val="17"/>
                <w:szCs w:val="17"/>
                <w:color w:val="auto"/>
              </w:rPr>
            </w:pPr>
          </w:p>
        </w:tc>
        <w:tc>
          <w:tcPr>
            <w:tcW w:w="7500" w:type="dxa"/>
            <w:vAlign w:val="bottom"/>
            <w:tcBorders>
              <w:top w:val="single" w:sz="8" w:color="0000EE"/>
            </w:tcBorders>
            <w:gridSpan w:val="18"/>
          </w:tcPr>
          <w:p>
            <w:pPr>
              <w:spacing w:after="0" w:line="196" w:lineRule="exact"/>
              <w:rPr>
                <w:rFonts w:ascii="Arial" w:cs="Arial" w:eastAsia="Arial" w:hAnsi="Arial"/>
                <w:sz w:val="18"/>
                <w:szCs w:val="18"/>
                <w:color w:val="0000EE"/>
              </w:rPr>
            </w:pPr>
            <w:hyperlink w:anchor="page4">
              <w:r>
                <w:rPr>
                  <w:rFonts w:ascii="Arial" w:cs="Arial" w:eastAsia="Arial" w:hAnsi="Arial"/>
                  <w:sz w:val="18"/>
                  <w:szCs w:val="18"/>
                  <w:color w:val="0000EE"/>
                </w:rPr>
                <w:t>September 30, 2018</w:t>
              </w:r>
            </w:hyperlink>
          </w:p>
        </w:tc>
        <w:tc>
          <w:tcPr>
            <w:tcW w:w="860" w:type="dxa"/>
            <w:vAlign w:val="bottom"/>
            <w:gridSpan w:val="2"/>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r>
      <w:tr>
        <w:trPr>
          <w:trHeight w:val="20"/>
        </w:trPr>
        <w:tc>
          <w:tcPr>
            <w:tcW w:w="114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58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10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r>
      <w:tr>
        <w:trPr>
          <w:trHeight w:val="372"/>
        </w:trPr>
        <w:tc>
          <w:tcPr>
            <w:tcW w:w="1140" w:type="dxa"/>
            <w:vAlign w:val="bottom"/>
          </w:tcPr>
          <w:p>
            <w:pPr>
              <w:spacing w:after="0"/>
              <w:rPr>
                <w:sz w:val="24"/>
                <w:szCs w:val="24"/>
                <w:color w:val="auto"/>
              </w:rPr>
            </w:pPr>
          </w:p>
        </w:tc>
        <w:tc>
          <w:tcPr>
            <w:tcW w:w="7700" w:type="dxa"/>
            <w:vAlign w:val="bottom"/>
            <w:gridSpan w:val="19"/>
          </w:tcPr>
          <w:p>
            <w:pPr>
              <w:spacing w:after="0"/>
              <w:rPr>
                <w:rFonts w:ascii="Arial" w:cs="Arial" w:eastAsia="Arial" w:hAnsi="Arial"/>
                <w:sz w:val="18"/>
                <w:szCs w:val="18"/>
                <w:color w:val="0000EE"/>
                <w:w w:val="89"/>
              </w:rPr>
            </w:pPr>
            <w:hyperlink w:anchor="page5">
              <w:r>
                <w:rPr>
                  <w:rFonts w:ascii="Arial" w:cs="Arial" w:eastAsia="Arial" w:hAnsi="Arial"/>
                  <w:sz w:val="18"/>
                  <w:szCs w:val="18"/>
                  <w:color w:val="0000EE"/>
                  <w:w w:val="89"/>
                </w:rPr>
                <w:t>Condensed Consolidated Statements of Comprehensive Income – Three and Six Months Ended September</w:t>
              </w:r>
            </w:hyperlink>
          </w:p>
        </w:tc>
        <w:tc>
          <w:tcPr>
            <w:tcW w:w="660" w:type="dxa"/>
            <w:vAlign w:val="bottom"/>
          </w:tcPr>
          <w:p>
            <w:pPr>
              <w:spacing w:after="0"/>
              <w:rPr>
                <w:sz w:val="24"/>
                <w:szCs w:val="24"/>
                <w:color w:val="auto"/>
              </w:rPr>
            </w:pPr>
          </w:p>
        </w:tc>
        <w:tc>
          <w:tcPr>
            <w:tcW w:w="940" w:type="dxa"/>
            <w:vAlign w:val="bottom"/>
            <w:gridSpan w:val="3"/>
          </w:tcPr>
          <w:p>
            <w:pPr>
              <w:jc w:val="right"/>
              <w:spacing w:after="0"/>
              <w:rPr>
                <w:rFonts w:ascii="Arial" w:cs="Arial" w:eastAsia="Arial" w:hAnsi="Arial"/>
                <w:sz w:val="18"/>
                <w:szCs w:val="18"/>
                <w:color w:val="0000EE"/>
              </w:rPr>
            </w:pPr>
            <w:hyperlink w:anchor="page5">
              <w:r>
                <w:rPr>
                  <w:rFonts w:ascii="Arial" w:cs="Arial" w:eastAsia="Arial" w:hAnsi="Arial"/>
                  <w:sz w:val="18"/>
                  <w:szCs w:val="18"/>
                  <w:color w:val="0000EE"/>
                </w:rPr>
                <w:t>3</w:t>
              </w:r>
            </w:hyperlink>
          </w:p>
        </w:tc>
      </w:tr>
      <w:tr>
        <w:trPr>
          <w:trHeight w:val="196"/>
        </w:trPr>
        <w:tc>
          <w:tcPr>
            <w:tcW w:w="1140" w:type="dxa"/>
            <w:vAlign w:val="bottom"/>
          </w:tcPr>
          <w:p>
            <w:pPr>
              <w:spacing w:after="0"/>
              <w:rPr>
                <w:sz w:val="17"/>
                <w:szCs w:val="17"/>
                <w:color w:val="auto"/>
              </w:rPr>
            </w:pPr>
          </w:p>
        </w:tc>
        <w:tc>
          <w:tcPr>
            <w:tcW w:w="7700" w:type="dxa"/>
            <w:vAlign w:val="bottom"/>
            <w:tcBorders>
              <w:top w:val="single" w:sz="8" w:color="0000EE"/>
            </w:tcBorders>
            <w:gridSpan w:val="19"/>
          </w:tcPr>
          <w:p>
            <w:pPr>
              <w:spacing w:after="0" w:line="196" w:lineRule="exact"/>
              <w:rPr>
                <w:rFonts w:ascii="Arial" w:cs="Arial" w:eastAsia="Arial" w:hAnsi="Arial"/>
                <w:sz w:val="18"/>
                <w:szCs w:val="18"/>
                <w:color w:val="0000EE"/>
              </w:rPr>
            </w:pPr>
            <w:hyperlink w:anchor="page5">
              <w:r>
                <w:rPr>
                  <w:rFonts w:ascii="Arial" w:cs="Arial" w:eastAsia="Arial" w:hAnsi="Arial"/>
                  <w:sz w:val="18"/>
                  <w:szCs w:val="18"/>
                  <w:color w:val="0000EE"/>
                </w:rPr>
                <w:t>29, 2019 and September 30, 2018</w:t>
              </w:r>
            </w:hyperlink>
          </w:p>
        </w:tc>
        <w:tc>
          <w:tcPr>
            <w:tcW w:w="6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r>
      <w:tr>
        <w:trPr>
          <w:trHeight w:val="20"/>
        </w:trPr>
        <w:tc>
          <w:tcPr>
            <w:tcW w:w="114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158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10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r>
      <w:tr>
        <w:trPr>
          <w:trHeight w:val="372"/>
        </w:trPr>
        <w:tc>
          <w:tcPr>
            <w:tcW w:w="1140" w:type="dxa"/>
            <w:vAlign w:val="bottom"/>
          </w:tcPr>
          <w:p>
            <w:pPr>
              <w:spacing w:after="0"/>
              <w:rPr>
                <w:sz w:val="24"/>
                <w:szCs w:val="24"/>
                <w:color w:val="auto"/>
              </w:rPr>
            </w:pPr>
          </w:p>
        </w:tc>
        <w:tc>
          <w:tcPr>
            <w:tcW w:w="7500" w:type="dxa"/>
            <w:vAlign w:val="bottom"/>
            <w:gridSpan w:val="18"/>
          </w:tcPr>
          <w:p>
            <w:pPr>
              <w:spacing w:after="0"/>
              <w:rPr>
                <w:rFonts w:ascii="Arial" w:cs="Arial" w:eastAsia="Arial" w:hAnsi="Arial"/>
                <w:sz w:val="18"/>
                <w:szCs w:val="18"/>
                <w:color w:val="0000EE"/>
                <w:w w:val="89"/>
              </w:rPr>
            </w:pPr>
            <w:hyperlink w:anchor="page6">
              <w:r>
                <w:rPr>
                  <w:rFonts w:ascii="Arial" w:cs="Arial" w:eastAsia="Arial" w:hAnsi="Arial"/>
                  <w:sz w:val="18"/>
                  <w:szCs w:val="18"/>
                  <w:color w:val="0000EE"/>
                  <w:w w:val="89"/>
                </w:rPr>
                <w:t>Condensed Consolidated Statements of Shareholder’s Equity – Three and Six Months Ended September</w:t>
              </w:r>
            </w:hyperlink>
          </w:p>
        </w:tc>
        <w:tc>
          <w:tcPr>
            <w:tcW w:w="860" w:type="dxa"/>
            <w:vAlign w:val="bottom"/>
            <w:gridSpan w:val="2"/>
          </w:tcPr>
          <w:p>
            <w:pPr>
              <w:spacing w:after="0"/>
              <w:rPr>
                <w:sz w:val="24"/>
                <w:szCs w:val="24"/>
                <w:color w:val="auto"/>
              </w:rPr>
            </w:pPr>
          </w:p>
        </w:tc>
        <w:tc>
          <w:tcPr>
            <w:tcW w:w="940" w:type="dxa"/>
            <w:vAlign w:val="bottom"/>
            <w:gridSpan w:val="3"/>
          </w:tcPr>
          <w:p>
            <w:pPr>
              <w:jc w:val="right"/>
              <w:spacing w:after="0"/>
              <w:rPr>
                <w:rFonts w:ascii="Arial" w:cs="Arial" w:eastAsia="Arial" w:hAnsi="Arial"/>
                <w:sz w:val="18"/>
                <w:szCs w:val="18"/>
                <w:color w:val="0000EE"/>
              </w:rPr>
            </w:pPr>
            <w:hyperlink w:anchor="page6">
              <w:r>
                <w:rPr>
                  <w:rFonts w:ascii="Arial" w:cs="Arial" w:eastAsia="Arial" w:hAnsi="Arial"/>
                  <w:sz w:val="18"/>
                  <w:szCs w:val="18"/>
                  <w:color w:val="0000EE"/>
                </w:rPr>
                <w:t>4</w:t>
              </w:r>
            </w:hyperlink>
          </w:p>
        </w:tc>
      </w:tr>
      <w:tr>
        <w:trPr>
          <w:trHeight w:val="196"/>
        </w:trPr>
        <w:tc>
          <w:tcPr>
            <w:tcW w:w="1140" w:type="dxa"/>
            <w:vAlign w:val="bottom"/>
          </w:tcPr>
          <w:p>
            <w:pPr>
              <w:spacing w:after="0"/>
              <w:rPr>
                <w:sz w:val="17"/>
                <w:szCs w:val="17"/>
                <w:color w:val="auto"/>
              </w:rPr>
            </w:pPr>
          </w:p>
        </w:tc>
        <w:tc>
          <w:tcPr>
            <w:tcW w:w="7500" w:type="dxa"/>
            <w:vAlign w:val="bottom"/>
            <w:tcBorders>
              <w:top w:val="single" w:sz="8" w:color="0000EE"/>
            </w:tcBorders>
            <w:gridSpan w:val="18"/>
          </w:tcPr>
          <w:p>
            <w:pPr>
              <w:spacing w:after="0" w:line="196" w:lineRule="exact"/>
              <w:rPr>
                <w:rFonts w:ascii="Arial" w:cs="Arial" w:eastAsia="Arial" w:hAnsi="Arial"/>
                <w:sz w:val="18"/>
                <w:szCs w:val="18"/>
                <w:color w:val="0000EE"/>
              </w:rPr>
            </w:pPr>
            <w:hyperlink w:anchor="page6">
              <w:r>
                <w:rPr>
                  <w:rFonts w:ascii="Arial" w:cs="Arial" w:eastAsia="Arial" w:hAnsi="Arial"/>
                  <w:sz w:val="18"/>
                  <w:szCs w:val="18"/>
                  <w:color w:val="0000EE"/>
                </w:rPr>
                <w:t>29, 2019 and September 30, 2018</w:t>
              </w:r>
            </w:hyperlink>
          </w:p>
        </w:tc>
        <w:tc>
          <w:tcPr>
            <w:tcW w:w="860" w:type="dxa"/>
            <w:vAlign w:val="bottom"/>
            <w:gridSpan w:val="2"/>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r>
      <w:tr>
        <w:trPr>
          <w:trHeight w:val="20"/>
        </w:trPr>
        <w:tc>
          <w:tcPr>
            <w:tcW w:w="114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158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10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320" w:type="dxa"/>
            <w:vAlign w:val="bottom"/>
            <w:gridSpan w:val="3"/>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r>
      <w:tr>
        <w:trPr>
          <w:trHeight w:val="372"/>
        </w:trPr>
        <w:tc>
          <w:tcPr>
            <w:tcW w:w="1140" w:type="dxa"/>
            <w:vAlign w:val="bottom"/>
          </w:tcPr>
          <w:p>
            <w:pPr>
              <w:spacing w:after="0"/>
              <w:rPr>
                <w:sz w:val="24"/>
                <w:szCs w:val="24"/>
                <w:color w:val="auto"/>
              </w:rPr>
            </w:pPr>
          </w:p>
        </w:tc>
        <w:tc>
          <w:tcPr>
            <w:tcW w:w="7040" w:type="dxa"/>
            <w:vAlign w:val="bottom"/>
            <w:gridSpan w:val="17"/>
          </w:tcPr>
          <w:p>
            <w:pPr>
              <w:spacing w:after="0"/>
              <w:rPr>
                <w:rFonts w:ascii="Arial" w:cs="Arial" w:eastAsia="Arial" w:hAnsi="Arial"/>
                <w:sz w:val="18"/>
                <w:szCs w:val="18"/>
                <w:color w:val="0000EE"/>
                <w:w w:val="89"/>
              </w:rPr>
            </w:pPr>
            <w:hyperlink w:anchor="page7">
              <w:r>
                <w:rPr>
                  <w:rFonts w:ascii="Arial" w:cs="Arial" w:eastAsia="Arial" w:hAnsi="Arial"/>
                  <w:sz w:val="18"/>
                  <w:szCs w:val="18"/>
                  <w:color w:val="0000EE"/>
                  <w:w w:val="89"/>
                </w:rPr>
                <w:t>Condensed Consolidated Statements of Cash Flows – Six Months Ended September 29, 2019 and</w:t>
              </w:r>
            </w:hyperlink>
          </w:p>
        </w:tc>
        <w:tc>
          <w:tcPr>
            <w:tcW w:w="1320" w:type="dxa"/>
            <w:vAlign w:val="bottom"/>
            <w:gridSpan w:val="3"/>
          </w:tcPr>
          <w:p>
            <w:pPr>
              <w:spacing w:after="0"/>
              <w:rPr>
                <w:sz w:val="24"/>
                <w:szCs w:val="24"/>
                <w:color w:val="auto"/>
              </w:rPr>
            </w:pPr>
          </w:p>
        </w:tc>
        <w:tc>
          <w:tcPr>
            <w:tcW w:w="940" w:type="dxa"/>
            <w:vAlign w:val="bottom"/>
            <w:gridSpan w:val="3"/>
          </w:tcPr>
          <w:p>
            <w:pPr>
              <w:jc w:val="right"/>
              <w:spacing w:after="0"/>
              <w:rPr>
                <w:rFonts w:ascii="Arial" w:cs="Arial" w:eastAsia="Arial" w:hAnsi="Arial"/>
                <w:sz w:val="18"/>
                <w:szCs w:val="18"/>
                <w:color w:val="0000EE"/>
              </w:rPr>
            </w:pPr>
            <w:hyperlink w:anchor="page7">
              <w:r>
                <w:rPr>
                  <w:rFonts w:ascii="Arial" w:cs="Arial" w:eastAsia="Arial" w:hAnsi="Arial"/>
                  <w:sz w:val="18"/>
                  <w:szCs w:val="18"/>
                  <w:color w:val="0000EE"/>
                </w:rPr>
                <w:t>5</w:t>
              </w:r>
            </w:hyperlink>
          </w:p>
        </w:tc>
      </w:tr>
      <w:tr>
        <w:trPr>
          <w:trHeight w:val="196"/>
        </w:trPr>
        <w:tc>
          <w:tcPr>
            <w:tcW w:w="1140" w:type="dxa"/>
            <w:vAlign w:val="bottom"/>
          </w:tcPr>
          <w:p>
            <w:pPr>
              <w:spacing w:after="0"/>
              <w:rPr>
                <w:sz w:val="17"/>
                <w:szCs w:val="17"/>
                <w:color w:val="auto"/>
              </w:rPr>
            </w:pPr>
          </w:p>
        </w:tc>
        <w:tc>
          <w:tcPr>
            <w:tcW w:w="7040" w:type="dxa"/>
            <w:vAlign w:val="bottom"/>
            <w:tcBorders>
              <w:top w:val="single" w:sz="8" w:color="0000EE"/>
            </w:tcBorders>
            <w:gridSpan w:val="17"/>
          </w:tcPr>
          <w:p>
            <w:pPr>
              <w:spacing w:after="0" w:line="196" w:lineRule="exact"/>
              <w:rPr>
                <w:rFonts w:ascii="Arial" w:cs="Arial" w:eastAsia="Arial" w:hAnsi="Arial"/>
                <w:sz w:val="18"/>
                <w:szCs w:val="18"/>
                <w:color w:val="0000EE"/>
              </w:rPr>
            </w:pPr>
            <w:hyperlink w:anchor="page7">
              <w:r>
                <w:rPr>
                  <w:rFonts w:ascii="Arial" w:cs="Arial" w:eastAsia="Arial" w:hAnsi="Arial"/>
                  <w:sz w:val="18"/>
                  <w:szCs w:val="18"/>
                  <w:color w:val="0000EE"/>
                </w:rPr>
                <w:t>September 30, 2018</w:t>
              </w:r>
            </w:hyperlink>
          </w:p>
        </w:tc>
        <w:tc>
          <w:tcPr>
            <w:tcW w:w="1320" w:type="dxa"/>
            <w:vAlign w:val="bottom"/>
            <w:gridSpan w:val="3"/>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r>
      <w:tr>
        <w:trPr>
          <w:trHeight w:val="20"/>
        </w:trPr>
        <w:tc>
          <w:tcPr>
            <w:tcW w:w="114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80" w:type="dxa"/>
            <w:vAlign w:val="bottom"/>
            <w:gridSpan w:val="4"/>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100" w:type="dxa"/>
            <w:vAlign w:val="bottom"/>
            <w:gridSpan w:val="2"/>
          </w:tcPr>
          <w:p>
            <w:pPr>
              <w:spacing w:after="0" w:line="20" w:lineRule="exact"/>
              <w:rPr>
                <w:sz w:val="1"/>
                <w:szCs w:val="1"/>
                <w:color w:val="auto"/>
              </w:rPr>
            </w:pPr>
          </w:p>
        </w:tc>
        <w:tc>
          <w:tcPr>
            <w:tcW w:w="1900" w:type="dxa"/>
            <w:vAlign w:val="bottom"/>
            <w:gridSpan w:val="4"/>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r>
      <w:tr>
        <w:trPr>
          <w:trHeight w:val="372"/>
        </w:trPr>
        <w:tc>
          <w:tcPr>
            <w:tcW w:w="1140" w:type="dxa"/>
            <w:vAlign w:val="bottom"/>
          </w:tcPr>
          <w:p>
            <w:pPr>
              <w:spacing w:after="0"/>
              <w:rPr>
                <w:sz w:val="24"/>
                <w:szCs w:val="24"/>
                <w:color w:val="auto"/>
              </w:rPr>
            </w:pPr>
          </w:p>
        </w:tc>
        <w:tc>
          <w:tcPr>
            <w:tcW w:w="4000" w:type="dxa"/>
            <w:vAlign w:val="bottom"/>
            <w:gridSpan w:val="12"/>
          </w:tcPr>
          <w:p>
            <w:pPr>
              <w:spacing w:after="0"/>
              <w:rPr>
                <w:rFonts w:ascii="Arial" w:cs="Arial" w:eastAsia="Arial" w:hAnsi="Arial"/>
                <w:sz w:val="18"/>
                <w:szCs w:val="18"/>
                <w:color w:val="0000EE"/>
                <w:w w:val="88"/>
              </w:rPr>
            </w:pPr>
            <w:hyperlink w:anchor="page8">
              <w:r>
                <w:rPr>
                  <w:rFonts w:ascii="Arial" w:cs="Arial" w:eastAsia="Arial" w:hAnsi="Arial"/>
                  <w:sz w:val="18"/>
                  <w:szCs w:val="18"/>
                  <w:color w:val="0000EE"/>
                  <w:w w:val="88"/>
                </w:rPr>
                <w:t>Notes to Condensed Consolidated Financial Statements</w:t>
              </w:r>
            </w:hyperlink>
          </w:p>
        </w:tc>
        <w:tc>
          <w:tcPr>
            <w:tcW w:w="4360" w:type="dxa"/>
            <w:vAlign w:val="bottom"/>
            <w:gridSpan w:val="8"/>
          </w:tcPr>
          <w:p>
            <w:pPr>
              <w:spacing w:after="0"/>
              <w:rPr>
                <w:sz w:val="24"/>
                <w:szCs w:val="24"/>
                <w:color w:val="auto"/>
              </w:rPr>
            </w:pPr>
          </w:p>
        </w:tc>
        <w:tc>
          <w:tcPr>
            <w:tcW w:w="940" w:type="dxa"/>
            <w:vAlign w:val="bottom"/>
            <w:gridSpan w:val="3"/>
          </w:tcPr>
          <w:p>
            <w:pPr>
              <w:jc w:val="right"/>
              <w:spacing w:after="0"/>
              <w:rPr>
                <w:rFonts w:ascii="Arial" w:cs="Arial" w:eastAsia="Arial" w:hAnsi="Arial"/>
                <w:sz w:val="18"/>
                <w:szCs w:val="18"/>
                <w:color w:val="0000EE"/>
              </w:rPr>
            </w:pPr>
            <w:hyperlink w:anchor="page8">
              <w:r>
                <w:rPr>
                  <w:rFonts w:ascii="Arial" w:cs="Arial" w:eastAsia="Arial" w:hAnsi="Arial"/>
                  <w:sz w:val="18"/>
                  <w:szCs w:val="18"/>
                  <w:color w:val="0000EE"/>
                </w:rPr>
                <w:t>6</w:t>
              </w:r>
            </w:hyperlink>
          </w:p>
        </w:tc>
      </w:tr>
      <w:tr>
        <w:trPr>
          <w:trHeight w:val="20"/>
        </w:trPr>
        <w:tc>
          <w:tcPr>
            <w:tcW w:w="114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680" w:type="dxa"/>
            <w:vAlign w:val="bottom"/>
            <w:gridSpan w:val="4"/>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100" w:type="dxa"/>
            <w:vAlign w:val="bottom"/>
            <w:gridSpan w:val="2"/>
          </w:tcPr>
          <w:p>
            <w:pPr>
              <w:spacing w:after="0" w:line="20" w:lineRule="exact"/>
              <w:rPr>
                <w:sz w:val="1"/>
                <w:szCs w:val="1"/>
                <w:color w:val="auto"/>
              </w:rPr>
            </w:pPr>
          </w:p>
        </w:tc>
        <w:tc>
          <w:tcPr>
            <w:tcW w:w="1900" w:type="dxa"/>
            <w:vAlign w:val="bottom"/>
            <w:gridSpan w:val="4"/>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372"/>
        </w:trPr>
        <w:tc>
          <w:tcPr>
            <w:tcW w:w="1140" w:type="dxa"/>
            <w:vAlign w:val="bottom"/>
          </w:tcPr>
          <w:p>
            <w:pPr>
              <w:spacing w:after="0"/>
              <w:rPr>
                <w:sz w:val="20"/>
                <w:szCs w:val="20"/>
                <w:color w:val="auto"/>
              </w:rPr>
            </w:pPr>
            <w:r>
              <w:rPr>
                <w:rFonts w:ascii="Arial" w:cs="Arial" w:eastAsia="Arial" w:hAnsi="Arial"/>
                <w:sz w:val="18"/>
                <w:szCs w:val="18"/>
                <w:color w:val="auto"/>
              </w:rPr>
              <w:t>Item 2.</w:t>
            </w:r>
          </w:p>
        </w:tc>
        <w:tc>
          <w:tcPr>
            <w:tcW w:w="8360" w:type="dxa"/>
            <w:vAlign w:val="bottom"/>
            <w:gridSpan w:val="20"/>
          </w:tcPr>
          <w:p>
            <w:pPr>
              <w:spacing w:after="0"/>
              <w:rPr>
                <w:rFonts w:ascii="Arial" w:cs="Arial" w:eastAsia="Arial" w:hAnsi="Arial"/>
                <w:sz w:val="18"/>
                <w:szCs w:val="18"/>
                <w:color w:val="0000EE"/>
              </w:rPr>
            </w:pPr>
            <w:hyperlink w:anchor="page17">
              <w:r>
                <w:rPr>
                  <w:rFonts w:ascii="Arial" w:cs="Arial" w:eastAsia="Arial" w:hAnsi="Arial"/>
                  <w:sz w:val="18"/>
                  <w:szCs w:val="18"/>
                  <w:color w:val="0000EE"/>
                </w:rPr>
                <w:t>Management’s Discussion and Analysis of Financial Condition and Results of Operations</w:t>
              </w:r>
            </w:hyperlink>
          </w:p>
        </w:tc>
        <w:tc>
          <w:tcPr>
            <w:tcW w:w="940" w:type="dxa"/>
            <w:vAlign w:val="bottom"/>
            <w:gridSpan w:val="3"/>
          </w:tcPr>
          <w:p>
            <w:pPr>
              <w:jc w:val="right"/>
              <w:spacing w:after="0"/>
              <w:rPr>
                <w:rFonts w:ascii="Arial" w:cs="Arial" w:eastAsia="Arial" w:hAnsi="Arial"/>
                <w:sz w:val="18"/>
                <w:szCs w:val="18"/>
                <w:color w:val="0000EE"/>
              </w:rPr>
            </w:pPr>
            <w:hyperlink w:anchor="page17">
              <w:r>
                <w:rPr>
                  <w:rFonts w:ascii="Arial" w:cs="Arial" w:eastAsia="Arial" w:hAnsi="Arial"/>
                  <w:sz w:val="18"/>
                  <w:szCs w:val="18"/>
                  <w:color w:val="0000EE"/>
                </w:rPr>
                <w:t>15</w:t>
              </w:r>
            </w:hyperlink>
          </w:p>
        </w:tc>
      </w:tr>
      <w:tr>
        <w:trPr>
          <w:trHeight w:val="372"/>
        </w:trPr>
        <w:tc>
          <w:tcPr>
            <w:tcW w:w="1140" w:type="dxa"/>
            <w:vAlign w:val="bottom"/>
          </w:tcPr>
          <w:p>
            <w:pPr>
              <w:spacing w:after="0"/>
              <w:rPr>
                <w:sz w:val="20"/>
                <w:szCs w:val="20"/>
                <w:color w:val="auto"/>
              </w:rPr>
            </w:pPr>
            <w:r>
              <w:rPr>
                <w:rFonts w:ascii="Arial" w:cs="Arial" w:eastAsia="Arial" w:hAnsi="Arial"/>
                <w:sz w:val="18"/>
                <w:szCs w:val="18"/>
                <w:color w:val="auto"/>
              </w:rPr>
              <w:t>Item 3.</w:t>
            </w:r>
          </w:p>
        </w:tc>
        <w:tc>
          <w:tcPr>
            <w:tcW w:w="4320" w:type="dxa"/>
            <w:vAlign w:val="bottom"/>
            <w:tcBorders>
              <w:top w:val="single" w:sz="8" w:color="0000EE"/>
              <w:bottom w:val="single" w:sz="8" w:color="0000EE"/>
            </w:tcBorders>
            <w:gridSpan w:val="13"/>
          </w:tcPr>
          <w:p>
            <w:pPr>
              <w:spacing w:after="0"/>
              <w:rPr>
                <w:rFonts w:ascii="Arial" w:cs="Arial" w:eastAsia="Arial" w:hAnsi="Arial"/>
                <w:sz w:val="18"/>
                <w:szCs w:val="18"/>
                <w:color w:val="0000EE"/>
                <w:w w:val="91"/>
              </w:rPr>
            </w:pPr>
            <w:hyperlink w:anchor="page22">
              <w:r>
                <w:rPr>
                  <w:rFonts w:ascii="Arial" w:cs="Arial" w:eastAsia="Arial" w:hAnsi="Arial"/>
                  <w:sz w:val="18"/>
                  <w:szCs w:val="18"/>
                  <w:color w:val="0000EE"/>
                  <w:w w:val="91"/>
                </w:rPr>
                <w:t>Quantitative and Qualitative Disclosures about Market Risk</w:t>
              </w:r>
            </w:hyperlink>
          </w:p>
        </w:tc>
        <w:tc>
          <w:tcPr>
            <w:tcW w:w="2140" w:type="dxa"/>
            <w:vAlign w:val="bottom"/>
            <w:tcBorders>
              <w:top w:val="single" w:sz="8" w:color="0000EE"/>
            </w:tcBorders>
            <w:gridSpan w:val="3"/>
          </w:tcPr>
          <w:p>
            <w:pPr>
              <w:spacing w:after="0"/>
              <w:rPr>
                <w:sz w:val="24"/>
                <w:szCs w:val="24"/>
                <w:color w:val="auto"/>
              </w:rPr>
            </w:pPr>
          </w:p>
        </w:tc>
        <w:tc>
          <w:tcPr>
            <w:tcW w:w="1900" w:type="dxa"/>
            <w:vAlign w:val="bottom"/>
            <w:gridSpan w:val="4"/>
          </w:tcPr>
          <w:p>
            <w:pPr>
              <w:spacing w:after="0"/>
              <w:rPr>
                <w:sz w:val="24"/>
                <w:szCs w:val="24"/>
                <w:color w:val="auto"/>
              </w:rPr>
            </w:pPr>
          </w:p>
        </w:tc>
        <w:tc>
          <w:tcPr>
            <w:tcW w:w="760" w:type="dxa"/>
            <w:vAlign w:val="bottom"/>
          </w:tcPr>
          <w:p>
            <w:pPr>
              <w:spacing w:after="0"/>
              <w:rPr>
                <w:sz w:val="24"/>
                <w:szCs w:val="24"/>
                <w:color w:val="auto"/>
              </w:rPr>
            </w:pPr>
          </w:p>
        </w:tc>
        <w:tc>
          <w:tcPr>
            <w:tcW w:w="180" w:type="dxa"/>
            <w:vAlign w:val="bottom"/>
            <w:tcBorders>
              <w:top w:val="single" w:sz="8" w:color="0000EE"/>
              <w:bottom w:val="single" w:sz="8" w:color="0000EE"/>
            </w:tcBorders>
            <w:gridSpan w:val="2"/>
          </w:tcPr>
          <w:p>
            <w:pPr>
              <w:jc w:val="right"/>
              <w:spacing w:after="0"/>
              <w:rPr>
                <w:rFonts w:ascii="Arial" w:cs="Arial" w:eastAsia="Arial" w:hAnsi="Arial"/>
                <w:sz w:val="18"/>
                <w:szCs w:val="18"/>
                <w:color w:val="0000EE"/>
                <w:w w:val="79"/>
              </w:rPr>
            </w:pPr>
            <w:hyperlink w:anchor="page22">
              <w:r>
                <w:rPr>
                  <w:rFonts w:ascii="Arial" w:cs="Arial" w:eastAsia="Arial" w:hAnsi="Arial"/>
                  <w:sz w:val="18"/>
                  <w:szCs w:val="18"/>
                  <w:color w:val="0000EE"/>
                  <w:w w:val="79"/>
                </w:rPr>
                <w:t>20</w:t>
              </w:r>
            </w:hyperlink>
          </w:p>
        </w:tc>
      </w:tr>
      <w:tr>
        <w:trPr>
          <w:trHeight w:val="372"/>
        </w:trPr>
        <w:tc>
          <w:tcPr>
            <w:tcW w:w="1140" w:type="dxa"/>
            <w:vAlign w:val="bottom"/>
          </w:tcPr>
          <w:p>
            <w:pPr>
              <w:spacing w:after="0"/>
              <w:rPr>
                <w:sz w:val="20"/>
                <w:szCs w:val="20"/>
                <w:color w:val="auto"/>
              </w:rPr>
            </w:pPr>
            <w:r>
              <w:rPr>
                <w:rFonts w:ascii="Arial" w:cs="Arial" w:eastAsia="Arial" w:hAnsi="Arial"/>
                <w:sz w:val="18"/>
                <w:szCs w:val="18"/>
                <w:color w:val="auto"/>
              </w:rPr>
              <w:t>Item 4.</w:t>
            </w:r>
          </w:p>
        </w:tc>
        <w:tc>
          <w:tcPr>
            <w:tcW w:w="1780" w:type="dxa"/>
            <w:vAlign w:val="bottom"/>
            <w:tcBorders>
              <w:bottom w:val="single" w:sz="8" w:color="0000EE"/>
            </w:tcBorders>
            <w:gridSpan w:val="6"/>
          </w:tcPr>
          <w:p>
            <w:pPr>
              <w:spacing w:after="0"/>
              <w:rPr>
                <w:rFonts w:ascii="Arial" w:cs="Arial" w:eastAsia="Arial" w:hAnsi="Arial"/>
                <w:sz w:val="18"/>
                <w:szCs w:val="18"/>
                <w:color w:val="0000EE"/>
                <w:w w:val="88"/>
              </w:rPr>
            </w:pPr>
            <w:hyperlink w:anchor="page22">
              <w:r>
                <w:rPr>
                  <w:rFonts w:ascii="Arial" w:cs="Arial" w:eastAsia="Arial" w:hAnsi="Arial"/>
                  <w:sz w:val="18"/>
                  <w:szCs w:val="18"/>
                  <w:color w:val="0000EE"/>
                  <w:w w:val="88"/>
                </w:rPr>
                <w:t>Controls and Procedures</w:t>
              </w:r>
            </w:hyperlink>
          </w:p>
        </w:tc>
        <w:tc>
          <w:tcPr>
            <w:tcW w:w="6580" w:type="dxa"/>
            <w:vAlign w:val="bottom"/>
            <w:gridSpan w:val="14"/>
          </w:tcPr>
          <w:p>
            <w:pPr>
              <w:spacing w:after="0"/>
              <w:rPr>
                <w:sz w:val="24"/>
                <w:szCs w:val="24"/>
                <w:color w:val="auto"/>
              </w:rPr>
            </w:pPr>
          </w:p>
        </w:tc>
        <w:tc>
          <w:tcPr>
            <w:tcW w:w="760" w:type="dxa"/>
            <w:vAlign w:val="bottom"/>
          </w:tcPr>
          <w:p>
            <w:pPr>
              <w:spacing w:after="0"/>
              <w:rPr>
                <w:sz w:val="24"/>
                <w:szCs w:val="24"/>
                <w:color w:val="auto"/>
              </w:rPr>
            </w:pPr>
          </w:p>
        </w:tc>
        <w:tc>
          <w:tcPr>
            <w:tcW w:w="180" w:type="dxa"/>
            <w:vAlign w:val="bottom"/>
            <w:tcBorders>
              <w:bottom w:val="single" w:sz="8" w:color="0000EE"/>
            </w:tcBorders>
            <w:gridSpan w:val="2"/>
          </w:tcPr>
          <w:p>
            <w:pPr>
              <w:jc w:val="right"/>
              <w:spacing w:after="0"/>
              <w:rPr>
                <w:rFonts w:ascii="Arial" w:cs="Arial" w:eastAsia="Arial" w:hAnsi="Arial"/>
                <w:sz w:val="18"/>
                <w:szCs w:val="18"/>
                <w:color w:val="0000EE"/>
                <w:w w:val="79"/>
              </w:rPr>
            </w:pPr>
            <w:hyperlink w:anchor="page22">
              <w:r>
                <w:rPr>
                  <w:rFonts w:ascii="Arial" w:cs="Arial" w:eastAsia="Arial" w:hAnsi="Arial"/>
                  <w:sz w:val="18"/>
                  <w:szCs w:val="18"/>
                  <w:color w:val="0000EE"/>
                  <w:w w:val="79"/>
                </w:rPr>
                <w:t>20</w:t>
              </w:r>
            </w:hyperlink>
          </w:p>
        </w:tc>
      </w:tr>
      <w:tr>
        <w:trPr>
          <w:trHeight w:val="372"/>
        </w:trPr>
        <w:tc>
          <w:tcPr>
            <w:tcW w:w="1140" w:type="dxa"/>
            <w:vAlign w:val="bottom"/>
          </w:tcPr>
          <w:p>
            <w:pPr>
              <w:spacing w:after="0"/>
              <w:rPr>
                <w:sz w:val="20"/>
                <w:szCs w:val="20"/>
                <w:color w:val="auto"/>
              </w:rPr>
            </w:pPr>
            <w:r>
              <w:rPr>
                <w:rFonts w:ascii="Arial" w:cs="Arial" w:eastAsia="Arial" w:hAnsi="Arial"/>
                <w:sz w:val="18"/>
                <w:szCs w:val="18"/>
                <w:b w:val="1"/>
                <w:bCs w:val="1"/>
                <w:color w:val="auto"/>
              </w:rPr>
              <w:t>PART II.</w:t>
            </w:r>
          </w:p>
        </w:tc>
        <w:tc>
          <w:tcPr>
            <w:tcW w:w="8360" w:type="dxa"/>
            <w:vAlign w:val="bottom"/>
            <w:gridSpan w:val="20"/>
          </w:tcPr>
          <w:p>
            <w:pPr>
              <w:spacing w:after="0"/>
              <w:rPr>
                <w:rFonts w:ascii="Arial" w:cs="Arial" w:eastAsia="Arial" w:hAnsi="Arial"/>
                <w:sz w:val="18"/>
                <w:szCs w:val="18"/>
                <w:b w:val="1"/>
                <w:bCs w:val="1"/>
                <w:color w:val="0000EE"/>
              </w:rPr>
            </w:pPr>
            <w:hyperlink w:anchor="page23">
              <w:r>
                <w:rPr>
                  <w:rFonts w:ascii="Arial" w:cs="Arial" w:eastAsia="Arial" w:hAnsi="Arial"/>
                  <w:sz w:val="18"/>
                  <w:szCs w:val="18"/>
                  <w:b w:val="1"/>
                  <w:bCs w:val="1"/>
                  <w:color w:val="0000EE"/>
                </w:rPr>
                <w:t>OTHER INFORMATION</w:t>
              </w:r>
            </w:hyperlink>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372"/>
        </w:trPr>
        <w:tc>
          <w:tcPr>
            <w:tcW w:w="1140" w:type="dxa"/>
            <w:vAlign w:val="bottom"/>
          </w:tcPr>
          <w:p>
            <w:pPr>
              <w:spacing w:after="0"/>
              <w:rPr>
                <w:sz w:val="20"/>
                <w:szCs w:val="20"/>
                <w:color w:val="auto"/>
              </w:rPr>
            </w:pPr>
            <w:r>
              <w:rPr>
                <w:rFonts w:ascii="Arial" w:cs="Arial" w:eastAsia="Arial" w:hAnsi="Arial"/>
                <w:sz w:val="18"/>
                <w:szCs w:val="18"/>
                <w:color w:val="auto"/>
              </w:rPr>
              <w:t>Item 1.</w:t>
            </w:r>
          </w:p>
        </w:tc>
        <w:tc>
          <w:tcPr>
            <w:tcW w:w="1340" w:type="dxa"/>
            <w:vAlign w:val="bottom"/>
            <w:tcBorders>
              <w:top w:val="single" w:sz="8" w:color="0000EE"/>
              <w:bottom w:val="single" w:sz="8" w:color="0000EE"/>
            </w:tcBorders>
            <w:gridSpan w:val="4"/>
          </w:tcPr>
          <w:p>
            <w:pPr>
              <w:spacing w:after="0"/>
              <w:rPr>
                <w:rFonts w:ascii="Arial" w:cs="Arial" w:eastAsia="Arial" w:hAnsi="Arial"/>
                <w:sz w:val="18"/>
                <w:szCs w:val="18"/>
                <w:color w:val="0000EE"/>
                <w:w w:val="88"/>
              </w:rPr>
            </w:pPr>
            <w:hyperlink w:anchor="page23">
              <w:r>
                <w:rPr>
                  <w:rFonts w:ascii="Arial" w:cs="Arial" w:eastAsia="Arial" w:hAnsi="Arial"/>
                  <w:sz w:val="18"/>
                  <w:szCs w:val="18"/>
                  <w:color w:val="0000EE"/>
                  <w:w w:val="88"/>
                </w:rPr>
                <w:t>Legal Proceedings</w:t>
              </w:r>
            </w:hyperlink>
          </w:p>
        </w:tc>
        <w:tc>
          <w:tcPr>
            <w:tcW w:w="680" w:type="dxa"/>
            <w:vAlign w:val="bottom"/>
            <w:tcBorders>
              <w:top w:val="single" w:sz="8" w:color="0000EE"/>
            </w:tcBorders>
            <w:gridSpan w:val="3"/>
          </w:tcPr>
          <w:p>
            <w:pPr>
              <w:spacing w:after="0"/>
              <w:rPr>
                <w:sz w:val="24"/>
                <w:szCs w:val="24"/>
                <w:color w:val="auto"/>
              </w:rPr>
            </w:pPr>
          </w:p>
        </w:tc>
        <w:tc>
          <w:tcPr>
            <w:tcW w:w="6340" w:type="dxa"/>
            <w:vAlign w:val="bottom"/>
            <w:gridSpan w:val="13"/>
          </w:tcPr>
          <w:p>
            <w:pPr>
              <w:spacing w:after="0"/>
              <w:rPr>
                <w:sz w:val="24"/>
                <w:szCs w:val="24"/>
                <w:color w:val="auto"/>
              </w:rPr>
            </w:pPr>
          </w:p>
        </w:tc>
        <w:tc>
          <w:tcPr>
            <w:tcW w:w="760" w:type="dxa"/>
            <w:vAlign w:val="bottom"/>
          </w:tcPr>
          <w:p>
            <w:pPr>
              <w:spacing w:after="0"/>
              <w:rPr>
                <w:sz w:val="24"/>
                <w:szCs w:val="24"/>
                <w:color w:val="auto"/>
              </w:rPr>
            </w:pPr>
          </w:p>
        </w:tc>
        <w:tc>
          <w:tcPr>
            <w:tcW w:w="180" w:type="dxa"/>
            <w:vAlign w:val="bottom"/>
            <w:tcBorders>
              <w:bottom w:val="single" w:sz="8" w:color="0000EE"/>
            </w:tcBorders>
            <w:gridSpan w:val="2"/>
          </w:tcPr>
          <w:p>
            <w:pPr>
              <w:jc w:val="right"/>
              <w:spacing w:after="0"/>
              <w:rPr>
                <w:rFonts w:ascii="Arial" w:cs="Arial" w:eastAsia="Arial" w:hAnsi="Arial"/>
                <w:sz w:val="18"/>
                <w:szCs w:val="18"/>
                <w:color w:val="0000EE"/>
                <w:w w:val="79"/>
              </w:rPr>
            </w:pPr>
            <w:hyperlink w:anchor="page23">
              <w:r>
                <w:rPr>
                  <w:rFonts w:ascii="Arial" w:cs="Arial" w:eastAsia="Arial" w:hAnsi="Arial"/>
                  <w:sz w:val="18"/>
                  <w:szCs w:val="18"/>
                  <w:color w:val="0000EE"/>
                  <w:w w:val="79"/>
                </w:rPr>
                <w:t>21</w:t>
              </w:r>
            </w:hyperlink>
          </w:p>
        </w:tc>
      </w:tr>
      <w:tr>
        <w:trPr>
          <w:trHeight w:val="372"/>
        </w:trPr>
        <w:tc>
          <w:tcPr>
            <w:tcW w:w="1140" w:type="dxa"/>
            <w:vAlign w:val="bottom"/>
          </w:tcPr>
          <w:p>
            <w:pPr>
              <w:spacing w:after="0"/>
              <w:rPr>
                <w:sz w:val="20"/>
                <w:szCs w:val="20"/>
                <w:color w:val="auto"/>
              </w:rPr>
            </w:pPr>
            <w:r>
              <w:rPr>
                <w:rFonts w:ascii="Arial" w:cs="Arial" w:eastAsia="Arial" w:hAnsi="Arial"/>
                <w:sz w:val="18"/>
                <w:szCs w:val="18"/>
                <w:color w:val="auto"/>
              </w:rPr>
              <w:t>Item 1A.</w:t>
            </w:r>
          </w:p>
        </w:tc>
        <w:tc>
          <w:tcPr>
            <w:tcW w:w="8360" w:type="dxa"/>
            <w:vAlign w:val="bottom"/>
            <w:gridSpan w:val="20"/>
          </w:tcPr>
          <w:p>
            <w:pPr>
              <w:spacing w:after="0"/>
              <w:rPr>
                <w:rFonts w:ascii="Arial" w:cs="Arial" w:eastAsia="Arial" w:hAnsi="Arial"/>
                <w:sz w:val="18"/>
                <w:szCs w:val="18"/>
                <w:color w:val="0000EE"/>
              </w:rPr>
            </w:pPr>
            <w:hyperlink w:anchor="page23">
              <w:r>
                <w:rPr>
                  <w:rFonts w:ascii="Arial" w:cs="Arial" w:eastAsia="Arial" w:hAnsi="Arial"/>
                  <w:sz w:val="18"/>
                  <w:szCs w:val="18"/>
                  <w:color w:val="0000EE"/>
                </w:rPr>
                <w:t>Risk Factors</w:t>
              </w:r>
            </w:hyperlink>
          </w:p>
        </w:tc>
        <w:tc>
          <w:tcPr>
            <w:tcW w:w="940" w:type="dxa"/>
            <w:vAlign w:val="bottom"/>
            <w:gridSpan w:val="3"/>
          </w:tcPr>
          <w:p>
            <w:pPr>
              <w:jc w:val="right"/>
              <w:spacing w:after="0"/>
              <w:rPr>
                <w:rFonts w:ascii="Arial" w:cs="Arial" w:eastAsia="Arial" w:hAnsi="Arial"/>
                <w:sz w:val="18"/>
                <w:szCs w:val="18"/>
                <w:color w:val="0000EE"/>
              </w:rPr>
            </w:pPr>
            <w:hyperlink w:anchor="page23">
              <w:r>
                <w:rPr>
                  <w:rFonts w:ascii="Arial" w:cs="Arial" w:eastAsia="Arial" w:hAnsi="Arial"/>
                  <w:sz w:val="18"/>
                  <w:szCs w:val="18"/>
                  <w:color w:val="0000EE"/>
                </w:rPr>
                <w:t>21</w:t>
              </w:r>
            </w:hyperlink>
          </w:p>
        </w:tc>
      </w:tr>
      <w:tr>
        <w:trPr>
          <w:trHeight w:val="20"/>
        </w:trPr>
        <w:tc>
          <w:tcPr>
            <w:tcW w:w="114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0" w:type="dxa"/>
            <w:vAlign w:val="bottom"/>
            <w:gridSpan w:val="5"/>
          </w:tcPr>
          <w:p>
            <w:pPr>
              <w:spacing w:after="0" w:line="20" w:lineRule="exact"/>
              <w:rPr>
                <w:sz w:val="1"/>
                <w:szCs w:val="1"/>
                <w:color w:val="auto"/>
              </w:rPr>
            </w:pPr>
          </w:p>
        </w:tc>
        <w:tc>
          <w:tcPr>
            <w:tcW w:w="2040" w:type="dxa"/>
            <w:vAlign w:val="bottom"/>
            <w:gridSpan w:val="6"/>
          </w:tcPr>
          <w:p>
            <w:pPr>
              <w:spacing w:after="0" w:line="20" w:lineRule="exact"/>
              <w:rPr>
                <w:sz w:val="1"/>
                <w:szCs w:val="1"/>
                <w:color w:val="auto"/>
              </w:rPr>
            </w:pPr>
          </w:p>
        </w:tc>
        <w:tc>
          <w:tcPr>
            <w:tcW w:w="4000" w:type="dxa"/>
            <w:vAlign w:val="bottom"/>
            <w:gridSpan w:val="6"/>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372"/>
        </w:trPr>
        <w:tc>
          <w:tcPr>
            <w:tcW w:w="1140" w:type="dxa"/>
            <w:vAlign w:val="bottom"/>
          </w:tcPr>
          <w:p>
            <w:pPr>
              <w:spacing w:after="0"/>
              <w:rPr>
                <w:sz w:val="20"/>
                <w:szCs w:val="20"/>
                <w:color w:val="auto"/>
              </w:rPr>
            </w:pPr>
            <w:r>
              <w:rPr>
                <w:rFonts w:ascii="Arial" w:cs="Arial" w:eastAsia="Arial" w:hAnsi="Arial"/>
                <w:sz w:val="18"/>
                <w:szCs w:val="18"/>
                <w:color w:val="auto"/>
              </w:rPr>
              <w:t>Item 2.</w:t>
            </w:r>
          </w:p>
        </w:tc>
        <w:tc>
          <w:tcPr>
            <w:tcW w:w="4360" w:type="dxa"/>
            <w:vAlign w:val="bottom"/>
            <w:tcBorders>
              <w:bottom w:val="single" w:sz="8" w:color="0000EE"/>
            </w:tcBorders>
            <w:gridSpan w:val="14"/>
          </w:tcPr>
          <w:p>
            <w:pPr>
              <w:spacing w:after="0"/>
              <w:rPr>
                <w:rFonts w:ascii="Arial" w:cs="Arial" w:eastAsia="Arial" w:hAnsi="Arial"/>
                <w:sz w:val="18"/>
                <w:szCs w:val="18"/>
                <w:color w:val="0000EE"/>
                <w:w w:val="89"/>
              </w:rPr>
            </w:pPr>
            <w:hyperlink w:anchor="page23">
              <w:r>
                <w:rPr>
                  <w:rFonts w:ascii="Arial" w:cs="Arial" w:eastAsia="Arial" w:hAnsi="Arial"/>
                  <w:sz w:val="18"/>
                  <w:szCs w:val="18"/>
                  <w:color w:val="0000EE"/>
                  <w:w w:val="89"/>
                </w:rPr>
                <w:t>Unregistered Sales of Equity Securities and Use of Proceeds</w:t>
              </w:r>
            </w:hyperlink>
          </w:p>
        </w:tc>
        <w:tc>
          <w:tcPr>
            <w:tcW w:w="4000" w:type="dxa"/>
            <w:vAlign w:val="bottom"/>
            <w:gridSpan w:val="6"/>
          </w:tcPr>
          <w:p>
            <w:pPr>
              <w:spacing w:after="0"/>
              <w:rPr>
                <w:sz w:val="24"/>
                <w:szCs w:val="24"/>
                <w:color w:val="auto"/>
              </w:rPr>
            </w:pPr>
          </w:p>
        </w:tc>
        <w:tc>
          <w:tcPr>
            <w:tcW w:w="760" w:type="dxa"/>
            <w:vAlign w:val="bottom"/>
          </w:tcPr>
          <w:p>
            <w:pPr>
              <w:spacing w:after="0"/>
              <w:rPr>
                <w:sz w:val="24"/>
                <w:szCs w:val="24"/>
                <w:color w:val="auto"/>
              </w:rPr>
            </w:pPr>
          </w:p>
        </w:tc>
        <w:tc>
          <w:tcPr>
            <w:tcW w:w="180" w:type="dxa"/>
            <w:vAlign w:val="bottom"/>
            <w:tcBorders>
              <w:bottom w:val="single" w:sz="8" w:color="0000EE"/>
            </w:tcBorders>
            <w:gridSpan w:val="2"/>
          </w:tcPr>
          <w:p>
            <w:pPr>
              <w:jc w:val="right"/>
              <w:spacing w:after="0"/>
              <w:rPr>
                <w:rFonts w:ascii="Arial" w:cs="Arial" w:eastAsia="Arial" w:hAnsi="Arial"/>
                <w:sz w:val="18"/>
                <w:szCs w:val="18"/>
                <w:color w:val="0000EE"/>
                <w:w w:val="79"/>
              </w:rPr>
            </w:pPr>
            <w:hyperlink w:anchor="page23">
              <w:r>
                <w:rPr>
                  <w:rFonts w:ascii="Arial" w:cs="Arial" w:eastAsia="Arial" w:hAnsi="Arial"/>
                  <w:sz w:val="18"/>
                  <w:szCs w:val="18"/>
                  <w:color w:val="0000EE"/>
                  <w:w w:val="79"/>
                </w:rPr>
                <w:t>21</w:t>
              </w:r>
            </w:hyperlink>
          </w:p>
        </w:tc>
      </w:tr>
      <w:tr>
        <w:trPr>
          <w:trHeight w:val="372"/>
        </w:trPr>
        <w:tc>
          <w:tcPr>
            <w:tcW w:w="1140" w:type="dxa"/>
            <w:vAlign w:val="bottom"/>
          </w:tcPr>
          <w:p>
            <w:pPr>
              <w:spacing w:after="0"/>
              <w:rPr>
                <w:sz w:val="20"/>
                <w:szCs w:val="20"/>
                <w:color w:val="auto"/>
              </w:rPr>
            </w:pPr>
            <w:r>
              <w:rPr>
                <w:rFonts w:ascii="Arial" w:cs="Arial" w:eastAsia="Arial" w:hAnsi="Arial"/>
                <w:sz w:val="18"/>
                <w:szCs w:val="18"/>
                <w:color w:val="auto"/>
              </w:rPr>
              <w:t>Item 3.</w:t>
            </w:r>
          </w:p>
        </w:tc>
        <w:tc>
          <w:tcPr>
            <w:tcW w:w="8360" w:type="dxa"/>
            <w:vAlign w:val="bottom"/>
            <w:gridSpan w:val="20"/>
          </w:tcPr>
          <w:p>
            <w:pPr>
              <w:spacing w:after="0"/>
              <w:rPr>
                <w:rFonts w:ascii="Arial" w:cs="Arial" w:eastAsia="Arial" w:hAnsi="Arial"/>
                <w:sz w:val="18"/>
                <w:szCs w:val="18"/>
                <w:color w:val="0000EE"/>
              </w:rPr>
            </w:pPr>
            <w:hyperlink w:anchor="page23">
              <w:r>
                <w:rPr>
                  <w:rFonts w:ascii="Arial" w:cs="Arial" w:eastAsia="Arial" w:hAnsi="Arial"/>
                  <w:sz w:val="18"/>
                  <w:szCs w:val="18"/>
                  <w:color w:val="0000EE"/>
                </w:rPr>
                <w:t>Defaults Upon Senior Securities</w:t>
              </w:r>
            </w:hyperlink>
          </w:p>
        </w:tc>
        <w:tc>
          <w:tcPr>
            <w:tcW w:w="940" w:type="dxa"/>
            <w:vAlign w:val="bottom"/>
            <w:gridSpan w:val="3"/>
          </w:tcPr>
          <w:p>
            <w:pPr>
              <w:jc w:val="right"/>
              <w:spacing w:after="0"/>
              <w:rPr>
                <w:rFonts w:ascii="Arial" w:cs="Arial" w:eastAsia="Arial" w:hAnsi="Arial"/>
                <w:sz w:val="18"/>
                <w:szCs w:val="18"/>
                <w:color w:val="0000EE"/>
              </w:rPr>
            </w:pPr>
            <w:hyperlink w:anchor="page23">
              <w:r>
                <w:rPr>
                  <w:rFonts w:ascii="Arial" w:cs="Arial" w:eastAsia="Arial" w:hAnsi="Arial"/>
                  <w:sz w:val="18"/>
                  <w:szCs w:val="18"/>
                  <w:color w:val="0000EE"/>
                </w:rPr>
                <w:t>21</w:t>
              </w:r>
            </w:hyperlink>
          </w:p>
        </w:tc>
      </w:tr>
      <w:tr>
        <w:trPr>
          <w:trHeight w:val="372"/>
        </w:trPr>
        <w:tc>
          <w:tcPr>
            <w:tcW w:w="1140" w:type="dxa"/>
            <w:vAlign w:val="bottom"/>
          </w:tcPr>
          <w:p>
            <w:pPr>
              <w:spacing w:after="0"/>
              <w:rPr>
                <w:sz w:val="20"/>
                <w:szCs w:val="20"/>
                <w:color w:val="auto"/>
              </w:rPr>
            </w:pPr>
            <w:r>
              <w:rPr>
                <w:rFonts w:ascii="Arial" w:cs="Arial" w:eastAsia="Arial" w:hAnsi="Arial"/>
                <w:sz w:val="18"/>
                <w:szCs w:val="18"/>
                <w:color w:val="auto"/>
              </w:rPr>
              <w:t>Item 4.</w:t>
            </w:r>
          </w:p>
        </w:tc>
        <w:tc>
          <w:tcPr>
            <w:tcW w:w="1780" w:type="dxa"/>
            <w:vAlign w:val="bottom"/>
            <w:tcBorders>
              <w:top w:val="single" w:sz="8" w:color="0000EE"/>
              <w:bottom w:val="single" w:sz="8" w:color="0000EE"/>
            </w:tcBorders>
            <w:gridSpan w:val="6"/>
          </w:tcPr>
          <w:p>
            <w:pPr>
              <w:spacing w:after="0"/>
              <w:rPr>
                <w:rFonts w:ascii="Arial" w:cs="Arial" w:eastAsia="Arial" w:hAnsi="Arial"/>
                <w:sz w:val="18"/>
                <w:szCs w:val="18"/>
                <w:color w:val="0000EE"/>
                <w:w w:val="91"/>
              </w:rPr>
            </w:pPr>
            <w:hyperlink w:anchor="page23">
              <w:r>
                <w:rPr>
                  <w:rFonts w:ascii="Arial" w:cs="Arial" w:eastAsia="Arial" w:hAnsi="Arial"/>
                  <w:sz w:val="18"/>
                  <w:szCs w:val="18"/>
                  <w:color w:val="0000EE"/>
                  <w:w w:val="91"/>
                </w:rPr>
                <w:t>Mine Safety Disclosures</w:t>
              </w:r>
            </w:hyperlink>
          </w:p>
        </w:tc>
        <w:tc>
          <w:tcPr>
            <w:tcW w:w="540" w:type="dxa"/>
            <w:vAlign w:val="bottom"/>
            <w:tcBorders>
              <w:top w:val="single" w:sz="8" w:color="0000EE"/>
            </w:tcBorders>
            <w:gridSpan w:val="2"/>
          </w:tcPr>
          <w:p>
            <w:pPr>
              <w:spacing w:after="0"/>
              <w:rPr>
                <w:sz w:val="24"/>
                <w:szCs w:val="24"/>
                <w:color w:val="auto"/>
              </w:rPr>
            </w:pPr>
          </w:p>
        </w:tc>
        <w:tc>
          <w:tcPr>
            <w:tcW w:w="6040" w:type="dxa"/>
            <w:vAlign w:val="bottom"/>
            <w:gridSpan w:val="12"/>
          </w:tcPr>
          <w:p>
            <w:pPr>
              <w:spacing w:after="0"/>
              <w:rPr>
                <w:sz w:val="24"/>
                <w:szCs w:val="24"/>
                <w:color w:val="auto"/>
              </w:rPr>
            </w:pPr>
          </w:p>
        </w:tc>
        <w:tc>
          <w:tcPr>
            <w:tcW w:w="760" w:type="dxa"/>
            <w:vAlign w:val="bottom"/>
          </w:tcPr>
          <w:p>
            <w:pPr>
              <w:spacing w:after="0"/>
              <w:rPr>
                <w:sz w:val="24"/>
                <w:szCs w:val="24"/>
                <w:color w:val="auto"/>
              </w:rPr>
            </w:pPr>
          </w:p>
        </w:tc>
        <w:tc>
          <w:tcPr>
            <w:tcW w:w="180" w:type="dxa"/>
            <w:vAlign w:val="bottom"/>
            <w:tcBorders>
              <w:top w:val="single" w:sz="8" w:color="0000EE"/>
              <w:bottom w:val="single" w:sz="8" w:color="0000EE"/>
            </w:tcBorders>
            <w:gridSpan w:val="2"/>
          </w:tcPr>
          <w:p>
            <w:pPr>
              <w:jc w:val="right"/>
              <w:spacing w:after="0"/>
              <w:rPr>
                <w:rFonts w:ascii="Arial" w:cs="Arial" w:eastAsia="Arial" w:hAnsi="Arial"/>
                <w:sz w:val="18"/>
                <w:szCs w:val="18"/>
                <w:color w:val="0000EE"/>
                <w:w w:val="79"/>
              </w:rPr>
            </w:pPr>
            <w:hyperlink w:anchor="page23">
              <w:r>
                <w:rPr>
                  <w:rFonts w:ascii="Arial" w:cs="Arial" w:eastAsia="Arial" w:hAnsi="Arial"/>
                  <w:sz w:val="18"/>
                  <w:szCs w:val="18"/>
                  <w:color w:val="0000EE"/>
                  <w:w w:val="79"/>
                </w:rPr>
                <w:t>21</w:t>
              </w:r>
            </w:hyperlink>
          </w:p>
        </w:tc>
      </w:tr>
      <w:tr>
        <w:trPr>
          <w:trHeight w:val="372"/>
        </w:trPr>
        <w:tc>
          <w:tcPr>
            <w:tcW w:w="1140" w:type="dxa"/>
            <w:vAlign w:val="bottom"/>
          </w:tcPr>
          <w:p>
            <w:pPr>
              <w:spacing w:after="0"/>
              <w:rPr>
                <w:sz w:val="20"/>
                <w:szCs w:val="20"/>
                <w:color w:val="auto"/>
              </w:rPr>
            </w:pPr>
            <w:r>
              <w:rPr>
                <w:rFonts w:ascii="Arial" w:cs="Arial" w:eastAsia="Arial" w:hAnsi="Arial"/>
                <w:sz w:val="18"/>
                <w:szCs w:val="18"/>
                <w:color w:val="auto"/>
              </w:rPr>
              <w:t>Item 5.</w:t>
            </w:r>
          </w:p>
        </w:tc>
        <w:tc>
          <w:tcPr>
            <w:tcW w:w="1320" w:type="dxa"/>
            <w:vAlign w:val="bottom"/>
            <w:tcBorders>
              <w:bottom w:val="single" w:sz="8" w:color="0000EE"/>
            </w:tcBorders>
            <w:gridSpan w:val="3"/>
          </w:tcPr>
          <w:p>
            <w:pPr>
              <w:spacing w:after="0"/>
              <w:rPr>
                <w:rFonts w:ascii="Arial" w:cs="Arial" w:eastAsia="Arial" w:hAnsi="Arial"/>
                <w:sz w:val="18"/>
                <w:szCs w:val="18"/>
                <w:color w:val="0000EE"/>
                <w:w w:val="92"/>
              </w:rPr>
            </w:pPr>
            <w:hyperlink w:anchor="page23">
              <w:r>
                <w:rPr>
                  <w:rFonts w:ascii="Arial" w:cs="Arial" w:eastAsia="Arial" w:hAnsi="Arial"/>
                  <w:sz w:val="18"/>
                  <w:szCs w:val="18"/>
                  <w:color w:val="0000EE"/>
                  <w:w w:val="92"/>
                </w:rPr>
                <w:t>Other Information</w:t>
              </w:r>
            </w:hyperlink>
          </w:p>
        </w:tc>
        <w:tc>
          <w:tcPr>
            <w:tcW w:w="7040" w:type="dxa"/>
            <w:vAlign w:val="bottom"/>
            <w:gridSpan w:val="17"/>
          </w:tcPr>
          <w:p>
            <w:pPr>
              <w:spacing w:after="0"/>
              <w:rPr>
                <w:sz w:val="24"/>
                <w:szCs w:val="24"/>
                <w:color w:val="auto"/>
              </w:rPr>
            </w:pPr>
          </w:p>
        </w:tc>
        <w:tc>
          <w:tcPr>
            <w:tcW w:w="760" w:type="dxa"/>
            <w:vAlign w:val="bottom"/>
          </w:tcPr>
          <w:p>
            <w:pPr>
              <w:spacing w:after="0"/>
              <w:rPr>
                <w:sz w:val="24"/>
                <w:szCs w:val="24"/>
                <w:color w:val="auto"/>
              </w:rPr>
            </w:pPr>
          </w:p>
        </w:tc>
        <w:tc>
          <w:tcPr>
            <w:tcW w:w="180" w:type="dxa"/>
            <w:vAlign w:val="bottom"/>
            <w:tcBorders>
              <w:bottom w:val="single" w:sz="8" w:color="0000EE"/>
            </w:tcBorders>
            <w:gridSpan w:val="2"/>
          </w:tcPr>
          <w:p>
            <w:pPr>
              <w:jc w:val="right"/>
              <w:spacing w:after="0"/>
              <w:rPr>
                <w:rFonts w:ascii="Arial" w:cs="Arial" w:eastAsia="Arial" w:hAnsi="Arial"/>
                <w:sz w:val="18"/>
                <w:szCs w:val="18"/>
                <w:color w:val="0000EE"/>
                <w:w w:val="79"/>
              </w:rPr>
            </w:pPr>
            <w:hyperlink w:anchor="page23">
              <w:r>
                <w:rPr>
                  <w:rFonts w:ascii="Arial" w:cs="Arial" w:eastAsia="Arial" w:hAnsi="Arial"/>
                  <w:sz w:val="18"/>
                  <w:szCs w:val="18"/>
                  <w:color w:val="0000EE"/>
                  <w:w w:val="79"/>
                </w:rPr>
                <w:t>21</w:t>
              </w:r>
            </w:hyperlink>
          </w:p>
        </w:tc>
      </w:tr>
      <w:tr>
        <w:trPr>
          <w:trHeight w:val="372"/>
        </w:trPr>
        <w:tc>
          <w:tcPr>
            <w:tcW w:w="1140" w:type="dxa"/>
            <w:vAlign w:val="bottom"/>
          </w:tcPr>
          <w:p>
            <w:pPr>
              <w:spacing w:after="0"/>
              <w:rPr>
                <w:sz w:val="20"/>
                <w:szCs w:val="20"/>
                <w:color w:val="auto"/>
              </w:rPr>
            </w:pPr>
            <w:r>
              <w:rPr>
                <w:rFonts w:ascii="Arial" w:cs="Arial" w:eastAsia="Arial" w:hAnsi="Arial"/>
                <w:sz w:val="18"/>
                <w:szCs w:val="18"/>
                <w:color w:val="auto"/>
              </w:rPr>
              <w:t>Item 6.</w:t>
            </w:r>
          </w:p>
        </w:tc>
        <w:tc>
          <w:tcPr>
            <w:tcW w:w="8360" w:type="dxa"/>
            <w:vAlign w:val="bottom"/>
            <w:gridSpan w:val="20"/>
          </w:tcPr>
          <w:p>
            <w:pPr>
              <w:spacing w:after="0"/>
              <w:rPr>
                <w:rFonts w:ascii="Arial" w:cs="Arial" w:eastAsia="Arial" w:hAnsi="Arial"/>
                <w:sz w:val="18"/>
                <w:szCs w:val="18"/>
                <w:color w:val="0000EE"/>
              </w:rPr>
            </w:pPr>
            <w:hyperlink w:anchor="page24">
              <w:r>
                <w:rPr>
                  <w:rFonts w:ascii="Arial" w:cs="Arial" w:eastAsia="Arial" w:hAnsi="Arial"/>
                  <w:sz w:val="18"/>
                  <w:szCs w:val="18"/>
                  <w:color w:val="0000EE"/>
                </w:rPr>
                <w:t>Exhibits</w:t>
              </w:r>
            </w:hyperlink>
          </w:p>
        </w:tc>
        <w:tc>
          <w:tcPr>
            <w:tcW w:w="940" w:type="dxa"/>
            <w:vAlign w:val="bottom"/>
            <w:gridSpan w:val="3"/>
          </w:tcPr>
          <w:p>
            <w:pPr>
              <w:jc w:val="right"/>
              <w:spacing w:after="0"/>
              <w:rPr>
                <w:rFonts w:ascii="Arial" w:cs="Arial" w:eastAsia="Arial" w:hAnsi="Arial"/>
                <w:sz w:val="18"/>
                <w:szCs w:val="18"/>
                <w:color w:val="0000EE"/>
              </w:rPr>
            </w:pPr>
            <w:hyperlink w:anchor="page24">
              <w:r>
                <w:rPr>
                  <w:rFonts w:ascii="Arial" w:cs="Arial" w:eastAsia="Arial" w:hAnsi="Arial"/>
                  <w:sz w:val="18"/>
                  <w:szCs w:val="18"/>
                  <w:color w:val="0000EE"/>
                </w:rPr>
                <w:t>22</w:t>
              </w:r>
            </w:hyperlink>
          </w:p>
        </w:tc>
      </w:tr>
      <w:tr>
        <w:trPr>
          <w:trHeight w:val="20"/>
        </w:trPr>
        <w:tc>
          <w:tcPr>
            <w:tcW w:w="114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bl>
    <w:p>
      <w:pPr>
        <w:spacing w:after="0" w:line="200" w:lineRule="exact"/>
        <w:rPr>
          <w:sz w:val="20"/>
          <w:szCs w:val="20"/>
          <w:color w:val="auto"/>
        </w:rPr>
      </w:pPr>
    </w:p>
    <w:p>
      <w:pPr>
        <w:spacing w:after="0" w:line="326"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0440"/>
          </w:cols>
          <w:pgMar w:left="280" w:top="580" w:right="117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PART I. FINANCIAL INFORMATION</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ITEM 1. FINANCIAL STATEMENTS</w:t>
      </w:r>
    </w:p>
    <w:p>
      <w:pPr>
        <w:sectPr>
          <w:pgSz w:w="11900" w:h="16838" w:orient="portrait"/>
          <w:cols w:equalWidth="0" w:num="1">
            <w:col w:w="11420"/>
          </w:cols>
          <w:pgMar w:left="240" w:top="580" w:right="239" w:bottom="1084" w:gutter="0" w:footer="0" w:header="0"/>
        </w:sectPr>
      </w:pP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HAWKINS, INC.</w:t>
      </w:r>
    </w:p>
    <w:p>
      <w:pPr>
        <w:spacing w:after="0" w:line="2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CONDENSED CONSOLIDATED BALANCE SHEETS (UNAUDITED)</w:t>
      </w:r>
    </w:p>
    <w:p>
      <w:pPr>
        <w:spacing w:after="0" w:line="1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(In thousands, except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382270</wp:posOffset>
            </wp:positionV>
            <wp:extent cx="7246620" cy="1714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200" w:lineRule="exact"/>
        <w:rPr>
          <w:sz w:val="20"/>
          <w:szCs w:val="20"/>
          <w:color w:val="auto"/>
        </w:rPr>
      </w:pPr>
    </w:p>
    <w:p>
      <w:pPr>
        <w:spacing w:after="0" w:line="395"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ASSETS</w:t>
      </w:r>
    </w:p>
    <w:p>
      <w:pPr>
        <w:spacing w:after="0" w:line="90" w:lineRule="exact"/>
        <w:rPr>
          <w:sz w:val="20"/>
          <w:szCs w:val="20"/>
          <w:color w:val="auto"/>
        </w:rPr>
      </w:pPr>
    </w:p>
    <w:p>
      <w:pPr>
        <w:ind w:left="40"/>
        <w:spacing w:after="0"/>
        <w:rPr>
          <w:sz w:val="20"/>
          <w:szCs w:val="20"/>
          <w:color w:val="auto"/>
        </w:rPr>
      </w:pPr>
      <w:r>
        <w:rPr>
          <w:rFonts w:ascii="Arial" w:cs="Arial" w:eastAsia="Arial" w:hAnsi="Arial"/>
          <w:sz w:val="16"/>
          <w:szCs w:val="16"/>
          <w:color w:val="auto"/>
        </w:rPr>
        <w:t>CURRENT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1714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380"/>
        <w:spacing w:after="0"/>
        <w:rPr>
          <w:sz w:val="20"/>
          <w:szCs w:val="20"/>
          <w:color w:val="auto"/>
        </w:rPr>
      </w:pPr>
      <w:r>
        <w:rPr>
          <w:rFonts w:ascii="Arial" w:cs="Arial" w:eastAsia="Arial" w:hAnsi="Arial"/>
          <w:sz w:val="16"/>
          <w:szCs w:val="16"/>
          <w:color w:val="auto"/>
        </w:rPr>
        <w:t>Cash and cash equivalents</w:t>
      </w:r>
    </w:p>
    <w:p>
      <w:pPr>
        <w:spacing w:after="0" w:line="100" w:lineRule="exact"/>
        <w:rPr>
          <w:sz w:val="20"/>
          <w:szCs w:val="20"/>
          <w:color w:val="auto"/>
        </w:rPr>
      </w:pPr>
    </w:p>
    <w:p>
      <w:pPr>
        <w:ind w:left="380"/>
        <w:spacing w:after="0"/>
        <w:rPr>
          <w:sz w:val="20"/>
          <w:szCs w:val="20"/>
          <w:color w:val="auto"/>
        </w:rPr>
      </w:pPr>
      <w:r>
        <w:rPr>
          <w:rFonts w:ascii="Arial" w:cs="Arial" w:eastAsia="Arial" w:hAnsi="Arial"/>
          <w:sz w:val="16"/>
          <w:szCs w:val="16"/>
          <w:color w:val="auto"/>
        </w:rPr>
        <w:t>Trade receivables — less allowance for doubtful accounts: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34925</wp:posOffset>
            </wp:positionV>
            <wp:extent cx="7246620" cy="17145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500"/>
        <w:spacing w:after="0"/>
        <w:rPr>
          <w:sz w:val="20"/>
          <w:szCs w:val="20"/>
          <w:color w:val="auto"/>
        </w:rPr>
      </w:pPr>
      <w:r>
        <w:rPr>
          <w:rFonts w:ascii="Arial" w:cs="Arial" w:eastAsia="Arial" w:hAnsi="Arial"/>
          <w:sz w:val="16"/>
          <w:szCs w:val="16"/>
          <w:color w:val="auto"/>
        </w:rPr>
        <w:t>$909 as of September 29, 2019 and $620 as of March 31, 2019</w:t>
      </w:r>
    </w:p>
    <w:p>
      <w:pPr>
        <w:spacing w:after="0" w:line="73" w:lineRule="exact"/>
        <w:rPr>
          <w:sz w:val="20"/>
          <w:szCs w:val="20"/>
          <w:color w:val="auto"/>
        </w:rPr>
      </w:pPr>
    </w:p>
    <w:p>
      <w:pPr>
        <w:ind w:left="380"/>
        <w:spacing w:after="0"/>
        <w:rPr>
          <w:sz w:val="20"/>
          <w:szCs w:val="20"/>
          <w:color w:val="auto"/>
        </w:rPr>
      </w:pPr>
      <w:r>
        <w:rPr>
          <w:rFonts w:ascii="Arial" w:cs="Arial" w:eastAsia="Arial" w:hAnsi="Arial"/>
          <w:sz w:val="16"/>
          <w:szCs w:val="16"/>
          <w:color w:val="auto"/>
        </w:rPr>
        <w:t>Inventories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1714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380"/>
        <w:spacing w:after="0"/>
        <w:rPr>
          <w:sz w:val="20"/>
          <w:szCs w:val="20"/>
          <w:color w:val="auto"/>
        </w:rPr>
      </w:pPr>
      <w:r>
        <w:rPr>
          <w:rFonts w:ascii="Arial" w:cs="Arial" w:eastAsia="Arial" w:hAnsi="Arial"/>
          <w:sz w:val="16"/>
          <w:szCs w:val="16"/>
          <w:color w:val="auto"/>
        </w:rPr>
        <w:t>Income taxes receivable</w:t>
      </w:r>
    </w:p>
    <w:p>
      <w:pPr>
        <w:spacing w:after="0" w:line="86" w:lineRule="exact"/>
        <w:rPr>
          <w:sz w:val="20"/>
          <w:szCs w:val="20"/>
          <w:color w:val="auto"/>
        </w:rPr>
      </w:pPr>
    </w:p>
    <w:p>
      <w:pPr>
        <w:ind w:left="380"/>
        <w:spacing w:after="0"/>
        <w:rPr>
          <w:sz w:val="20"/>
          <w:szCs w:val="20"/>
          <w:color w:val="auto"/>
        </w:rPr>
      </w:pPr>
      <w:r>
        <w:rPr>
          <w:rFonts w:ascii="Arial" w:cs="Arial" w:eastAsia="Arial" w:hAnsi="Arial"/>
          <w:sz w:val="16"/>
          <w:szCs w:val="16"/>
          <w:color w:val="auto"/>
        </w:rPr>
        <w:t>Prepaid expenses and other current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1714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820"/>
        <w:spacing w:after="0"/>
        <w:rPr>
          <w:sz w:val="20"/>
          <w:szCs w:val="20"/>
          <w:color w:val="auto"/>
        </w:rPr>
      </w:pPr>
      <w:r>
        <w:rPr>
          <w:rFonts w:ascii="Arial" w:cs="Arial" w:eastAsia="Arial" w:hAnsi="Arial"/>
          <w:sz w:val="16"/>
          <w:szCs w:val="16"/>
          <w:color w:val="auto"/>
        </w:rPr>
        <w:t>Total current assets</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PROPERTY, PLANT, AND EQUIPMENT: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1714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380"/>
        <w:spacing w:after="0"/>
        <w:rPr>
          <w:sz w:val="20"/>
          <w:szCs w:val="20"/>
          <w:color w:val="auto"/>
        </w:rPr>
      </w:pPr>
      <w:r>
        <w:rPr>
          <w:rFonts w:ascii="Arial" w:cs="Arial" w:eastAsia="Arial" w:hAnsi="Arial"/>
          <w:sz w:val="16"/>
          <w:szCs w:val="16"/>
          <w:color w:val="auto"/>
        </w:rPr>
        <w:t>Less accumulated depreciation</w:t>
      </w:r>
    </w:p>
    <w:p>
      <w:pPr>
        <w:spacing w:after="0" w:line="100" w:lineRule="exact"/>
        <w:rPr>
          <w:sz w:val="20"/>
          <w:szCs w:val="20"/>
          <w:color w:val="auto"/>
        </w:rPr>
      </w:pPr>
    </w:p>
    <w:p>
      <w:pPr>
        <w:ind w:left="820"/>
        <w:spacing w:after="0"/>
        <w:rPr>
          <w:sz w:val="20"/>
          <w:szCs w:val="20"/>
          <w:color w:val="auto"/>
        </w:rPr>
      </w:pPr>
      <w:r>
        <w:rPr>
          <w:rFonts w:ascii="Arial" w:cs="Arial" w:eastAsia="Arial" w:hAnsi="Arial"/>
          <w:sz w:val="16"/>
          <w:szCs w:val="16"/>
          <w:color w:val="auto"/>
        </w:rPr>
        <w:t>Net property, plant, and equipment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34925</wp:posOffset>
            </wp:positionV>
            <wp:extent cx="7246620" cy="1714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53" w:lineRule="exact"/>
        <w:rPr>
          <w:sz w:val="20"/>
          <w:szCs w:val="20"/>
          <w:color w:val="auto"/>
        </w:rPr>
      </w:pPr>
    </w:p>
    <w:p>
      <w:pPr>
        <w:ind w:left="40"/>
        <w:spacing w:after="0"/>
        <w:rPr>
          <w:sz w:val="20"/>
          <w:szCs w:val="20"/>
          <w:color w:val="auto"/>
        </w:rPr>
      </w:pPr>
      <w:r>
        <w:rPr>
          <w:rFonts w:ascii="Arial" w:cs="Arial" w:eastAsia="Arial" w:hAnsi="Arial"/>
          <w:sz w:val="16"/>
          <w:szCs w:val="16"/>
          <w:color w:val="auto"/>
        </w:rPr>
        <w:t>OTHER ASSETS:</w:t>
      </w:r>
    </w:p>
    <w:p>
      <w:pPr>
        <w:spacing w:after="0" w:line="86" w:lineRule="exact"/>
        <w:rPr>
          <w:sz w:val="20"/>
          <w:szCs w:val="20"/>
          <w:color w:val="auto"/>
        </w:rPr>
      </w:pPr>
    </w:p>
    <w:p>
      <w:pPr>
        <w:ind w:left="380"/>
        <w:spacing w:after="0"/>
        <w:rPr>
          <w:sz w:val="20"/>
          <w:szCs w:val="20"/>
          <w:color w:val="auto"/>
        </w:rPr>
      </w:pPr>
      <w:r>
        <w:rPr>
          <w:rFonts w:ascii="Arial" w:cs="Arial" w:eastAsia="Arial" w:hAnsi="Arial"/>
          <w:sz w:val="16"/>
          <w:szCs w:val="16"/>
          <w:color w:val="auto"/>
        </w:rPr>
        <w:t>Right-of-use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1714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380"/>
        <w:spacing w:after="0"/>
        <w:rPr>
          <w:sz w:val="20"/>
          <w:szCs w:val="20"/>
          <w:color w:val="auto"/>
        </w:rPr>
      </w:pPr>
      <w:r>
        <w:rPr>
          <w:rFonts w:ascii="Arial" w:cs="Arial" w:eastAsia="Arial" w:hAnsi="Arial"/>
          <w:sz w:val="16"/>
          <w:szCs w:val="16"/>
          <w:color w:val="auto"/>
        </w:rPr>
        <w:t>Goodwill</w:t>
      </w:r>
    </w:p>
    <w:p>
      <w:pPr>
        <w:spacing w:after="0" w:line="100" w:lineRule="exact"/>
        <w:rPr>
          <w:sz w:val="20"/>
          <w:szCs w:val="20"/>
          <w:color w:val="auto"/>
        </w:rPr>
      </w:pPr>
    </w:p>
    <w:p>
      <w:pPr>
        <w:ind w:left="380"/>
        <w:spacing w:after="0"/>
        <w:rPr>
          <w:sz w:val="20"/>
          <w:szCs w:val="20"/>
          <w:color w:val="auto"/>
        </w:rPr>
      </w:pPr>
      <w:r>
        <w:rPr>
          <w:rFonts w:ascii="Arial" w:cs="Arial" w:eastAsia="Arial" w:hAnsi="Arial"/>
          <w:sz w:val="16"/>
          <w:szCs w:val="16"/>
          <w:color w:val="auto"/>
        </w:rPr>
        <w:t>Intangible assets,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34925</wp:posOffset>
            </wp:positionV>
            <wp:extent cx="7246620" cy="1714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53" w:lineRule="exact"/>
        <w:rPr>
          <w:sz w:val="20"/>
          <w:szCs w:val="20"/>
          <w:color w:val="auto"/>
        </w:rPr>
      </w:pPr>
    </w:p>
    <w:p>
      <w:pPr>
        <w:ind w:left="380"/>
        <w:spacing w:after="0"/>
        <w:rPr>
          <w:sz w:val="20"/>
          <w:szCs w:val="20"/>
          <w:color w:val="auto"/>
        </w:rPr>
      </w:pPr>
      <w:r>
        <w:rPr>
          <w:rFonts w:ascii="Arial" w:cs="Arial" w:eastAsia="Arial" w:hAnsi="Arial"/>
          <w:sz w:val="16"/>
          <w:szCs w:val="16"/>
          <w:color w:val="auto"/>
        </w:rPr>
        <w:t>Other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3"/>
        </w:trPr>
        <w:tc>
          <w:tcPr>
            <w:tcW w:w="140" w:type="dxa"/>
            <w:vAlign w:val="bottom"/>
          </w:tcPr>
          <w:p>
            <w:pPr>
              <w:spacing w:after="0"/>
              <w:rPr>
                <w:sz w:val="17"/>
                <w:szCs w:val="17"/>
                <w:color w:val="auto"/>
              </w:rPr>
            </w:pPr>
          </w:p>
        </w:tc>
        <w:tc>
          <w:tcPr>
            <w:tcW w:w="1340" w:type="dxa"/>
            <w:vAlign w:val="bottom"/>
            <w:gridSpan w:val="2"/>
          </w:tcPr>
          <w:p>
            <w:pPr>
              <w:ind w:left="40"/>
              <w:spacing w:after="0"/>
              <w:rPr>
                <w:sz w:val="20"/>
                <w:szCs w:val="20"/>
                <w:color w:val="auto"/>
              </w:rPr>
            </w:pPr>
            <w:r>
              <w:rPr>
                <w:rFonts w:ascii="Arial" w:cs="Arial" w:eastAsia="Arial" w:hAnsi="Arial"/>
                <w:sz w:val="16"/>
                <w:szCs w:val="16"/>
                <w:b w:val="1"/>
                <w:bCs w:val="1"/>
                <w:color w:val="auto"/>
              </w:rPr>
              <w:t>September 29,</w:t>
            </w:r>
          </w:p>
        </w:tc>
        <w:tc>
          <w:tcPr>
            <w:tcW w:w="220" w:type="dxa"/>
            <w:vAlign w:val="bottom"/>
          </w:tcPr>
          <w:p>
            <w:pPr>
              <w:spacing w:after="0"/>
              <w:rPr>
                <w:sz w:val="17"/>
                <w:szCs w:val="17"/>
                <w:color w:val="auto"/>
              </w:rPr>
            </w:pPr>
          </w:p>
        </w:tc>
        <w:tc>
          <w:tcPr>
            <w:tcW w:w="1140" w:type="dxa"/>
            <w:vAlign w:val="bottom"/>
          </w:tcPr>
          <w:p>
            <w:pPr>
              <w:jc w:val="right"/>
              <w:ind w:right="259"/>
              <w:spacing w:after="0"/>
              <w:rPr>
                <w:sz w:val="20"/>
                <w:szCs w:val="20"/>
                <w:color w:val="auto"/>
              </w:rPr>
            </w:pPr>
            <w:r>
              <w:rPr>
                <w:rFonts w:ascii="Arial" w:cs="Arial" w:eastAsia="Arial" w:hAnsi="Arial"/>
                <w:sz w:val="16"/>
                <w:szCs w:val="16"/>
                <w:b w:val="1"/>
                <w:bCs w:val="1"/>
                <w:color w:val="auto"/>
              </w:rPr>
              <w:t>March 31,</w:t>
            </w:r>
          </w:p>
        </w:tc>
      </w:tr>
      <w:tr>
        <w:trPr>
          <w:trHeight w:val="210"/>
        </w:trPr>
        <w:tc>
          <w:tcPr>
            <w:tcW w:w="140" w:type="dxa"/>
            <w:vAlign w:val="bottom"/>
          </w:tcPr>
          <w:p>
            <w:pPr>
              <w:spacing w:after="0"/>
              <w:rPr>
                <w:sz w:val="18"/>
                <w:szCs w:val="18"/>
                <w:color w:val="auto"/>
              </w:rPr>
            </w:pPr>
          </w:p>
        </w:tc>
        <w:tc>
          <w:tcPr>
            <w:tcW w:w="1240" w:type="dxa"/>
            <w:vAlign w:val="bottom"/>
          </w:tcPr>
          <w:p>
            <w:pPr>
              <w:jc w:val="right"/>
              <w:ind w:right="439"/>
              <w:spacing w:after="0"/>
              <w:rPr>
                <w:sz w:val="20"/>
                <w:szCs w:val="20"/>
                <w:color w:val="auto"/>
              </w:rPr>
            </w:pPr>
            <w:r>
              <w:rPr>
                <w:rFonts w:ascii="Arial" w:cs="Arial" w:eastAsia="Arial" w:hAnsi="Arial"/>
                <w:sz w:val="16"/>
                <w:szCs w:val="16"/>
                <w:b w:val="1"/>
                <w:bCs w:val="1"/>
                <w:color w:val="auto"/>
              </w:rPr>
              <w:t>2019</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jc w:val="right"/>
              <w:ind w:right="439"/>
              <w:spacing w:after="0"/>
              <w:rPr>
                <w:sz w:val="20"/>
                <w:szCs w:val="20"/>
                <w:color w:val="auto"/>
              </w:rPr>
            </w:pPr>
            <w:r>
              <w:rPr>
                <w:rFonts w:ascii="Arial" w:cs="Arial" w:eastAsia="Arial" w:hAnsi="Arial"/>
                <w:sz w:val="16"/>
                <w:szCs w:val="16"/>
                <w:b w:val="1"/>
                <w:bCs w:val="1"/>
                <w:color w:val="auto"/>
              </w:rPr>
              <w:t>2019</w:t>
            </w:r>
          </w:p>
        </w:tc>
      </w:tr>
      <w:tr>
        <w:trPr>
          <w:trHeight w:val="33"/>
        </w:trPr>
        <w:tc>
          <w:tcPr>
            <w:tcW w:w="1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757"/>
        </w:trPr>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1240" w:type="dxa"/>
            <w:vAlign w:val="bottom"/>
          </w:tcPr>
          <w:p>
            <w:pPr>
              <w:jc w:val="right"/>
              <w:ind w:right="19"/>
              <w:spacing w:after="0"/>
              <w:rPr>
                <w:sz w:val="20"/>
                <w:szCs w:val="20"/>
                <w:color w:val="auto"/>
              </w:rPr>
            </w:pPr>
            <w:r>
              <w:rPr>
                <w:rFonts w:ascii="Arial" w:cs="Arial" w:eastAsia="Arial" w:hAnsi="Arial"/>
                <w:sz w:val="16"/>
                <w:szCs w:val="16"/>
                <w:color w:val="auto"/>
              </w:rPr>
              <w:t>4,056</w:t>
            </w:r>
          </w:p>
        </w:tc>
        <w:tc>
          <w:tcPr>
            <w:tcW w:w="100" w:type="dxa"/>
            <w:vAlign w:val="bottom"/>
          </w:tcPr>
          <w:p>
            <w:pPr>
              <w:spacing w:after="0"/>
              <w:rPr>
                <w:sz w:val="24"/>
                <w:szCs w:val="24"/>
                <w:color w:val="auto"/>
              </w:rPr>
            </w:pP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9,199</w:t>
            </w:r>
          </w:p>
        </w:tc>
      </w:tr>
      <w:tr>
        <w:trPr>
          <w:trHeight w:val="540"/>
        </w:trPr>
        <w:tc>
          <w:tcPr>
            <w:tcW w:w="140" w:type="dxa"/>
            <w:vAlign w:val="bottom"/>
          </w:tcPr>
          <w:p>
            <w:pPr>
              <w:spacing w:after="0"/>
              <w:rPr>
                <w:sz w:val="24"/>
                <w:szCs w:val="24"/>
                <w:color w:val="auto"/>
              </w:rPr>
            </w:pPr>
          </w:p>
        </w:tc>
        <w:tc>
          <w:tcPr>
            <w:tcW w:w="1240" w:type="dxa"/>
            <w:vAlign w:val="bottom"/>
          </w:tcPr>
          <w:p>
            <w:pPr>
              <w:jc w:val="right"/>
              <w:ind w:right="19"/>
              <w:spacing w:after="0"/>
              <w:rPr>
                <w:sz w:val="20"/>
                <w:szCs w:val="20"/>
                <w:color w:val="auto"/>
              </w:rPr>
            </w:pPr>
            <w:r>
              <w:rPr>
                <w:rFonts w:ascii="Arial" w:cs="Arial" w:eastAsia="Arial" w:hAnsi="Arial"/>
                <w:sz w:val="16"/>
                <w:szCs w:val="16"/>
                <w:color w:val="auto"/>
              </w:rPr>
              <w:t>65,396</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63,966</w:t>
            </w:r>
          </w:p>
        </w:tc>
      </w:tr>
      <w:tr>
        <w:trPr>
          <w:trHeight w:val="270"/>
        </w:trPr>
        <w:tc>
          <w:tcPr>
            <w:tcW w:w="140" w:type="dxa"/>
            <w:vAlign w:val="bottom"/>
          </w:tcPr>
          <w:p>
            <w:pPr>
              <w:spacing w:after="0"/>
              <w:rPr>
                <w:sz w:val="23"/>
                <w:szCs w:val="23"/>
                <w:color w:val="auto"/>
              </w:rPr>
            </w:pPr>
          </w:p>
        </w:tc>
        <w:tc>
          <w:tcPr>
            <w:tcW w:w="1240" w:type="dxa"/>
            <w:vAlign w:val="bottom"/>
          </w:tcPr>
          <w:p>
            <w:pPr>
              <w:jc w:val="right"/>
              <w:ind w:right="19"/>
              <w:spacing w:after="0"/>
              <w:rPr>
                <w:sz w:val="20"/>
                <w:szCs w:val="20"/>
                <w:color w:val="auto"/>
              </w:rPr>
            </w:pPr>
            <w:r>
              <w:rPr>
                <w:rFonts w:ascii="Arial" w:cs="Arial" w:eastAsia="Arial" w:hAnsi="Arial"/>
                <w:sz w:val="16"/>
                <w:szCs w:val="16"/>
                <w:color w:val="auto"/>
              </w:rPr>
              <w:t>60,804</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60,482</w:t>
            </w:r>
          </w:p>
        </w:tc>
      </w:tr>
      <w:tr>
        <w:trPr>
          <w:trHeight w:val="270"/>
        </w:trPr>
        <w:tc>
          <w:tcPr>
            <w:tcW w:w="140" w:type="dxa"/>
            <w:vAlign w:val="bottom"/>
          </w:tcPr>
          <w:p>
            <w:pPr>
              <w:spacing w:after="0"/>
              <w:rPr>
                <w:sz w:val="23"/>
                <w:szCs w:val="23"/>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3"/>
                <w:szCs w:val="23"/>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527</w:t>
            </w:r>
          </w:p>
        </w:tc>
      </w:tr>
      <w:tr>
        <w:trPr>
          <w:trHeight w:val="270"/>
        </w:trPr>
        <w:tc>
          <w:tcPr>
            <w:tcW w:w="140" w:type="dxa"/>
            <w:vAlign w:val="bottom"/>
          </w:tcPr>
          <w:p>
            <w:pPr>
              <w:spacing w:after="0"/>
              <w:rPr>
                <w:sz w:val="23"/>
                <w:szCs w:val="23"/>
                <w:color w:val="auto"/>
              </w:rPr>
            </w:pPr>
          </w:p>
        </w:tc>
        <w:tc>
          <w:tcPr>
            <w:tcW w:w="1240" w:type="dxa"/>
            <w:vAlign w:val="bottom"/>
          </w:tcPr>
          <w:p>
            <w:pPr>
              <w:jc w:val="right"/>
              <w:ind w:right="19"/>
              <w:spacing w:after="0"/>
              <w:rPr>
                <w:sz w:val="20"/>
                <w:szCs w:val="20"/>
                <w:color w:val="auto"/>
              </w:rPr>
            </w:pPr>
            <w:r>
              <w:rPr>
                <w:rFonts w:ascii="Arial" w:cs="Arial" w:eastAsia="Arial" w:hAnsi="Arial"/>
                <w:sz w:val="16"/>
                <w:szCs w:val="16"/>
                <w:color w:val="auto"/>
              </w:rPr>
              <w:t>2,848</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5,235</w:t>
            </w:r>
          </w:p>
        </w:tc>
      </w:tr>
      <w:tr>
        <w:trPr>
          <w:trHeight w:val="33"/>
        </w:trPr>
        <w:tc>
          <w:tcPr>
            <w:tcW w:w="1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17"/>
        </w:trPr>
        <w:tc>
          <w:tcPr>
            <w:tcW w:w="140" w:type="dxa"/>
            <w:vAlign w:val="bottom"/>
          </w:tcPr>
          <w:p>
            <w:pPr>
              <w:spacing w:after="0"/>
              <w:rPr>
                <w:sz w:val="18"/>
                <w:szCs w:val="18"/>
                <w:color w:val="auto"/>
              </w:rPr>
            </w:pPr>
          </w:p>
        </w:tc>
        <w:tc>
          <w:tcPr>
            <w:tcW w:w="1240" w:type="dxa"/>
            <w:vAlign w:val="bottom"/>
          </w:tcPr>
          <w:p>
            <w:pPr>
              <w:jc w:val="right"/>
              <w:ind w:right="19"/>
              <w:spacing w:after="0"/>
              <w:rPr>
                <w:sz w:val="20"/>
                <w:szCs w:val="20"/>
                <w:color w:val="auto"/>
              </w:rPr>
            </w:pPr>
            <w:r>
              <w:rPr>
                <w:rFonts w:ascii="Arial" w:cs="Arial" w:eastAsia="Arial" w:hAnsi="Arial"/>
                <w:sz w:val="16"/>
                <w:szCs w:val="16"/>
                <w:color w:val="auto"/>
              </w:rPr>
              <w:t>133,104</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139,409</w:t>
            </w:r>
          </w:p>
        </w:tc>
      </w:tr>
      <w:tr>
        <w:trPr>
          <w:trHeight w:val="270"/>
        </w:trPr>
        <w:tc>
          <w:tcPr>
            <w:tcW w:w="140" w:type="dxa"/>
            <w:vAlign w:val="bottom"/>
          </w:tcPr>
          <w:p>
            <w:pPr>
              <w:spacing w:after="0"/>
              <w:rPr>
                <w:sz w:val="23"/>
                <w:szCs w:val="23"/>
                <w:color w:val="auto"/>
              </w:rPr>
            </w:pPr>
          </w:p>
        </w:tc>
        <w:tc>
          <w:tcPr>
            <w:tcW w:w="1240" w:type="dxa"/>
            <w:vAlign w:val="bottom"/>
          </w:tcPr>
          <w:p>
            <w:pPr>
              <w:jc w:val="right"/>
              <w:ind w:right="19"/>
              <w:spacing w:after="0"/>
              <w:rPr>
                <w:sz w:val="20"/>
                <w:szCs w:val="20"/>
                <w:color w:val="auto"/>
              </w:rPr>
            </w:pPr>
            <w:r>
              <w:rPr>
                <w:rFonts w:ascii="Arial" w:cs="Arial" w:eastAsia="Arial" w:hAnsi="Arial"/>
                <w:sz w:val="16"/>
                <w:szCs w:val="16"/>
                <w:color w:val="auto"/>
              </w:rPr>
              <w:t>257,996</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244,861</w:t>
            </w:r>
          </w:p>
        </w:tc>
      </w:tr>
      <w:tr>
        <w:trPr>
          <w:trHeight w:val="270"/>
        </w:trPr>
        <w:tc>
          <w:tcPr>
            <w:tcW w:w="140" w:type="dxa"/>
            <w:vAlign w:val="bottom"/>
          </w:tcPr>
          <w:p>
            <w:pPr>
              <w:spacing w:after="0"/>
              <w:rPr>
                <w:sz w:val="23"/>
                <w:szCs w:val="23"/>
                <w:color w:val="auto"/>
              </w:rPr>
            </w:pPr>
          </w:p>
        </w:tc>
        <w:tc>
          <w:tcPr>
            <w:tcW w:w="1240" w:type="dxa"/>
            <w:vAlign w:val="bottom"/>
          </w:tcPr>
          <w:p>
            <w:pPr>
              <w:jc w:val="right"/>
              <w:ind w:right="19"/>
              <w:spacing w:after="0"/>
              <w:rPr>
                <w:sz w:val="20"/>
                <w:szCs w:val="20"/>
                <w:color w:val="auto"/>
              </w:rPr>
            </w:pPr>
            <w:r>
              <w:rPr>
                <w:rFonts w:ascii="Arial" w:cs="Arial" w:eastAsia="Arial" w:hAnsi="Arial"/>
                <w:sz w:val="16"/>
                <w:szCs w:val="16"/>
                <w:color w:val="auto"/>
              </w:rPr>
              <w:t>133,578</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126,233</w:t>
            </w:r>
          </w:p>
        </w:tc>
      </w:tr>
      <w:tr>
        <w:trPr>
          <w:trHeight w:val="33"/>
        </w:trPr>
        <w:tc>
          <w:tcPr>
            <w:tcW w:w="1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17"/>
        </w:trPr>
        <w:tc>
          <w:tcPr>
            <w:tcW w:w="140" w:type="dxa"/>
            <w:vAlign w:val="bottom"/>
          </w:tcPr>
          <w:p>
            <w:pPr>
              <w:spacing w:after="0"/>
              <w:rPr>
                <w:sz w:val="18"/>
                <w:szCs w:val="18"/>
                <w:color w:val="auto"/>
              </w:rPr>
            </w:pPr>
          </w:p>
        </w:tc>
        <w:tc>
          <w:tcPr>
            <w:tcW w:w="1240" w:type="dxa"/>
            <w:vAlign w:val="bottom"/>
          </w:tcPr>
          <w:p>
            <w:pPr>
              <w:jc w:val="right"/>
              <w:ind w:right="19"/>
              <w:spacing w:after="0"/>
              <w:rPr>
                <w:sz w:val="20"/>
                <w:szCs w:val="20"/>
                <w:color w:val="auto"/>
              </w:rPr>
            </w:pPr>
            <w:r>
              <w:rPr>
                <w:rFonts w:ascii="Arial" w:cs="Arial" w:eastAsia="Arial" w:hAnsi="Arial"/>
                <w:sz w:val="16"/>
                <w:szCs w:val="16"/>
                <w:color w:val="auto"/>
              </w:rPr>
              <w:t>124,418</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118,628</w:t>
            </w:r>
          </w:p>
        </w:tc>
      </w:tr>
      <w:tr>
        <w:trPr>
          <w:trHeight w:val="540"/>
        </w:trPr>
        <w:tc>
          <w:tcPr>
            <w:tcW w:w="140" w:type="dxa"/>
            <w:vAlign w:val="bottom"/>
          </w:tcPr>
          <w:p>
            <w:pPr>
              <w:spacing w:after="0"/>
              <w:rPr>
                <w:sz w:val="24"/>
                <w:szCs w:val="24"/>
                <w:color w:val="auto"/>
              </w:rPr>
            </w:pPr>
          </w:p>
        </w:tc>
        <w:tc>
          <w:tcPr>
            <w:tcW w:w="1240" w:type="dxa"/>
            <w:vAlign w:val="bottom"/>
          </w:tcPr>
          <w:p>
            <w:pPr>
              <w:jc w:val="right"/>
              <w:ind w:right="19"/>
              <w:spacing w:after="0"/>
              <w:rPr>
                <w:sz w:val="20"/>
                <w:szCs w:val="20"/>
                <w:color w:val="auto"/>
              </w:rPr>
            </w:pPr>
            <w:r>
              <w:rPr>
                <w:rFonts w:ascii="Arial" w:cs="Arial" w:eastAsia="Arial" w:hAnsi="Arial"/>
                <w:sz w:val="16"/>
                <w:szCs w:val="16"/>
                <w:color w:val="auto"/>
              </w:rPr>
              <w:t>9,529</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270"/>
        </w:trPr>
        <w:tc>
          <w:tcPr>
            <w:tcW w:w="140" w:type="dxa"/>
            <w:vAlign w:val="bottom"/>
          </w:tcPr>
          <w:p>
            <w:pPr>
              <w:spacing w:after="0"/>
              <w:rPr>
                <w:sz w:val="23"/>
                <w:szCs w:val="23"/>
                <w:color w:val="auto"/>
              </w:rPr>
            </w:pPr>
          </w:p>
        </w:tc>
        <w:tc>
          <w:tcPr>
            <w:tcW w:w="1240" w:type="dxa"/>
            <w:vAlign w:val="bottom"/>
          </w:tcPr>
          <w:p>
            <w:pPr>
              <w:jc w:val="right"/>
              <w:ind w:right="19"/>
              <w:spacing w:after="0"/>
              <w:rPr>
                <w:sz w:val="20"/>
                <w:szCs w:val="20"/>
                <w:color w:val="auto"/>
              </w:rPr>
            </w:pPr>
            <w:r>
              <w:rPr>
                <w:rFonts w:ascii="Arial" w:cs="Arial" w:eastAsia="Arial" w:hAnsi="Arial"/>
                <w:sz w:val="16"/>
                <w:szCs w:val="16"/>
                <w:color w:val="auto"/>
              </w:rPr>
              <w:t>58,440</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58,440</w:t>
            </w:r>
          </w:p>
        </w:tc>
      </w:tr>
      <w:tr>
        <w:trPr>
          <w:trHeight w:val="270"/>
        </w:trPr>
        <w:tc>
          <w:tcPr>
            <w:tcW w:w="140" w:type="dxa"/>
            <w:vAlign w:val="bottom"/>
          </w:tcPr>
          <w:p>
            <w:pPr>
              <w:spacing w:after="0"/>
              <w:rPr>
                <w:sz w:val="23"/>
                <w:szCs w:val="23"/>
                <w:color w:val="auto"/>
              </w:rPr>
            </w:pPr>
          </w:p>
        </w:tc>
        <w:tc>
          <w:tcPr>
            <w:tcW w:w="1240" w:type="dxa"/>
            <w:vAlign w:val="bottom"/>
          </w:tcPr>
          <w:p>
            <w:pPr>
              <w:jc w:val="right"/>
              <w:ind w:right="19"/>
              <w:spacing w:after="0"/>
              <w:rPr>
                <w:sz w:val="20"/>
                <w:szCs w:val="20"/>
                <w:color w:val="auto"/>
              </w:rPr>
            </w:pPr>
            <w:r>
              <w:rPr>
                <w:rFonts w:ascii="Arial" w:cs="Arial" w:eastAsia="Arial" w:hAnsi="Arial"/>
                <w:sz w:val="16"/>
                <w:szCs w:val="16"/>
                <w:color w:val="auto"/>
              </w:rPr>
              <w:t>63,189</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65,726</w:t>
            </w:r>
          </w:p>
        </w:tc>
      </w:tr>
      <w:tr>
        <w:trPr>
          <w:trHeight w:val="270"/>
        </w:trPr>
        <w:tc>
          <w:tcPr>
            <w:tcW w:w="140" w:type="dxa"/>
            <w:vAlign w:val="bottom"/>
          </w:tcPr>
          <w:p>
            <w:pPr>
              <w:spacing w:after="0"/>
              <w:rPr>
                <w:sz w:val="23"/>
                <w:szCs w:val="23"/>
                <w:color w:val="auto"/>
              </w:rPr>
            </w:pPr>
          </w:p>
        </w:tc>
        <w:tc>
          <w:tcPr>
            <w:tcW w:w="1240" w:type="dxa"/>
            <w:vAlign w:val="bottom"/>
          </w:tcPr>
          <w:p>
            <w:pPr>
              <w:jc w:val="right"/>
              <w:ind w:right="19"/>
              <w:spacing w:after="0"/>
              <w:rPr>
                <w:sz w:val="20"/>
                <w:szCs w:val="20"/>
                <w:color w:val="auto"/>
              </w:rPr>
            </w:pPr>
            <w:r>
              <w:rPr>
                <w:rFonts w:ascii="Arial" w:cs="Arial" w:eastAsia="Arial" w:hAnsi="Arial"/>
                <w:sz w:val="16"/>
                <w:szCs w:val="16"/>
                <w:color w:val="auto"/>
              </w:rPr>
              <w:t>4,362</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3,396</w:t>
            </w:r>
          </w:p>
        </w:tc>
      </w:tr>
    </w:tbl>
    <w:p>
      <w:pPr>
        <w:spacing w:after="0" w:line="13" w:lineRule="exact"/>
        <w:rPr>
          <w:sz w:val="20"/>
          <w:szCs w:val="20"/>
          <w:color w:val="auto"/>
        </w:rPr>
      </w:pPr>
    </w:p>
    <w:p>
      <w:pPr>
        <w:sectPr>
          <w:pgSz w:w="11900" w:h="16838" w:orient="portrait"/>
          <w:cols w:equalWidth="0" w:num="2">
            <w:col w:w="7860" w:space="720"/>
            <w:col w:w="2840"/>
          </w:cols>
          <w:pgMar w:left="240" w:top="580" w:right="239" w:bottom="1084" w:gutter="0" w:footer="0" w:header="0"/>
          <w:type w:val="continuous"/>
        </w:sectPr>
      </w:pPr>
    </w:p>
    <w:tbl>
      <w:tblPr>
        <w:tblLayout w:type="fixed"/>
        <w:tblInd w:w="0" w:type="dxa"/>
        <w:tblCellMar>
          <w:top w:w="0" w:type="dxa"/>
          <w:left w:w="0" w:type="dxa"/>
          <w:bottom w:w="0" w:type="dxa"/>
          <w:right w:w="0" w:type="dxa"/>
        </w:tblCellMar>
      </w:tblPr>
      <w:tr>
        <w:trPr>
          <w:trHeight w:val="237"/>
        </w:trPr>
        <w:tc>
          <w:tcPr>
            <w:tcW w:w="8580" w:type="dxa"/>
            <w:vAlign w:val="bottom"/>
          </w:tcPr>
          <w:p>
            <w:pPr>
              <w:ind w:left="820"/>
              <w:spacing w:after="0"/>
              <w:rPr>
                <w:sz w:val="20"/>
                <w:szCs w:val="20"/>
                <w:color w:val="auto"/>
              </w:rPr>
            </w:pPr>
            <w:r>
              <w:rPr>
                <w:rFonts w:ascii="Arial" w:cs="Arial" w:eastAsia="Arial" w:hAnsi="Arial"/>
                <w:sz w:val="16"/>
                <w:szCs w:val="16"/>
                <w:color w:val="auto"/>
              </w:rPr>
              <w:t>Total other assets</w:t>
            </w:r>
          </w:p>
        </w:tc>
        <w:tc>
          <w:tcPr>
            <w:tcW w:w="42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135,520</w:t>
            </w:r>
          </w:p>
        </w:tc>
        <w:tc>
          <w:tcPr>
            <w:tcW w:w="10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127,562</w:t>
            </w:r>
          </w:p>
        </w:tc>
        <w:tc>
          <w:tcPr>
            <w:tcW w:w="0" w:type="dxa"/>
            <w:vAlign w:val="bottom"/>
          </w:tcPr>
          <w:p>
            <w:pPr>
              <w:spacing w:after="0"/>
              <w:rPr>
                <w:sz w:val="1"/>
                <w:szCs w:val="1"/>
                <w:color w:val="auto"/>
              </w:rPr>
            </w:pPr>
          </w:p>
        </w:tc>
      </w:tr>
      <w:tr>
        <w:trPr>
          <w:trHeight w:val="33"/>
        </w:trPr>
        <w:tc>
          <w:tcPr>
            <w:tcW w:w="858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5"/>
        </w:trPr>
        <w:tc>
          <w:tcPr>
            <w:tcW w:w="8580" w:type="dxa"/>
            <w:vAlign w:val="bottom"/>
            <w:tcBorders>
              <w:bottom w:val="single" w:sz="8" w:color="CCEEFF"/>
            </w:tcBorders>
            <w:shd w:val="clear" w:color="auto" w:fill="CCEEFF"/>
          </w:tcPr>
          <w:p>
            <w:pPr>
              <w:ind w:left="820"/>
              <w:spacing w:after="0"/>
              <w:rPr>
                <w:sz w:val="20"/>
                <w:szCs w:val="20"/>
                <w:color w:val="auto"/>
              </w:rPr>
            </w:pPr>
            <w:r>
              <w:rPr>
                <w:rFonts w:ascii="Arial" w:cs="Arial" w:eastAsia="Arial" w:hAnsi="Arial"/>
                <w:sz w:val="16"/>
                <w:szCs w:val="16"/>
                <w:color w:val="auto"/>
              </w:rPr>
              <w:t>Total assets</w:t>
            </w:r>
          </w:p>
        </w:tc>
        <w:tc>
          <w:tcPr>
            <w:tcW w:w="420" w:type="dxa"/>
            <w:vAlign w:val="bottom"/>
            <w:tcBorders>
              <w:bottom w:val="single" w:sz="8" w:color="CCEEFF"/>
            </w:tcBorders>
            <w:shd w:val="clear" w:color="auto" w:fill="CCEEFF"/>
          </w:tcPr>
          <w:p>
            <w:pPr>
              <w:jc w:val="right"/>
              <w:ind w:right="219"/>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393,042</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1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385,599</w:t>
            </w:r>
          </w:p>
        </w:tc>
        <w:tc>
          <w:tcPr>
            <w:tcW w:w="0" w:type="dxa"/>
            <w:vAlign w:val="bottom"/>
          </w:tcPr>
          <w:p>
            <w:pPr>
              <w:spacing w:after="0"/>
              <w:rPr>
                <w:sz w:val="1"/>
                <w:szCs w:val="1"/>
                <w:color w:val="auto"/>
              </w:rPr>
            </w:pPr>
          </w:p>
        </w:tc>
      </w:tr>
      <w:tr>
        <w:trPr>
          <w:trHeight w:val="20"/>
        </w:trPr>
        <w:tc>
          <w:tcPr>
            <w:tcW w:w="858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6"/>
                <w:szCs w:val="16"/>
                <w:b w:val="1"/>
                <w:bCs w:val="1"/>
                <w:color w:val="auto"/>
              </w:rPr>
              <w:t>LIABILITIES AND SHAREHOLDERS’ EQUITY</w:t>
            </w:r>
          </w:p>
        </w:tc>
        <w:tc>
          <w:tcPr>
            <w:tcW w:w="4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8580" w:type="dxa"/>
            <w:vAlign w:val="bottom"/>
            <w:vMerge w:val="continue"/>
          </w:tcPr>
          <w:p>
            <w:pPr>
              <w:spacing w:after="0"/>
              <w:rPr>
                <w:sz w:val="17"/>
                <w:szCs w:val="17"/>
                <w:color w:val="auto"/>
              </w:rPr>
            </w:pPr>
          </w:p>
        </w:tc>
        <w:tc>
          <w:tcPr>
            <w:tcW w:w="4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3"/>
        </w:trPr>
        <w:tc>
          <w:tcPr>
            <w:tcW w:w="8580" w:type="dxa"/>
            <w:vAlign w:val="bottom"/>
          </w:tcPr>
          <w:p>
            <w:pPr>
              <w:spacing w:after="0"/>
              <w:rPr>
                <w:sz w:val="2"/>
                <w:szCs w:val="2"/>
                <w:color w:val="auto"/>
              </w:rPr>
            </w:pPr>
          </w:p>
        </w:tc>
        <w:tc>
          <w:tcPr>
            <w:tcW w:w="4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CURRENT LIABILITIES:</w:t>
            </w:r>
          </w:p>
        </w:tc>
        <w:tc>
          <w:tcPr>
            <w:tcW w:w="4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8580" w:type="dxa"/>
            <w:vAlign w:val="bottom"/>
          </w:tcPr>
          <w:p>
            <w:pPr>
              <w:ind w:left="380"/>
              <w:spacing w:after="0"/>
              <w:rPr>
                <w:sz w:val="20"/>
                <w:szCs w:val="20"/>
                <w:color w:val="auto"/>
              </w:rPr>
            </w:pPr>
            <w:r>
              <w:rPr>
                <w:rFonts w:ascii="Arial" w:cs="Arial" w:eastAsia="Arial" w:hAnsi="Arial"/>
                <w:sz w:val="16"/>
                <w:szCs w:val="16"/>
                <w:color w:val="auto"/>
              </w:rPr>
              <w:t>Accounts payable — trade</w:t>
            </w:r>
          </w:p>
        </w:tc>
        <w:tc>
          <w:tcPr>
            <w:tcW w:w="420" w:type="dxa"/>
            <w:vAlign w:val="bottom"/>
          </w:tcPr>
          <w:p>
            <w:pPr>
              <w:jc w:val="right"/>
              <w:ind w:right="219"/>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29,624</w:t>
            </w:r>
          </w:p>
        </w:tc>
        <w:tc>
          <w:tcPr>
            <w:tcW w:w="100" w:type="dxa"/>
            <w:vAlign w:val="bottom"/>
          </w:tcPr>
          <w:p>
            <w:pPr>
              <w:spacing w:after="0"/>
              <w:rPr>
                <w:sz w:val="20"/>
                <w:szCs w:val="20"/>
                <w:color w:val="auto"/>
              </w:rPr>
            </w:pPr>
          </w:p>
        </w:tc>
        <w:tc>
          <w:tcPr>
            <w:tcW w:w="420" w:type="dxa"/>
            <w:vAlign w:val="bottom"/>
          </w:tcPr>
          <w:p>
            <w:pPr>
              <w:jc w:val="right"/>
              <w:ind w:right="219"/>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29,314</w:t>
            </w:r>
          </w:p>
        </w:tc>
        <w:tc>
          <w:tcPr>
            <w:tcW w:w="0" w:type="dxa"/>
            <w:vAlign w:val="bottom"/>
          </w:tcPr>
          <w:p>
            <w:pPr>
              <w:spacing w:after="0"/>
              <w:rPr>
                <w:sz w:val="1"/>
                <w:szCs w:val="1"/>
                <w:color w:val="auto"/>
              </w:rPr>
            </w:pPr>
          </w:p>
        </w:tc>
      </w:tr>
      <w:tr>
        <w:trPr>
          <w:trHeight w:val="33"/>
        </w:trPr>
        <w:tc>
          <w:tcPr>
            <w:tcW w:w="8580" w:type="dxa"/>
            <w:vAlign w:val="bottom"/>
          </w:tcPr>
          <w:p>
            <w:pPr>
              <w:spacing w:after="0"/>
              <w:rPr>
                <w:sz w:val="2"/>
                <w:szCs w:val="2"/>
                <w:color w:val="auto"/>
              </w:rPr>
            </w:pPr>
          </w:p>
        </w:tc>
        <w:tc>
          <w:tcPr>
            <w:tcW w:w="4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Accrued payroll and employee benefits</w:t>
            </w:r>
          </w:p>
        </w:tc>
        <w:tc>
          <w:tcPr>
            <w:tcW w:w="4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8,862</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12,483</w:t>
            </w:r>
          </w:p>
        </w:tc>
        <w:tc>
          <w:tcPr>
            <w:tcW w:w="0" w:type="dxa"/>
            <w:vAlign w:val="bottom"/>
          </w:tcPr>
          <w:p>
            <w:pPr>
              <w:spacing w:after="0"/>
              <w:rPr>
                <w:sz w:val="1"/>
                <w:szCs w:val="1"/>
                <w:color w:val="auto"/>
              </w:rPr>
            </w:pPr>
          </w:p>
        </w:tc>
      </w:tr>
      <w:tr>
        <w:trPr>
          <w:trHeight w:val="237"/>
        </w:trPr>
        <w:tc>
          <w:tcPr>
            <w:tcW w:w="8580" w:type="dxa"/>
            <w:vAlign w:val="bottom"/>
          </w:tcPr>
          <w:p>
            <w:pPr>
              <w:ind w:left="380"/>
              <w:spacing w:after="0"/>
              <w:rPr>
                <w:sz w:val="20"/>
                <w:szCs w:val="20"/>
                <w:color w:val="auto"/>
              </w:rPr>
            </w:pPr>
            <w:r>
              <w:rPr>
                <w:rFonts w:ascii="Arial" w:cs="Arial" w:eastAsia="Arial" w:hAnsi="Arial"/>
                <w:sz w:val="16"/>
                <w:szCs w:val="16"/>
                <w:color w:val="auto"/>
              </w:rPr>
              <w:t>Income tax payable</w:t>
            </w:r>
          </w:p>
        </w:tc>
        <w:tc>
          <w:tcPr>
            <w:tcW w:w="420" w:type="dxa"/>
            <w:vAlign w:val="bottom"/>
          </w:tcPr>
          <w:p>
            <w:pPr>
              <w:spacing w:after="0"/>
              <w:rPr>
                <w:sz w:val="20"/>
                <w:szCs w:val="20"/>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735</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8580" w:type="dxa"/>
            <w:vAlign w:val="bottom"/>
          </w:tcPr>
          <w:p>
            <w:pPr>
              <w:spacing w:after="0"/>
              <w:rPr>
                <w:sz w:val="2"/>
                <w:szCs w:val="2"/>
                <w:color w:val="auto"/>
              </w:rPr>
            </w:pPr>
          </w:p>
        </w:tc>
        <w:tc>
          <w:tcPr>
            <w:tcW w:w="4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Current portion of long-term debt</w:t>
            </w:r>
          </w:p>
        </w:tc>
        <w:tc>
          <w:tcPr>
            <w:tcW w:w="4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9,907</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9,907</w:t>
            </w:r>
          </w:p>
        </w:tc>
        <w:tc>
          <w:tcPr>
            <w:tcW w:w="0" w:type="dxa"/>
            <w:vAlign w:val="bottom"/>
          </w:tcPr>
          <w:p>
            <w:pPr>
              <w:spacing w:after="0"/>
              <w:rPr>
                <w:sz w:val="1"/>
                <w:szCs w:val="1"/>
                <w:color w:val="auto"/>
              </w:rPr>
            </w:pPr>
          </w:p>
        </w:tc>
      </w:tr>
      <w:tr>
        <w:trPr>
          <w:trHeight w:val="237"/>
        </w:trPr>
        <w:tc>
          <w:tcPr>
            <w:tcW w:w="8580" w:type="dxa"/>
            <w:vAlign w:val="bottom"/>
          </w:tcPr>
          <w:p>
            <w:pPr>
              <w:ind w:left="380"/>
              <w:spacing w:after="0"/>
              <w:rPr>
                <w:sz w:val="20"/>
                <w:szCs w:val="20"/>
                <w:color w:val="auto"/>
              </w:rPr>
            </w:pPr>
            <w:r>
              <w:rPr>
                <w:rFonts w:ascii="Arial" w:cs="Arial" w:eastAsia="Arial" w:hAnsi="Arial"/>
                <w:sz w:val="16"/>
                <w:szCs w:val="16"/>
                <w:color w:val="auto"/>
              </w:rPr>
              <w:t>Short-term lease liability</w:t>
            </w:r>
          </w:p>
        </w:tc>
        <w:tc>
          <w:tcPr>
            <w:tcW w:w="420" w:type="dxa"/>
            <w:vAlign w:val="bottom"/>
          </w:tcPr>
          <w:p>
            <w:pPr>
              <w:spacing w:after="0"/>
              <w:rPr>
                <w:sz w:val="20"/>
                <w:szCs w:val="20"/>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1,664</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8580" w:type="dxa"/>
            <w:vAlign w:val="bottom"/>
          </w:tcPr>
          <w:p>
            <w:pPr>
              <w:spacing w:after="0"/>
              <w:rPr>
                <w:sz w:val="2"/>
                <w:szCs w:val="2"/>
                <w:color w:val="auto"/>
              </w:rPr>
            </w:pPr>
          </w:p>
        </w:tc>
        <w:tc>
          <w:tcPr>
            <w:tcW w:w="4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Container deposits</w:t>
            </w:r>
          </w:p>
        </w:tc>
        <w:tc>
          <w:tcPr>
            <w:tcW w:w="4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1,352</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1,299</w:t>
            </w:r>
          </w:p>
        </w:tc>
        <w:tc>
          <w:tcPr>
            <w:tcW w:w="0" w:type="dxa"/>
            <w:vAlign w:val="bottom"/>
          </w:tcPr>
          <w:p>
            <w:pPr>
              <w:spacing w:after="0"/>
              <w:rPr>
                <w:sz w:val="1"/>
                <w:szCs w:val="1"/>
                <w:color w:val="auto"/>
              </w:rPr>
            </w:pPr>
          </w:p>
        </w:tc>
      </w:tr>
      <w:tr>
        <w:trPr>
          <w:trHeight w:val="237"/>
        </w:trPr>
        <w:tc>
          <w:tcPr>
            <w:tcW w:w="8580" w:type="dxa"/>
            <w:vAlign w:val="bottom"/>
          </w:tcPr>
          <w:p>
            <w:pPr>
              <w:ind w:left="380"/>
              <w:spacing w:after="0"/>
              <w:rPr>
                <w:sz w:val="20"/>
                <w:szCs w:val="20"/>
                <w:color w:val="auto"/>
              </w:rPr>
            </w:pPr>
            <w:r>
              <w:rPr>
                <w:rFonts w:ascii="Arial" w:cs="Arial" w:eastAsia="Arial" w:hAnsi="Arial"/>
                <w:sz w:val="16"/>
                <w:szCs w:val="16"/>
                <w:color w:val="auto"/>
              </w:rPr>
              <w:t>Other current liabilities</w:t>
            </w:r>
          </w:p>
        </w:tc>
        <w:tc>
          <w:tcPr>
            <w:tcW w:w="420" w:type="dxa"/>
            <w:vAlign w:val="bottom"/>
          </w:tcPr>
          <w:p>
            <w:pPr>
              <w:spacing w:after="0"/>
              <w:rPr>
                <w:sz w:val="20"/>
                <w:szCs w:val="20"/>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1,709</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2,393</w:t>
            </w:r>
          </w:p>
        </w:tc>
        <w:tc>
          <w:tcPr>
            <w:tcW w:w="0" w:type="dxa"/>
            <w:vAlign w:val="bottom"/>
          </w:tcPr>
          <w:p>
            <w:pPr>
              <w:spacing w:after="0"/>
              <w:rPr>
                <w:sz w:val="1"/>
                <w:szCs w:val="1"/>
                <w:color w:val="auto"/>
              </w:rPr>
            </w:pPr>
          </w:p>
        </w:tc>
      </w:tr>
      <w:tr>
        <w:trPr>
          <w:trHeight w:val="33"/>
        </w:trPr>
        <w:tc>
          <w:tcPr>
            <w:tcW w:w="858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8580" w:type="dxa"/>
            <w:vAlign w:val="bottom"/>
            <w:tcBorders>
              <w:bottom w:val="single" w:sz="8" w:color="CCEEFF"/>
            </w:tcBorders>
            <w:shd w:val="clear" w:color="auto" w:fill="CCEEFF"/>
          </w:tcPr>
          <w:p>
            <w:pPr>
              <w:ind w:left="820"/>
              <w:spacing w:after="0"/>
              <w:rPr>
                <w:sz w:val="20"/>
                <w:szCs w:val="20"/>
                <w:color w:val="auto"/>
              </w:rPr>
            </w:pPr>
            <w:r>
              <w:rPr>
                <w:rFonts w:ascii="Arial" w:cs="Arial" w:eastAsia="Arial" w:hAnsi="Arial"/>
                <w:sz w:val="16"/>
                <w:szCs w:val="16"/>
                <w:color w:val="auto"/>
              </w:rPr>
              <w:t>Total current liabilities</w:t>
            </w:r>
          </w:p>
        </w:tc>
        <w:tc>
          <w:tcPr>
            <w:tcW w:w="42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53,853</w:t>
            </w:r>
          </w:p>
        </w:tc>
        <w:tc>
          <w:tcPr>
            <w:tcW w:w="10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55,396</w:t>
            </w:r>
          </w:p>
        </w:tc>
        <w:tc>
          <w:tcPr>
            <w:tcW w:w="0" w:type="dxa"/>
            <w:vAlign w:val="bottom"/>
          </w:tcPr>
          <w:p>
            <w:pPr>
              <w:spacing w:after="0"/>
              <w:rPr>
                <w:sz w:val="1"/>
                <w:szCs w:val="1"/>
                <w:color w:val="auto"/>
              </w:rPr>
            </w:pPr>
          </w:p>
        </w:tc>
      </w:tr>
      <w:tr>
        <w:trPr>
          <w:trHeight w:val="237"/>
        </w:trPr>
        <w:tc>
          <w:tcPr>
            <w:tcW w:w="8580" w:type="dxa"/>
            <w:vAlign w:val="bottom"/>
          </w:tcPr>
          <w:p>
            <w:pPr>
              <w:ind w:left="40"/>
              <w:spacing w:after="0"/>
              <w:rPr>
                <w:sz w:val="20"/>
                <w:szCs w:val="20"/>
                <w:color w:val="auto"/>
              </w:rPr>
            </w:pPr>
            <w:r>
              <w:rPr>
                <w:rFonts w:ascii="Arial" w:cs="Arial" w:eastAsia="Arial" w:hAnsi="Arial"/>
                <w:sz w:val="16"/>
                <w:szCs w:val="16"/>
                <w:color w:val="auto"/>
              </w:rPr>
              <w:t>LONG-TERM DEBT, LESS CURRENT PORTION</w:t>
            </w:r>
          </w:p>
        </w:tc>
        <w:tc>
          <w:tcPr>
            <w:tcW w:w="420" w:type="dxa"/>
            <w:vAlign w:val="bottom"/>
          </w:tcPr>
          <w:p>
            <w:pPr>
              <w:spacing w:after="0"/>
              <w:rPr>
                <w:sz w:val="20"/>
                <w:szCs w:val="20"/>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64,705</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74,658</w:t>
            </w:r>
          </w:p>
        </w:tc>
        <w:tc>
          <w:tcPr>
            <w:tcW w:w="0" w:type="dxa"/>
            <w:vAlign w:val="bottom"/>
          </w:tcPr>
          <w:p>
            <w:pPr>
              <w:spacing w:after="0"/>
              <w:rPr>
                <w:sz w:val="1"/>
                <w:szCs w:val="1"/>
                <w:color w:val="auto"/>
              </w:rPr>
            </w:pPr>
          </w:p>
        </w:tc>
      </w:tr>
      <w:tr>
        <w:trPr>
          <w:trHeight w:val="33"/>
        </w:trPr>
        <w:tc>
          <w:tcPr>
            <w:tcW w:w="8580" w:type="dxa"/>
            <w:vAlign w:val="bottom"/>
          </w:tcPr>
          <w:p>
            <w:pPr>
              <w:spacing w:after="0"/>
              <w:rPr>
                <w:sz w:val="2"/>
                <w:szCs w:val="2"/>
                <w:color w:val="auto"/>
              </w:rPr>
            </w:pPr>
          </w:p>
        </w:tc>
        <w:tc>
          <w:tcPr>
            <w:tcW w:w="4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LONG-TERM LEASE LIABILITY</w:t>
            </w:r>
          </w:p>
        </w:tc>
        <w:tc>
          <w:tcPr>
            <w:tcW w:w="4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7,873</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8580" w:type="dxa"/>
            <w:vAlign w:val="bottom"/>
          </w:tcPr>
          <w:p>
            <w:pPr>
              <w:ind w:left="40"/>
              <w:spacing w:after="0"/>
              <w:rPr>
                <w:sz w:val="20"/>
                <w:szCs w:val="20"/>
                <w:color w:val="auto"/>
              </w:rPr>
            </w:pPr>
            <w:r>
              <w:rPr>
                <w:rFonts w:ascii="Arial" w:cs="Arial" w:eastAsia="Arial" w:hAnsi="Arial"/>
                <w:sz w:val="16"/>
                <w:szCs w:val="16"/>
                <w:color w:val="auto"/>
              </w:rPr>
              <w:t>PENSION WITHDRAWAL LIABILITY</w:t>
            </w:r>
          </w:p>
        </w:tc>
        <w:tc>
          <w:tcPr>
            <w:tcW w:w="420" w:type="dxa"/>
            <w:vAlign w:val="bottom"/>
          </w:tcPr>
          <w:p>
            <w:pPr>
              <w:spacing w:after="0"/>
              <w:rPr>
                <w:sz w:val="20"/>
                <w:szCs w:val="20"/>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5,148</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5,316</w:t>
            </w:r>
          </w:p>
        </w:tc>
        <w:tc>
          <w:tcPr>
            <w:tcW w:w="0" w:type="dxa"/>
            <w:vAlign w:val="bottom"/>
          </w:tcPr>
          <w:p>
            <w:pPr>
              <w:spacing w:after="0"/>
              <w:rPr>
                <w:sz w:val="1"/>
                <w:szCs w:val="1"/>
                <w:color w:val="auto"/>
              </w:rPr>
            </w:pPr>
          </w:p>
        </w:tc>
      </w:tr>
      <w:tr>
        <w:trPr>
          <w:trHeight w:val="33"/>
        </w:trPr>
        <w:tc>
          <w:tcPr>
            <w:tcW w:w="8580" w:type="dxa"/>
            <w:vAlign w:val="bottom"/>
          </w:tcPr>
          <w:p>
            <w:pPr>
              <w:spacing w:after="0"/>
              <w:rPr>
                <w:sz w:val="2"/>
                <w:szCs w:val="2"/>
                <w:color w:val="auto"/>
              </w:rPr>
            </w:pPr>
          </w:p>
        </w:tc>
        <w:tc>
          <w:tcPr>
            <w:tcW w:w="4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DEFERRED INCOME TAXES</w:t>
            </w:r>
          </w:p>
        </w:tc>
        <w:tc>
          <w:tcPr>
            <w:tcW w:w="4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26,581</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26,673</w:t>
            </w:r>
          </w:p>
        </w:tc>
        <w:tc>
          <w:tcPr>
            <w:tcW w:w="0" w:type="dxa"/>
            <w:vAlign w:val="bottom"/>
          </w:tcPr>
          <w:p>
            <w:pPr>
              <w:spacing w:after="0"/>
              <w:rPr>
                <w:sz w:val="1"/>
                <w:szCs w:val="1"/>
                <w:color w:val="auto"/>
              </w:rPr>
            </w:pPr>
          </w:p>
        </w:tc>
      </w:tr>
      <w:tr>
        <w:trPr>
          <w:trHeight w:val="237"/>
        </w:trPr>
        <w:tc>
          <w:tcPr>
            <w:tcW w:w="8580" w:type="dxa"/>
            <w:vAlign w:val="bottom"/>
          </w:tcPr>
          <w:p>
            <w:pPr>
              <w:ind w:left="40"/>
              <w:spacing w:after="0"/>
              <w:rPr>
                <w:sz w:val="20"/>
                <w:szCs w:val="20"/>
                <w:color w:val="auto"/>
              </w:rPr>
            </w:pPr>
            <w:r>
              <w:rPr>
                <w:rFonts w:ascii="Arial" w:cs="Arial" w:eastAsia="Arial" w:hAnsi="Arial"/>
                <w:sz w:val="16"/>
                <w:szCs w:val="16"/>
                <w:color w:val="auto"/>
              </w:rPr>
              <w:t>OTHER LONG-TERM LIABILITIES</w:t>
            </w:r>
          </w:p>
        </w:tc>
        <w:tc>
          <w:tcPr>
            <w:tcW w:w="420" w:type="dxa"/>
            <w:vAlign w:val="bottom"/>
          </w:tcPr>
          <w:p>
            <w:pPr>
              <w:spacing w:after="0"/>
              <w:rPr>
                <w:sz w:val="20"/>
                <w:szCs w:val="20"/>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5,447</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5,695</w:t>
            </w:r>
          </w:p>
        </w:tc>
        <w:tc>
          <w:tcPr>
            <w:tcW w:w="0" w:type="dxa"/>
            <w:vAlign w:val="bottom"/>
          </w:tcPr>
          <w:p>
            <w:pPr>
              <w:spacing w:after="0"/>
              <w:rPr>
                <w:sz w:val="1"/>
                <w:szCs w:val="1"/>
                <w:color w:val="auto"/>
              </w:rPr>
            </w:pPr>
          </w:p>
        </w:tc>
      </w:tr>
      <w:tr>
        <w:trPr>
          <w:trHeight w:val="33"/>
        </w:trPr>
        <w:tc>
          <w:tcPr>
            <w:tcW w:w="858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8580" w:type="dxa"/>
            <w:vAlign w:val="bottom"/>
            <w:tcBorders>
              <w:bottom w:val="single" w:sz="8" w:color="CCEEFF"/>
            </w:tcBorders>
            <w:shd w:val="clear" w:color="auto" w:fill="CCEEFF"/>
          </w:tcPr>
          <w:p>
            <w:pPr>
              <w:ind w:left="820"/>
              <w:spacing w:after="0"/>
              <w:rPr>
                <w:sz w:val="20"/>
                <w:szCs w:val="20"/>
                <w:color w:val="auto"/>
              </w:rPr>
            </w:pPr>
            <w:r>
              <w:rPr>
                <w:rFonts w:ascii="Arial" w:cs="Arial" w:eastAsia="Arial" w:hAnsi="Arial"/>
                <w:sz w:val="16"/>
                <w:szCs w:val="16"/>
                <w:color w:val="auto"/>
              </w:rPr>
              <w:t>Total liabilities</w:t>
            </w:r>
          </w:p>
        </w:tc>
        <w:tc>
          <w:tcPr>
            <w:tcW w:w="42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163,607</w:t>
            </w:r>
          </w:p>
        </w:tc>
        <w:tc>
          <w:tcPr>
            <w:tcW w:w="10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167,738</w:t>
            </w:r>
          </w:p>
        </w:tc>
        <w:tc>
          <w:tcPr>
            <w:tcW w:w="0" w:type="dxa"/>
            <w:vAlign w:val="bottom"/>
          </w:tcPr>
          <w:p>
            <w:pPr>
              <w:spacing w:after="0"/>
              <w:rPr>
                <w:sz w:val="1"/>
                <w:szCs w:val="1"/>
                <w:color w:val="auto"/>
              </w:rPr>
            </w:pPr>
          </w:p>
        </w:tc>
      </w:tr>
      <w:tr>
        <w:trPr>
          <w:trHeight w:val="237"/>
        </w:trPr>
        <w:tc>
          <w:tcPr>
            <w:tcW w:w="8580" w:type="dxa"/>
            <w:vAlign w:val="bottom"/>
          </w:tcPr>
          <w:p>
            <w:pPr>
              <w:ind w:left="40"/>
              <w:spacing w:after="0"/>
              <w:rPr>
                <w:sz w:val="20"/>
                <w:szCs w:val="20"/>
                <w:color w:val="auto"/>
              </w:rPr>
            </w:pPr>
            <w:r>
              <w:rPr>
                <w:rFonts w:ascii="Arial" w:cs="Arial" w:eastAsia="Arial" w:hAnsi="Arial"/>
                <w:sz w:val="16"/>
                <w:szCs w:val="16"/>
                <w:color w:val="auto"/>
              </w:rPr>
              <w:t>COMMITMENTS AND CONTINGENCIES</w:t>
            </w:r>
          </w:p>
        </w:tc>
        <w:tc>
          <w:tcPr>
            <w:tcW w:w="420" w:type="dxa"/>
            <w:vAlign w:val="bottom"/>
          </w:tcPr>
          <w:p>
            <w:pPr>
              <w:spacing w:after="0"/>
              <w:rPr>
                <w:sz w:val="20"/>
                <w:szCs w:val="20"/>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420" w:type="dxa"/>
            <w:vAlign w:val="bottom"/>
          </w:tcPr>
          <w:p>
            <w:pPr>
              <w:spacing w:after="0"/>
              <w:rPr>
                <w:sz w:val="20"/>
                <w:szCs w:val="20"/>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8580" w:type="dxa"/>
            <w:vAlign w:val="bottom"/>
          </w:tcPr>
          <w:p>
            <w:pPr>
              <w:spacing w:after="0"/>
              <w:rPr>
                <w:sz w:val="2"/>
                <w:szCs w:val="2"/>
                <w:color w:val="auto"/>
              </w:rPr>
            </w:pPr>
          </w:p>
        </w:tc>
        <w:tc>
          <w:tcPr>
            <w:tcW w:w="4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SHAREHOLDERS’ EQUITY:</w:t>
            </w:r>
          </w:p>
        </w:tc>
        <w:tc>
          <w:tcPr>
            <w:tcW w:w="4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0"/>
        </w:trPr>
        <w:tc>
          <w:tcPr>
            <w:tcW w:w="8580" w:type="dxa"/>
            <w:vAlign w:val="bottom"/>
          </w:tcPr>
          <w:p>
            <w:pPr>
              <w:ind w:left="380"/>
              <w:spacing w:after="0"/>
              <w:rPr>
                <w:sz w:val="20"/>
                <w:szCs w:val="20"/>
                <w:color w:val="auto"/>
              </w:rPr>
            </w:pPr>
            <w:r>
              <w:rPr>
                <w:rFonts w:ascii="Arial" w:cs="Arial" w:eastAsia="Arial" w:hAnsi="Arial"/>
                <w:sz w:val="16"/>
                <w:szCs w:val="16"/>
                <w:color w:val="auto"/>
              </w:rPr>
              <w:t>Common stock; authorized: 30,000,000 shares of $0.05 par value; 10,546,453 and 10,592,450 shares issued and</w:t>
            </w:r>
          </w:p>
        </w:tc>
        <w:tc>
          <w:tcPr>
            <w:tcW w:w="4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8580" w:type="dxa"/>
            <w:vAlign w:val="bottom"/>
          </w:tcPr>
          <w:p>
            <w:pPr>
              <w:ind w:left="380"/>
              <w:spacing w:after="0"/>
              <w:rPr>
                <w:sz w:val="20"/>
                <w:szCs w:val="20"/>
                <w:color w:val="auto"/>
              </w:rPr>
            </w:pPr>
            <w:r>
              <w:rPr>
                <w:rFonts w:ascii="Arial" w:cs="Arial" w:eastAsia="Arial" w:hAnsi="Arial"/>
                <w:sz w:val="16"/>
                <w:szCs w:val="16"/>
                <w:color w:val="auto"/>
              </w:rPr>
              <w:t>outstanding as of September 29, 2019 and March 31, 2019, respectively</w:t>
            </w:r>
          </w:p>
        </w:tc>
        <w:tc>
          <w:tcPr>
            <w:tcW w:w="420" w:type="dxa"/>
            <w:vAlign w:val="bottom"/>
          </w:tcPr>
          <w:p>
            <w:pPr>
              <w:spacing w:after="0"/>
              <w:rPr>
                <w:sz w:val="17"/>
                <w:szCs w:val="17"/>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527</w:t>
            </w: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530</w:t>
            </w:r>
          </w:p>
        </w:tc>
        <w:tc>
          <w:tcPr>
            <w:tcW w:w="0" w:type="dxa"/>
            <w:vAlign w:val="bottom"/>
          </w:tcPr>
          <w:p>
            <w:pPr>
              <w:spacing w:after="0"/>
              <w:rPr>
                <w:sz w:val="1"/>
                <w:szCs w:val="1"/>
                <w:color w:val="auto"/>
              </w:rPr>
            </w:pPr>
          </w:p>
        </w:tc>
      </w:tr>
      <w:tr>
        <w:trPr>
          <w:trHeight w:val="33"/>
        </w:trPr>
        <w:tc>
          <w:tcPr>
            <w:tcW w:w="8580" w:type="dxa"/>
            <w:vAlign w:val="bottom"/>
          </w:tcPr>
          <w:p>
            <w:pPr>
              <w:spacing w:after="0"/>
              <w:rPr>
                <w:sz w:val="2"/>
                <w:szCs w:val="2"/>
                <w:color w:val="auto"/>
              </w:rPr>
            </w:pPr>
          </w:p>
        </w:tc>
        <w:tc>
          <w:tcPr>
            <w:tcW w:w="4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Additional paid-in capital</w:t>
            </w:r>
          </w:p>
        </w:tc>
        <w:tc>
          <w:tcPr>
            <w:tcW w:w="4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50,282</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52,609</w:t>
            </w:r>
          </w:p>
        </w:tc>
        <w:tc>
          <w:tcPr>
            <w:tcW w:w="0" w:type="dxa"/>
            <w:vAlign w:val="bottom"/>
          </w:tcPr>
          <w:p>
            <w:pPr>
              <w:spacing w:after="0"/>
              <w:rPr>
                <w:sz w:val="1"/>
                <w:szCs w:val="1"/>
                <w:color w:val="auto"/>
              </w:rPr>
            </w:pPr>
          </w:p>
        </w:tc>
      </w:tr>
      <w:tr>
        <w:trPr>
          <w:trHeight w:val="237"/>
        </w:trPr>
        <w:tc>
          <w:tcPr>
            <w:tcW w:w="8580" w:type="dxa"/>
            <w:vAlign w:val="bottom"/>
          </w:tcPr>
          <w:p>
            <w:pPr>
              <w:ind w:left="380"/>
              <w:spacing w:after="0"/>
              <w:rPr>
                <w:sz w:val="20"/>
                <w:szCs w:val="20"/>
                <w:color w:val="auto"/>
              </w:rPr>
            </w:pPr>
            <w:r>
              <w:rPr>
                <w:rFonts w:ascii="Arial" w:cs="Arial" w:eastAsia="Arial" w:hAnsi="Arial"/>
                <w:sz w:val="16"/>
                <w:szCs w:val="16"/>
                <w:color w:val="auto"/>
              </w:rPr>
              <w:t>Retained earnings</w:t>
            </w:r>
          </w:p>
        </w:tc>
        <w:tc>
          <w:tcPr>
            <w:tcW w:w="420" w:type="dxa"/>
            <w:vAlign w:val="bottom"/>
          </w:tcPr>
          <w:p>
            <w:pPr>
              <w:spacing w:after="0"/>
              <w:rPr>
                <w:sz w:val="20"/>
                <w:szCs w:val="20"/>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178,557</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164,405</w:t>
            </w:r>
          </w:p>
        </w:tc>
        <w:tc>
          <w:tcPr>
            <w:tcW w:w="0" w:type="dxa"/>
            <w:vAlign w:val="bottom"/>
          </w:tcPr>
          <w:p>
            <w:pPr>
              <w:spacing w:after="0"/>
              <w:rPr>
                <w:sz w:val="1"/>
                <w:szCs w:val="1"/>
                <w:color w:val="auto"/>
              </w:rPr>
            </w:pPr>
          </w:p>
        </w:tc>
      </w:tr>
      <w:tr>
        <w:trPr>
          <w:trHeight w:val="33"/>
        </w:trPr>
        <w:tc>
          <w:tcPr>
            <w:tcW w:w="8580" w:type="dxa"/>
            <w:vAlign w:val="bottom"/>
          </w:tcPr>
          <w:p>
            <w:pPr>
              <w:spacing w:after="0"/>
              <w:rPr>
                <w:sz w:val="2"/>
                <w:szCs w:val="2"/>
                <w:color w:val="auto"/>
              </w:rPr>
            </w:pPr>
          </w:p>
        </w:tc>
        <w:tc>
          <w:tcPr>
            <w:tcW w:w="4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Accumulated other comprehensive income</w:t>
            </w:r>
          </w:p>
        </w:tc>
        <w:tc>
          <w:tcPr>
            <w:tcW w:w="42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69</w:t>
            </w:r>
          </w:p>
        </w:tc>
        <w:tc>
          <w:tcPr>
            <w:tcW w:w="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317</w:t>
            </w:r>
          </w:p>
        </w:tc>
        <w:tc>
          <w:tcPr>
            <w:tcW w:w="0" w:type="dxa"/>
            <w:vAlign w:val="bottom"/>
          </w:tcPr>
          <w:p>
            <w:pPr>
              <w:spacing w:after="0"/>
              <w:rPr>
                <w:sz w:val="1"/>
                <w:szCs w:val="1"/>
                <w:color w:val="auto"/>
              </w:rPr>
            </w:pPr>
          </w:p>
        </w:tc>
      </w:tr>
      <w:tr>
        <w:trPr>
          <w:trHeight w:val="217"/>
        </w:trPr>
        <w:tc>
          <w:tcPr>
            <w:tcW w:w="8580" w:type="dxa"/>
            <w:vAlign w:val="bottom"/>
          </w:tcPr>
          <w:p>
            <w:pPr>
              <w:ind w:left="820"/>
              <w:spacing w:after="0"/>
              <w:rPr>
                <w:sz w:val="20"/>
                <w:szCs w:val="20"/>
                <w:color w:val="auto"/>
              </w:rPr>
            </w:pPr>
            <w:r>
              <w:rPr>
                <w:rFonts w:ascii="Arial" w:cs="Arial" w:eastAsia="Arial" w:hAnsi="Arial"/>
                <w:sz w:val="16"/>
                <w:szCs w:val="16"/>
                <w:color w:val="auto"/>
              </w:rPr>
              <w:t>Total shareholders’ equity</w:t>
            </w:r>
          </w:p>
        </w:tc>
        <w:tc>
          <w:tcPr>
            <w:tcW w:w="42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229,435</w:t>
            </w:r>
          </w:p>
        </w:tc>
        <w:tc>
          <w:tcPr>
            <w:tcW w:w="100" w:type="dxa"/>
            <w:vAlign w:val="bottom"/>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217,861</w:t>
            </w:r>
          </w:p>
        </w:tc>
        <w:tc>
          <w:tcPr>
            <w:tcW w:w="0" w:type="dxa"/>
            <w:vAlign w:val="bottom"/>
          </w:tcPr>
          <w:p>
            <w:pPr>
              <w:spacing w:after="0"/>
              <w:rPr>
                <w:sz w:val="1"/>
                <w:szCs w:val="1"/>
                <w:color w:val="auto"/>
              </w:rPr>
            </w:pPr>
          </w:p>
        </w:tc>
      </w:tr>
      <w:tr>
        <w:trPr>
          <w:trHeight w:val="33"/>
        </w:trPr>
        <w:tc>
          <w:tcPr>
            <w:tcW w:w="858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5"/>
        </w:trPr>
        <w:tc>
          <w:tcPr>
            <w:tcW w:w="8580" w:type="dxa"/>
            <w:vAlign w:val="bottom"/>
            <w:tcBorders>
              <w:bottom w:val="single" w:sz="8" w:color="CCEEFF"/>
            </w:tcBorders>
            <w:shd w:val="clear" w:color="auto" w:fill="CCEEFF"/>
          </w:tcPr>
          <w:p>
            <w:pPr>
              <w:ind w:left="820"/>
              <w:spacing w:after="0"/>
              <w:rPr>
                <w:sz w:val="20"/>
                <w:szCs w:val="20"/>
                <w:color w:val="auto"/>
              </w:rPr>
            </w:pPr>
            <w:r>
              <w:rPr>
                <w:rFonts w:ascii="Arial" w:cs="Arial" w:eastAsia="Arial" w:hAnsi="Arial"/>
                <w:sz w:val="16"/>
                <w:szCs w:val="16"/>
                <w:color w:val="auto"/>
              </w:rPr>
              <w:t>Total liabilities and shareholders’ equity</w:t>
            </w:r>
          </w:p>
        </w:tc>
        <w:tc>
          <w:tcPr>
            <w:tcW w:w="420" w:type="dxa"/>
            <w:vAlign w:val="bottom"/>
            <w:tcBorders>
              <w:bottom w:val="single" w:sz="8" w:color="CCEEFF"/>
            </w:tcBorders>
            <w:shd w:val="clear" w:color="auto" w:fill="CCEEFF"/>
          </w:tcPr>
          <w:p>
            <w:pPr>
              <w:jc w:val="right"/>
              <w:ind w:right="219"/>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393,042</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1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385,599</w:t>
            </w:r>
          </w:p>
        </w:tc>
        <w:tc>
          <w:tcPr>
            <w:tcW w:w="0" w:type="dxa"/>
            <w:vAlign w:val="bottom"/>
          </w:tcPr>
          <w:p>
            <w:pPr>
              <w:spacing w:after="0"/>
              <w:rPr>
                <w:sz w:val="1"/>
                <w:szCs w:val="1"/>
                <w:color w:val="auto"/>
              </w:rPr>
            </w:pPr>
          </w:p>
        </w:tc>
      </w:tr>
      <w:tr>
        <w:trPr>
          <w:trHeight w:val="20"/>
        </w:trPr>
        <w:tc>
          <w:tcPr>
            <w:tcW w:w="858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ectPr>
          <w:pgSz w:w="11900" w:h="16838" w:orient="portrait"/>
          <w:cols w:equalWidth="0" w:num="1">
            <w:col w:w="11420"/>
          </w:cols>
          <w:pgMar w:left="240" w:top="580" w:right="239" w:bottom="1084" w:gutter="0" w:footer="0" w:header="0"/>
          <w:type w:val="continuous"/>
        </w:sect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w:t>
      </w:r>
    </w:p>
    <w:p>
      <w:pPr>
        <w:sectPr>
          <w:pgSz w:w="11900" w:h="16838" w:orient="portrait"/>
          <w:cols w:equalWidth="0" w:num="1">
            <w:col w:w="11420"/>
          </w:cols>
          <w:pgMar w:left="240" w:top="580" w:right="239" w:bottom="1084" w:gutter="0" w:footer="0" w:header="0"/>
          <w:type w:val="continuous"/>
        </w:sectPr>
      </w:pPr>
    </w:p>
    <w:bookmarkStart w:id="3" w:name="page4"/>
    <w:bookmarkEnd w:id="3"/>
    <w:p>
      <w:pPr>
        <w:spacing w:after="0"/>
        <w:rPr>
          <w:sz w:val="20"/>
          <w:szCs w:val="20"/>
          <w:color w:val="auto"/>
        </w:rPr>
      </w:pPr>
      <w:r>
        <w:rPr>
          <w:rFonts w:ascii="Arial" w:cs="Arial" w:eastAsia="Arial" w:hAnsi="Arial"/>
          <w:sz w:val="18"/>
          <w:szCs w:val="18"/>
          <w:b w:val="1"/>
          <w:bCs w:val="1"/>
          <w:color w:val="auto"/>
        </w:rPr>
        <w:t>HAWKINS,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CONDENSED CONSOLIDATED STATEMENTS OF INCOME (UNAUDITED)</w:t>
      </w:r>
    </w:p>
    <w:p>
      <w:pPr>
        <w:spacing w:after="0" w:line="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(In thousands, except share and per-share data)</w:t>
      </w:r>
    </w:p>
    <w:p>
      <w:pPr>
        <w:spacing w:after="0" w:line="359"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780" w:type="dxa"/>
            <w:vAlign w:val="bottom"/>
            <w:gridSpan w:val="5"/>
          </w:tcPr>
          <w:p>
            <w:pPr>
              <w:ind w:left="520"/>
              <w:spacing w:after="0"/>
              <w:rPr>
                <w:sz w:val="20"/>
                <w:szCs w:val="20"/>
                <w:color w:val="auto"/>
              </w:rPr>
            </w:pPr>
            <w:r>
              <w:rPr>
                <w:rFonts w:ascii="Arial" w:cs="Arial" w:eastAsia="Arial" w:hAnsi="Arial"/>
                <w:sz w:val="16"/>
                <w:szCs w:val="16"/>
                <w:b w:val="1"/>
                <w:bCs w:val="1"/>
                <w:color w:val="auto"/>
              </w:rPr>
              <w:t>Three Months Ended</w:t>
            </w:r>
          </w:p>
        </w:tc>
        <w:tc>
          <w:tcPr>
            <w:tcW w:w="180" w:type="dxa"/>
            <w:vAlign w:val="bottom"/>
          </w:tcPr>
          <w:p>
            <w:pPr>
              <w:spacing w:after="0"/>
              <w:rPr>
                <w:sz w:val="18"/>
                <w:szCs w:val="18"/>
                <w:color w:val="auto"/>
              </w:rPr>
            </w:pPr>
          </w:p>
        </w:tc>
        <w:tc>
          <w:tcPr>
            <w:tcW w:w="2660" w:type="dxa"/>
            <w:vAlign w:val="bottom"/>
            <w:gridSpan w:val="4"/>
          </w:tcPr>
          <w:p>
            <w:pPr>
              <w:jc w:val="right"/>
              <w:ind w:right="672"/>
              <w:spacing w:after="0"/>
              <w:rPr>
                <w:sz w:val="20"/>
                <w:szCs w:val="20"/>
                <w:color w:val="auto"/>
              </w:rPr>
            </w:pPr>
            <w:r>
              <w:rPr>
                <w:rFonts w:ascii="Arial" w:cs="Arial" w:eastAsia="Arial" w:hAnsi="Arial"/>
                <w:sz w:val="16"/>
                <w:szCs w:val="16"/>
                <w:b w:val="1"/>
                <w:bCs w:val="1"/>
                <w:color w:val="auto"/>
              </w:rPr>
              <w:t>Six Months Ended</w:t>
            </w:r>
          </w:p>
        </w:tc>
      </w:tr>
      <w:tr>
        <w:trPr>
          <w:trHeight w:val="33"/>
        </w:trPr>
        <w:tc>
          <w:tcPr>
            <w:tcW w:w="56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146"/>
        </w:trPr>
        <w:tc>
          <w:tcPr>
            <w:tcW w:w="5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20" w:type="dxa"/>
            <w:vAlign w:val="bottom"/>
            <w:gridSpan w:val="2"/>
          </w:tcPr>
          <w:p>
            <w:pPr>
              <w:ind w:left="60"/>
              <w:spacing w:after="0" w:line="147" w:lineRule="exact"/>
              <w:rPr>
                <w:sz w:val="20"/>
                <w:szCs w:val="20"/>
                <w:color w:val="auto"/>
              </w:rPr>
            </w:pPr>
            <w:r>
              <w:rPr>
                <w:rFonts w:ascii="Arial" w:cs="Arial" w:eastAsia="Arial" w:hAnsi="Arial"/>
                <w:sz w:val="14"/>
                <w:szCs w:val="14"/>
                <w:b w:val="1"/>
                <w:bCs w:val="1"/>
                <w:color w:val="auto"/>
              </w:rPr>
              <w:t>September 29,</w:t>
            </w:r>
          </w:p>
        </w:tc>
        <w:tc>
          <w:tcPr>
            <w:tcW w:w="160" w:type="dxa"/>
            <w:vAlign w:val="bottom"/>
          </w:tcPr>
          <w:p>
            <w:pPr>
              <w:spacing w:after="0"/>
              <w:rPr>
                <w:sz w:val="12"/>
                <w:szCs w:val="12"/>
                <w:color w:val="auto"/>
              </w:rPr>
            </w:pPr>
          </w:p>
        </w:tc>
        <w:tc>
          <w:tcPr>
            <w:tcW w:w="1300" w:type="dxa"/>
            <w:vAlign w:val="bottom"/>
            <w:gridSpan w:val="2"/>
          </w:tcPr>
          <w:p>
            <w:pPr>
              <w:ind w:left="60"/>
              <w:spacing w:after="0" w:line="147" w:lineRule="exact"/>
              <w:rPr>
                <w:sz w:val="20"/>
                <w:szCs w:val="20"/>
                <w:color w:val="auto"/>
              </w:rPr>
            </w:pPr>
            <w:r>
              <w:rPr>
                <w:rFonts w:ascii="Arial" w:cs="Arial" w:eastAsia="Arial" w:hAnsi="Arial"/>
                <w:sz w:val="14"/>
                <w:szCs w:val="14"/>
                <w:b w:val="1"/>
                <w:bCs w:val="1"/>
                <w:color w:val="auto"/>
              </w:rPr>
              <w:t>September 30,</w:t>
            </w:r>
          </w:p>
        </w:tc>
        <w:tc>
          <w:tcPr>
            <w:tcW w:w="180" w:type="dxa"/>
            <w:vAlign w:val="bottom"/>
          </w:tcPr>
          <w:p>
            <w:pPr>
              <w:spacing w:after="0"/>
              <w:rPr>
                <w:sz w:val="12"/>
                <w:szCs w:val="12"/>
                <w:color w:val="auto"/>
              </w:rPr>
            </w:pPr>
          </w:p>
        </w:tc>
        <w:tc>
          <w:tcPr>
            <w:tcW w:w="1300" w:type="dxa"/>
            <w:vAlign w:val="bottom"/>
            <w:gridSpan w:val="2"/>
          </w:tcPr>
          <w:p>
            <w:pPr>
              <w:ind w:left="40"/>
              <w:spacing w:after="0" w:line="147" w:lineRule="exact"/>
              <w:rPr>
                <w:sz w:val="20"/>
                <w:szCs w:val="20"/>
                <w:color w:val="auto"/>
              </w:rPr>
            </w:pPr>
            <w:r>
              <w:rPr>
                <w:rFonts w:ascii="Arial" w:cs="Arial" w:eastAsia="Arial" w:hAnsi="Arial"/>
                <w:sz w:val="14"/>
                <w:szCs w:val="14"/>
                <w:b w:val="1"/>
                <w:bCs w:val="1"/>
                <w:color w:val="auto"/>
              </w:rPr>
              <w:t>September 29,</w:t>
            </w:r>
          </w:p>
        </w:tc>
        <w:tc>
          <w:tcPr>
            <w:tcW w:w="160" w:type="dxa"/>
            <w:vAlign w:val="bottom"/>
          </w:tcPr>
          <w:p>
            <w:pPr>
              <w:spacing w:after="0"/>
              <w:rPr>
                <w:sz w:val="12"/>
                <w:szCs w:val="12"/>
                <w:color w:val="auto"/>
              </w:rPr>
            </w:pPr>
          </w:p>
        </w:tc>
        <w:tc>
          <w:tcPr>
            <w:tcW w:w="1200" w:type="dxa"/>
            <w:vAlign w:val="bottom"/>
          </w:tcPr>
          <w:p>
            <w:pPr>
              <w:jc w:val="right"/>
              <w:ind w:right="172"/>
              <w:spacing w:after="0" w:line="147" w:lineRule="exact"/>
              <w:rPr>
                <w:sz w:val="20"/>
                <w:szCs w:val="20"/>
                <w:color w:val="auto"/>
              </w:rPr>
            </w:pPr>
            <w:r>
              <w:rPr>
                <w:rFonts w:ascii="Arial" w:cs="Arial" w:eastAsia="Arial" w:hAnsi="Arial"/>
                <w:sz w:val="14"/>
                <w:szCs w:val="14"/>
                <w:b w:val="1"/>
                <w:bCs w:val="1"/>
                <w:color w:val="auto"/>
                <w:w w:val="96"/>
              </w:rPr>
              <w:t>September 30,</w:t>
            </w:r>
          </w:p>
        </w:tc>
      </w:tr>
      <w:tr>
        <w:trPr>
          <w:trHeight w:val="192"/>
        </w:trPr>
        <w:tc>
          <w:tcPr>
            <w:tcW w:w="56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2018</w:t>
            </w: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Sales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140,043</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145,324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287,379</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295,124</w:t>
            </w: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Cost of sales</w:t>
            </w:r>
          </w:p>
        </w:tc>
        <w:tc>
          <w:tcPr>
            <w:tcW w:w="1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(112,049)</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(119,552)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(230,588)</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(240,895)</w:t>
            </w:r>
          </w:p>
        </w:tc>
      </w:tr>
      <w:tr>
        <w:trPr>
          <w:trHeight w:val="27"/>
        </w:trPr>
        <w:tc>
          <w:tcPr>
            <w:tcW w:w="56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44"/>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Gross profit</w:t>
            </w: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27,994</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25,772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56,791</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54,229</w:t>
            </w: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Selling, general and administrative expenses</w:t>
            </w:r>
          </w:p>
        </w:tc>
        <w:tc>
          <w:tcPr>
            <w:tcW w:w="1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(14,817)</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(14,941)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(29,653)</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(29,920)</w:t>
            </w:r>
          </w:p>
        </w:tc>
      </w:tr>
      <w:tr>
        <w:trPr>
          <w:trHeight w:val="27"/>
        </w:trPr>
        <w:tc>
          <w:tcPr>
            <w:tcW w:w="56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44"/>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income</w:t>
            </w: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13,177</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10,831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27,138</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24,309</w:t>
            </w: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Interest expense, net</w:t>
            </w:r>
          </w:p>
        </w:tc>
        <w:tc>
          <w:tcPr>
            <w:tcW w:w="1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(666)</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(811)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(1,429)</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(1,745)</w:t>
            </w:r>
          </w:p>
        </w:tc>
      </w:tr>
      <w:tr>
        <w:trPr>
          <w:trHeight w:val="27"/>
        </w:trPr>
        <w:tc>
          <w:tcPr>
            <w:tcW w:w="56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7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income</w:t>
            </w:r>
          </w:p>
        </w:tc>
        <w:tc>
          <w:tcPr>
            <w:tcW w:w="1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26</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78</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143</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76</w:t>
            </w:r>
          </w:p>
        </w:tc>
      </w:tr>
      <w:tr>
        <w:trPr>
          <w:trHeight w:val="237"/>
        </w:trPr>
        <w:tc>
          <w:tcPr>
            <w:tcW w:w="5620" w:type="dxa"/>
            <w:vAlign w:val="bottom"/>
          </w:tcPr>
          <w:p>
            <w:pPr>
              <w:ind w:left="40"/>
              <w:spacing w:after="0"/>
              <w:rPr>
                <w:sz w:val="20"/>
                <w:szCs w:val="20"/>
                <w:color w:val="auto"/>
              </w:rPr>
            </w:pPr>
            <w:r>
              <w:rPr>
                <w:rFonts w:ascii="Arial" w:cs="Arial" w:eastAsia="Arial" w:hAnsi="Arial"/>
                <w:sz w:val="18"/>
                <w:szCs w:val="18"/>
                <w:color w:val="auto"/>
              </w:rPr>
              <w:t>Income before income taxes</w:t>
            </w:r>
          </w:p>
        </w:tc>
        <w:tc>
          <w:tcPr>
            <w:tcW w:w="18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12,537</w:t>
            </w:r>
          </w:p>
        </w:tc>
        <w:tc>
          <w:tcPr>
            <w:tcW w:w="120" w:type="dxa"/>
            <w:vAlign w:val="bottom"/>
            <w:tcBorders>
              <w:top w:val="single" w:sz="8" w:color="auto"/>
            </w:tcBorders>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10,098</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25,852</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22,640</w:t>
            </w:r>
          </w:p>
        </w:tc>
      </w:tr>
      <w:tr>
        <w:trPr>
          <w:trHeight w:val="27"/>
        </w:trPr>
        <w:tc>
          <w:tcPr>
            <w:tcW w:w="56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7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tax expense</w:t>
            </w:r>
          </w:p>
        </w:tc>
        <w:tc>
          <w:tcPr>
            <w:tcW w:w="1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(3,287)</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(2,689)</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(6,795)</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(6,108)</w:t>
            </w:r>
          </w:p>
        </w:tc>
      </w:tr>
      <w:tr>
        <w:trPr>
          <w:trHeight w:val="237"/>
        </w:trPr>
        <w:tc>
          <w:tcPr>
            <w:tcW w:w="5620" w:type="dxa"/>
            <w:vAlign w:val="bottom"/>
          </w:tcPr>
          <w:p>
            <w:pPr>
              <w:ind w:left="40"/>
              <w:spacing w:after="0"/>
              <w:rPr>
                <w:sz w:val="20"/>
                <w:szCs w:val="20"/>
                <w:color w:val="auto"/>
              </w:rPr>
            </w:pPr>
            <w:r>
              <w:rPr>
                <w:rFonts w:ascii="Arial" w:cs="Arial" w:eastAsia="Arial" w:hAnsi="Arial"/>
                <w:sz w:val="18"/>
                <w:szCs w:val="18"/>
                <w:color w:val="auto"/>
              </w:rPr>
              <w:t>Net income</w:t>
            </w: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9,250</w:t>
            </w:r>
          </w:p>
        </w:tc>
        <w:tc>
          <w:tcPr>
            <w:tcW w:w="12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7,409</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19,057</w:t>
            </w:r>
          </w:p>
        </w:tc>
        <w:tc>
          <w:tcPr>
            <w:tcW w:w="12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16,532</w:t>
            </w:r>
          </w:p>
        </w:tc>
      </w:tr>
      <w:tr>
        <w:trPr>
          <w:trHeight w:val="67"/>
        </w:trPr>
        <w:tc>
          <w:tcPr>
            <w:tcW w:w="5620" w:type="dxa"/>
            <w:vAlign w:val="bottom"/>
            <w:tcBorders>
              <w:bottom w:val="single" w:sz="8" w:color="CCEEFF"/>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120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120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118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1200" w:type="dxa"/>
            <w:vAlign w:val="bottom"/>
            <w:tcBorders>
              <w:bottom w:val="single" w:sz="8" w:color="auto"/>
            </w:tcBorders>
          </w:tcPr>
          <w:p>
            <w:pPr>
              <w:spacing w:after="0"/>
              <w:rPr>
                <w:sz w:val="5"/>
                <w:szCs w:val="5"/>
                <w:color w:val="auto"/>
              </w:rPr>
            </w:pPr>
          </w:p>
        </w:tc>
      </w:tr>
      <w:tr>
        <w:trPr>
          <w:trHeight w:val="305"/>
        </w:trPr>
        <w:tc>
          <w:tcPr>
            <w:tcW w:w="56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Weighted average number of shares outstanding - basic</w:t>
            </w:r>
          </w:p>
        </w:tc>
        <w:tc>
          <w:tcPr>
            <w:tcW w:w="18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10,575,538</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32"/>
              <w:spacing w:after="0"/>
              <w:rPr>
                <w:sz w:val="20"/>
                <w:szCs w:val="20"/>
                <w:color w:val="auto"/>
              </w:rPr>
            </w:pPr>
            <w:r>
              <w:rPr>
                <w:rFonts w:ascii="Arial" w:cs="Arial" w:eastAsia="Arial" w:hAnsi="Arial"/>
                <w:sz w:val="18"/>
                <w:szCs w:val="18"/>
                <w:color w:val="auto"/>
              </w:rPr>
              <w:t>10,675,833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10,589,922</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10,662,210</w:t>
            </w:r>
          </w:p>
        </w:tc>
      </w:tr>
      <w:tr>
        <w:trPr>
          <w:trHeight w:val="27"/>
        </w:trPr>
        <w:tc>
          <w:tcPr>
            <w:tcW w:w="56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Weighted average number of shares outstanding - diluted</w:t>
            </w: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10,633,117</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10,719,059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10,663,864</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10,714,381</w:t>
            </w:r>
          </w:p>
        </w:tc>
      </w:tr>
      <w:tr>
        <w:trPr>
          <w:trHeight w:val="324"/>
        </w:trPr>
        <w:tc>
          <w:tcPr>
            <w:tcW w:w="56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Basic earnings per share</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0.87</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0.69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1.80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1.55</w:t>
            </w: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Diluted earnings per share</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0.87</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ind w:right="32"/>
              <w:spacing w:after="0"/>
              <w:rPr>
                <w:sz w:val="20"/>
                <w:szCs w:val="20"/>
                <w:color w:val="auto"/>
              </w:rPr>
            </w:pPr>
            <w:r>
              <w:rPr>
                <w:rFonts w:ascii="Arial" w:cs="Arial" w:eastAsia="Arial" w:hAnsi="Arial"/>
                <w:sz w:val="18"/>
                <w:szCs w:val="18"/>
                <w:color w:val="auto"/>
              </w:rPr>
              <w:t>0.69</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1.79</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1.54</w:t>
            </w:r>
          </w:p>
        </w:tc>
      </w:tr>
      <w:tr>
        <w:trPr>
          <w:trHeight w:val="27"/>
        </w:trPr>
        <w:tc>
          <w:tcPr>
            <w:tcW w:w="56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324"/>
        </w:trPr>
        <w:tc>
          <w:tcPr>
            <w:tcW w:w="56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Cash dividends declared per common share</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0.23</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ind w:right="32"/>
              <w:spacing w:after="0"/>
              <w:rPr>
                <w:sz w:val="20"/>
                <w:szCs w:val="20"/>
                <w:color w:val="auto"/>
              </w:rPr>
            </w:pPr>
            <w:r>
              <w:rPr>
                <w:rFonts w:ascii="Arial" w:cs="Arial" w:eastAsia="Arial" w:hAnsi="Arial"/>
                <w:sz w:val="18"/>
                <w:szCs w:val="18"/>
                <w:color w:val="auto"/>
              </w:rPr>
              <w:t>0.225</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0.46</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0.225</w:t>
            </w:r>
          </w:p>
        </w:tc>
      </w:tr>
    </w:tbl>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580" w:right="23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color w:val="auto"/>
        </w:rPr>
        <w:t>HAWKINS,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CONDENSED CONSOLIDATED STATEMENTS OF COMPREHENSIVE INCOME (UNAUDITED)</w:t>
      </w:r>
    </w:p>
    <w:p>
      <w:pPr>
        <w:spacing w:after="0" w:line="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(In thousands)</w:t>
      </w:r>
    </w:p>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6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680" w:type="dxa"/>
            <w:vAlign w:val="bottom"/>
            <w:tcBorders>
              <w:bottom w:val="single" w:sz="8" w:color="auto"/>
            </w:tcBorders>
            <w:gridSpan w:val="4"/>
          </w:tcPr>
          <w:p>
            <w:pPr>
              <w:jc w:val="right"/>
              <w:ind w:right="677"/>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660" w:type="dxa"/>
            <w:vAlign w:val="bottom"/>
            <w:tcBorders>
              <w:bottom w:val="single" w:sz="8" w:color="auto"/>
            </w:tcBorders>
            <w:gridSpan w:val="4"/>
          </w:tcPr>
          <w:p>
            <w:pPr>
              <w:jc w:val="right"/>
              <w:ind w:right="757"/>
              <w:spacing w:after="0"/>
              <w:rPr>
                <w:sz w:val="20"/>
                <w:szCs w:val="20"/>
                <w:color w:val="auto"/>
              </w:rPr>
            </w:pPr>
            <w:r>
              <w:rPr>
                <w:rFonts w:ascii="Arial" w:cs="Arial" w:eastAsia="Arial" w:hAnsi="Arial"/>
                <w:sz w:val="14"/>
                <w:szCs w:val="14"/>
                <w:b w:val="1"/>
                <w:bCs w:val="1"/>
                <w:color w:val="auto"/>
              </w:rPr>
              <w:t>Six Months Ended</w:t>
            </w:r>
          </w:p>
        </w:tc>
      </w:tr>
      <w:tr>
        <w:trPr>
          <w:trHeight w:val="152"/>
        </w:trPr>
        <w:tc>
          <w:tcPr>
            <w:tcW w:w="56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320" w:type="dxa"/>
            <w:vAlign w:val="bottom"/>
            <w:gridSpan w:val="2"/>
          </w:tcPr>
          <w:p>
            <w:pPr>
              <w:ind w:left="60"/>
              <w:spacing w:after="0" w:line="153" w:lineRule="exact"/>
              <w:rPr>
                <w:sz w:val="20"/>
                <w:szCs w:val="20"/>
                <w:color w:val="auto"/>
              </w:rPr>
            </w:pPr>
            <w:r>
              <w:rPr>
                <w:rFonts w:ascii="Arial" w:cs="Arial" w:eastAsia="Arial" w:hAnsi="Arial"/>
                <w:sz w:val="14"/>
                <w:szCs w:val="14"/>
                <w:b w:val="1"/>
                <w:bCs w:val="1"/>
                <w:color w:val="auto"/>
              </w:rPr>
              <w:t>September 29,</w:t>
            </w:r>
          </w:p>
        </w:tc>
        <w:tc>
          <w:tcPr>
            <w:tcW w:w="160" w:type="dxa"/>
            <w:vAlign w:val="bottom"/>
          </w:tcPr>
          <w:p>
            <w:pPr>
              <w:spacing w:after="0"/>
              <w:rPr>
                <w:sz w:val="13"/>
                <w:szCs w:val="13"/>
                <w:color w:val="auto"/>
              </w:rPr>
            </w:pPr>
          </w:p>
        </w:tc>
        <w:tc>
          <w:tcPr>
            <w:tcW w:w="1300" w:type="dxa"/>
            <w:vAlign w:val="bottom"/>
            <w:gridSpan w:val="2"/>
          </w:tcPr>
          <w:p>
            <w:pPr>
              <w:ind w:left="60"/>
              <w:spacing w:after="0" w:line="153" w:lineRule="exact"/>
              <w:rPr>
                <w:sz w:val="20"/>
                <w:szCs w:val="20"/>
                <w:color w:val="auto"/>
              </w:rPr>
            </w:pPr>
            <w:r>
              <w:rPr>
                <w:rFonts w:ascii="Arial" w:cs="Arial" w:eastAsia="Arial" w:hAnsi="Arial"/>
                <w:sz w:val="14"/>
                <w:szCs w:val="14"/>
                <w:b w:val="1"/>
                <w:bCs w:val="1"/>
                <w:color w:val="auto"/>
              </w:rPr>
              <w:t>September 30,</w:t>
            </w:r>
          </w:p>
        </w:tc>
        <w:tc>
          <w:tcPr>
            <w:tcW w:w="180" w:type="dxa"/>
            <w:vAlign w:val="bottom"/>
          </w:tcPr>
          <w:p>
            <w:pPr>
              <w:spacing w:after="0"/>
              <w:rPr>
                <w:sz w:val="13"/>
                <w:szCs w:val="13"/>
                <w:color w:val="auto"/>
              </w:rPr>
            </w:pPr>
          </w:p>
        </w:tc>
        <w:tc>
          <w:tcPr>
            <w:tcW w:w="1300" w:type="dxa"/>
            <w:vAlign w:val="bottom"/>
            <w:gridSpan w:val="2"/>
          </w:tcPr>
          <w:p>
            <w:pPr>
              <w:ind w:left="40"/>
              <w:spacing w:after="0" w:line="153" w:lineRule="exact"/>
              <w:rPr>
                <w:sz w:val="20"/>
                <w:szCs w:val="20"/>
                <w:color w:val="auto"/>
              </w:rPr>
            </w:pPr>
            <w:r>
              <w:rPr>
                <w:rFonts w:ascii="Arial" w:cs="Arial" w:eastAsia="Arial" w:hAnsi="Arial"/>
                <w:sz w:val="14"/>
                <w:szCs w:val="14"/>
                <w:b w:val="1"/>
                <w:bCs w:val="1"/>
                <w:color w:val="auto"/>
              </w:rPr>
              <w:t>September 29,</w:t>
            </w:r>
          </w:p>
        </w:tc>
        <w:tc>
          <w:tcPr>
            <w:tcW w:w="160" w:type="dxa"/>
            <w:vAlign w:val="bottom"/>
          </w:tcPr>
          <w:p>
            <w:pPr>
              <w:spacing w:after="0"/>
              <w:rPr>
                <w:sz w:val="13"/>
                <w:szCs w:val="13"/>
                <w:color w:val="auto"/>
              </w:rPr>
            </w:pPr>
          </w:p>
        </w:tc>
        <w:tc>
          <w:tcPr>
            <w:tcW w:w="1200" w:type="dxa"/>
            <w:vAlign w:val="bottom"/>
          </w:tcPr>
          <w:p>
            <w:pPr>
              <w:jc w:val="right"/>
              <w:ind w:right="177"/>
              <w:spacing w:after="0" w:line="153" w:lineRule="exact"/>
              <w:rPr>
                <w:sz w:val="20"/>
                <w:szCs w:val="20"/>
                <w:color w:val="auto"/>
              </w:rPr>
            </w:pPr>
            <w:r>
              <w:rPr>
                <w:rFonts w:ascii="Arial" w:cs="Arial" w:eastAsia="Arial" w:hAnsi="Arial"/>
                <w:sz w:val="14"/>
                <w:szCs w:val="14"/>
                <w:b w:val="1"/>
                <w:bCs w:val="1"/>
                <w:color w:val="auto"/>
                <w:w w:val="96"/>
              </w:rPr>
              <w:t>September 30,</w:t>
            </w:r>
          </w:p>
        </w:tc>
      </w:tr>
      <w:tr>
        <w:trPr>
          <w:trHeight w:val="192"/>
        </w:trPr>
        <w:tc>
          <w:tcPr>
            <w:tcW w:w="56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459"/>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457"/>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59"/>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457"/>
              <w:spacing w:after="0"/>
              <w:rPr>
                <w:sz w:val="20"/>
                <w:szCs w:val="20"/>
                <w:color w:val="auto"/>
              </w:rPr>
            </w:pPr>
            <w:r>
              <w:rPr>
                <w:rFonts w:ascii="Arial" w:cs="Arial" w:eastAsia="Arial" w:hAnsi="Arial"/>
                <w:sz w:val="14"/>
                <w:szCs w:val="14"/>
                <w:b w:val="1"/>
                <w:bCs w:val="1"/>
                <w:color w:val="auto"/>
              </w:rPr>
              <w:t>2018</w:t>
            </w: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9,250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7,409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19,057</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16,532</w:t>
            </w: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Other comprehensive income, net of tax:</w:t>
            </w:r>
          </w:p>
        </w:tc>
        <w:tc>
          <w:tcPr>
            <w:tcW w:w="1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spacing w:after="0"/>
              <w:rPr>
                <w:sz w:val="21"/>
                <w:szCs w:val="21"/>
                <w:color w:val="auto"/>
              </w:rPr>
            </w:pPr>
          </w:p>
        </w:tc>
      </w:tr>
      <w:tr>
        <w:trPr>
          <w:trHeight w:val="27"/>
        </w:trPr>
        <w:tc>
          <w:tcPr>
            <w:tcW w:w="56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70"/>
        </w:trPr>
        <w:tc>
          <w:tcPr>
            <w:tcW w:w="56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Unrealized (loss) gain on interest rate swap</w:t>
            </w:r>
          </w:p>
        </w:tc>
        <w:tc>
          <w:tcPr>
            <w:tcW w:w="1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(69)</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(248)</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12</w:t>
            </w:r>
          </w:p>
        </w:tc>
      </w:tr>
      <w:tr>
        <w:trPr>
          <w:trHeight w:val="237"/>
        </w:trPr>
        <w:tc>
          <w:tcPr>
            <w:tcW w:w="5620" w:type="dxa"/>
            <w:vAlign w:val="bottom"/>
          </w:tcPr>
          <w:p>
            <w:pPr>
              <w:ind w:left="40"/>
              <w:spacing w:after="0"/>
              <w:rPr>
                <w:sz w:val="20"/>
                <w:szCs w:val="20"/>
                <w:color w:val="auto"/>
              </w:rPr>
            </w:pPr>
            <w:r>
              <w:rPr>
                <w:rFonts w:ascii="Arial" w:cs="Arial" w:eastAsia="Arial" w:hAnsi="Arial"/>
                <w:sz w:val="18"/>
                <w:szCs w:val="18"/>
                <w:color w:val="auto"/>
              </w:rPr>
              <w:t>Total comprehensive income</w:t>
            </w: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tcBorders>
          </w:tcPr>
          <w:p>
            <w:pPr>
              <w:jc w:val="right"/>
              <w:ind w:right="19"/>
              <w:spacing w:after="0"/>
              <w:rPr>
                <w:sz w:val="20"/>
                <w:szCs w:val="20"/>
                <w:color w:val="auto"/>
              </w:rPr>
            </w:pPr>
            <w:r>
              <w:rPr>
                <w:rFonts w:ascii="Arial" w:cs="Arial" w:eastAsia="Arial" w:hAnsi="Arial"/>
                <w:sz w:val="18"/>
                <w:szCs w:val="18"/>
                <w:color w:val="auto"/>
              </w:rPr>
              <w:t>9,181</w:t>
            </w:r>
          </w:p>
        </w:tc>
        <w:tc>
          <w:tcPr>
            <w:tcW w:w="12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tcBorders>
          </w:tcPr>
          <w:p>
            <w:pPr>
              <w:jc w:val="right"/>
              <w:ind w:right="37"/>
              <w:spacing w:after="0"/>
              <w:rPr>
                <w:sz w:val="20"/>
                <w:szCs w:val="20"/>
                <w:color w:val="auto"/>
              </w:rPr>
            </w:pPr>
            <w:r>
              <w:rPr>
                <w:rFonts w:ascii="Arial" w:cs="Arial" w:eastAsia="Arial" w:hAnsi="Arial"/>
                <w:sz w:val="18"/>
                <w:szCs w:val="18"/>
                <w:color w:val="auto"/>
              </w:rPr>
              <w:t>7,394</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tcPr>
          <w:p>
            <w:pPr>
              <w:jc w:val="right"/>
              <w:ind w:right="19"/>
              <w:spacing w:after="0"/>
              <w:rPr>
                <w:sz w:val="20"/>
                <w:szCs w:val="20"/>
                <w:color w:val="auto"/>
              </w:rPr>
            </w:pPr>
            <w:r>
              <w:rPr>
                <w:rFonts w:ascii="Arial" w:cs="Arial" w:eastAsia="Arial" w:hAnsi="Arial"/>
                <w:sz w:val="18"/>
                <w:szCs w:val="18"/>
                <w:color w:val="auto"/>
              </w:rPr>
              <w:t>18,809</w:t>
            </w:r>
          </w:p>
        </w:tc>
        <w:tc>
          <w:tcPr>
            <w:tcW w:w="12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tcPr>
          <w:p>
            <w:pPr>
              <w:jc w:val="right"/>
              <w:ind w:right="17"/>
              <w:spacing w:after="0"/>
              <w:rPr>
                <w:sz w:val="20"/>
                <w:szCs w:val="20"/>
                <w:color w:val="auto"/>
              </w:rPr>
            </w:pPr>
            <w:r>
              <w:rPr>
                <w:rFonts w:ascii="Arial" w:cs="Arial" w:eastAsia="Arial" w:hAnsi="Arial"/>
                <w:sz w:val="18"/>
                <w:szCs w:val="18"/>
                <w:color w:val="auto"/>
              </w:rPr>
              <w:t>16,544</w:t>
            </w:r>
          </w:p>
        </w:tc>
      </w:tr>
      <w:tr>
        <w:trPr>
          <w:trHeight w:val="27"/>
        </w:trPr>
        <w:tc>
          <w:tcPr>
            <w:tcW w:w="56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0"/>
        </w:trPr>
        <w:tc>
          <w:tcPr>
            <w:tcW w:w="56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580" w:right="23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auto"/>
        </w:rPr>
        <w:t>HAWKINS, INC.</w:t>
      </w:r>
    </w:p>
    <w:p>
      <w:pPr>
        <w:spacing w:after="0" w:line="27" w:lineRule="exact"/>
        <w:rPr>
          <w:sz w:val="20"/>
          <w:szCs w:val="20"/>
          <w:color w:val="auto"/>
        </w:rPr>
      </w:pPr>
    </w:p>
    <w:p>
      <w:pPr>
        <w:ind w:right="4880"/>
        <w:spacing w:after="0" w:line="220" w:lineRule="auto"/>
        <w:rPr>
          <w:sz w:val="20"/>
          <w:szCs w:val="20"/>
          <w:color w:val="auto"/>
        </w:rPr>
      </w:pPr>
      <w:r>
        <w:rPr>
          <w:rFonts w:ascii="Arial" w:cs="Arial" w:eastAsia="Arial" w:hAnsi="Arial"/>
          <w:sz w:val="18"/>
          <w:szCs w:val="18"/>
          <w:b w:val="1"/>
          <w:bCs w:val="1"/>
          <w:color w:val="auto"/>
        </w:rPr>
        <w:t xml:space="preserve">CONDENSED CONSOLIDATED STATEMENTS OF SHAREHOLDERS’ EQUITY </w:t>
      </w:r>
      <w:r>
        <w:rPr>
          <w:rFonts w:ascii="Arial" w:cs="Arial" w:eastAsia="Arial" w:hAnsi="Arial"/>
          <w:sz w:val="14"/>
          <w:szCs w:val="14"/>
          <w:b w:val="1"/>
          <w:bCs w:val="1"/>
          <w:color w:val="auto"/>
        </w:rPr>
        <w:t>(In thousands, except share data)</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220" w:type="dxa"/>
            <w:vAlign w:val="bottom"/>
          </w:tcPr>
          <w:p>
            <w:pPr>
              <w:spacing w:after="0"/>
              <w:rPr>
                <w:sz w:val="14"/>
                <w:szCs w:val="14"/>
                <w:color w:val="auto"/>
              </w:rPr>
            </w:pPr>
          </w:p>
        </w:tc>
        <w:tc>
          <w:tcPr>
            <w:tcW w:w="2260" w:type="dxa"/>
            <w:vAlign w:val="bottom"/>
            <w:gridSpan w:val="3"/>
          </w:tcPr>
          <w:p>
            <w:pPr>
              <w:jc w:val="right"/>
              <w:ind w:right="380"/>
              <w:spacing w:after="0"/>
              <w:rPr>
                <w:sz w:val="20"/>
                <w:szCs w:val="20"/>
                <w:color w:val="auto"/>
              </w:rPr>
            </w:pPr>
            <w:r>
              <w:rPr>
                <w:rFonts w:ascii="Arial" w:cs="Arial" w:eastAsia="Arial" w:hAnsi="Arial"/>
                <w:sz w:val="14"/>
                <w:szCs w:val="14"/>
                <w:b w:val="1"/>
                <w:bCs w:val="1"/>
                <w:color w:val="auto"/>
              </w:rPr>
              <w:t>Common Stock</w:t>
            </w: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6"/>
              </w:rPr>
              <w:t>Additional</w:t>
            </w:r>
          </w:p>
        </w:tc>
        <w:tc>
          <w:tcPr>
            <w:tcW w:w="2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6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4"/>
              </w:rPr>
              <w:t>Accumulated Other</w:t>
            </w:r>
          </w:p>
        </w:tc>
        <w:tc>
          <w:tcPr>
            <w:tcW w:w="160" w:type="dxa"/>
            <w:vAlign w:val="bottom"/>
          </w:tcPr>
          <w:p>
            <w:pPr>
              <w:spacing w:after="0"/>
              <w:rPr>
                <w:sz w:val="14"/>
                <w:szCs w:val="14"/>
                <w:color w:val="auto"/>
              </w:rPr>
            </w:pPr>
          </w:p>
        </w:tc>
        <w:tc>
          <w:tcPr>
            <w:tcW w:w="1100" w:type="dxa"/>
            <w:vAlign w:val="bottom"/>
          </w:tcPr>
          <w:p>
            <w:pPr>
              <w:jc w:val="center"/>
              <w:ind w:right="79"/>
              <w:spacing w:after="0"/>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54"/>
        </w:trPr>
        <w:tc>
          <w:tcPr>
            <w:tcW w:w="3220" w:type="dxa"/>
            <w:vAlign w:val="bottom"/>
          </w:tcPr>
          <w:p>
            <w:pPr>
              <w:spacing w:after="0"/>
              <w:rPr>
                <w:sz w:val="4"/>
                <w:szCs w:val="4"/>
                <w:color w:val="auto"/>
              </w:rPr>
            </w:pPr>
          </w:p>
        </w:tc>
        <w:tc>
          <w:tcPr>
            <w:tcW w:w="12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220" w:type="dxa"/>
            <w:vAlign w:val="bottom"/>
          </w:tcPr>
          <w:p>
            <w:pPr>
              <w:spacing w:after="0"/>
              <w:rPr>
                <w:sz w:val="4"/>
                <w:szCs w:val="4"/>
                <w:color w:val="auto"/>
              </w:rPr>
            </w:pPr>
          </w:p>
        </w:tc>
        <w:tc>
          <w:tcPr>
            <w:tcW w:w="1140" w:type="dxa"/>
            <w:vAlign w:val="bottom"/>
            <w:gridSpan w:val="2"/>
            <w:vMerge w:val="restart"/>
          </w:tcPr>
          <w:p>
            <w:pPr>
              <w:jc w:val="center"/>
              <w:ind w:right="320"/>
              <w:spacing w:after="0" w:line="139" w:lineRule="exact"/>
              <w:rPr>
                <w:sz w:val="20"/>
                <w:szCs w:val="20"/>
                <w:color w:val="auto"/>
              </w:rPr>
            </w:pPr>
            <w:r>
              <w:rPr>
                <w:rFonts w:ascii="Arial" w:cs="Arial" w:eastAsia="Arial" w:hAnsi="Arial"/>
                <w:sz w:val="14"/>
                <w:szCs w:val="14"/>
                <w:b w:val="1"/>
                <w:bCs w:val="1"/>
                <w:color w:val="auto"/>
                <w:w w:val="98"/>
              </w:rPr>
              <w:t>Paid-in</w:t>
            </w:r>
          </w:p>
        </w:tc>
        <w:tc>
          <w:tcPr>
            <w:tcW w:w="240" w:type="dxa"/>
            <w:vAlign w:val="bottom"/>
          </w:tcPr>
          <w:p>
            <w:pPr>
              <w:spacing w:after="0"/>
              <w:rPr>
                <w:sz w:val="4"/>
                <w:szCs w:val="4"/>
                <w:color w:val="auto"/>
              </w:rPr>
            </w:pPr>
          </w:p>
        </w:tc>
        <w:tc>
          <w:tcPr>
            <w:tcW w:w="1140" w:type="dxa"/>
            <w:vAlign w:val="bottom"/>
            <w:gridSpan w:val="2"/>
            <w:vMerge w:val="restart"/>
          </w:tcPr>
          <w:p>
            <w:pPr>
              <w:ind w:left="120"/>
              <w:spacing w:after="0" w:line="139" w:lineRule="exact"/>
              <w:rPr>
                <w:sz w:val="20"/>
                <w:szCs w:val="20"/>
                <w:color w:val="auto"/>
              </w:rPr>
            </w:pPr>
            <w:r>
              <w:rPr>
                <w:rFonts w:ascii="Arial" w:cs="Arial" w:eastAsia="Arial" w:hAnsi="Arial"/>
                <w:sz w:val="14"/>
                <w:szCs w:val="14"/>
                <w:b w:val="1"/>
                <w:bCs w:val="1"/>
                <w:color w:val="auto"/>
              </w:rPr>
              <w:t>Retained</w:t>
            </w:r>
          </w:p>
        </w:tc>
        <w:tc>
          <w:tcPr>
            <w:tcW w:w="160" w:type="dxa"/>
            <w:vAlign w:val="bottom"/>
          </w:tcPr>
          <w:p>
            <w:pPr>
              <w:spacing w:after="0"/>
              <w:rPr>
                <w:sz w:val="4"/>
                <w:szCs w:val="4"/>
                <w:color w:val="auto"/>
              </w:rPr>
            </w:pPr>
          </w:p>
        </w:tc>
        <w:tc>
          <w:tcPr>
            <w:tcW w:w="1300" w:type="dxa"/>
            <w:vAlign w:val="bottom"/>
            <w:gridSpan w:val="2"/>
            <w:vMerge w:val="restart"/>
          </w:tcPr>
          <w:p>
            <w:pPr>
              <w:jc w:val="center"/>
              <w:ind w:right="260"/>
              <w:spacing w:after="0" w:line="139" w:lineRule="exact"/>
              <w:rPr>
                <w:sz w:val="20"/>
                <w:szCs w:val="20"/>
                <w:color w:val="auto"/>
              </w:rPr>
            </w:pPr>
            <w:r>
              <w:rPr>
                <w:rFonts w:ascii="Arial" w:cs="Arial" w:eastAsia="Arial" w:hAnsi="Arial"/>
                <w:sz w:val="14"/>
                <w:szCs w:val="14"/>
                <w:b w:val="1"/>
                <w:bCs w:val="1"/>
                <w:color w:val="auto"/>
                <w:w w:val="91"/>
              </w:rPr>
              <w:t>Comprehensive</w:t>
            </w:r>
          </w:p>
        </w:tc>
        <w:tc>
          <w:tcPr>
            <w:tcW w:w="160" w:type="dxa"/>
            <w:vAlign w:val="bottom"/>
          </w:tcPr>
          <w:p>
            <w:pPr>
              <w:spacing w:after="0"/>
              <w:rPr>
                <w:sz w:val="4"/>
                <w:szCs w:val="4"/>
                <w:color w:val="auto"/>
              </w:rPr>
            </w:pPr>
          </w:p>
        </w:tc>
        <w:tc>
          <w:tcPr>
            <w:tcW w:w="1100" w:type="dxa"/>
            <w:vAlign w:val="bottom"/>
            <w:vMerge w:val="restart"/>
          </w:tcPr>
          <w:p>
            <w:pPr>
              <w:jc w:val="center"/>
              <w:ind w:right="79"/>
              <w:spacing w:after="0" w:line="139" w:lineRule="exact"/>
              <w:rPr>
                <w:sz w:val="20"/>
                <w:szCs w:val="20"/>
                <w:color w:val="auto"/>
              </w:rPr>
            </w:pPr>
            <w:r>
              <w:rPr>
                <w:rFonts w:ascii="Arial" w:cs="Arial" w:eastAsia="Arial" w:hAnsi="Arial"/>
                <w:sz w:val="14"/>
                <w:szCs w:val="14"/>
                <w:b w:val="1"/>
                <w:bCs w:val="1"/>
                <w:color w:val="auto"/>
                <w:w w:val="92"/>
              </w:rPr>
              <w:t>Shareholders’</w:t>
            </w:r>
          </w:p>
        </w:tc>
        <w:tc>
          <w:tcPr>
            <w:tcW w:w="0" w:type="dxa"/>
            <w:vAlign w:val="bottom"/>
          </w:tcPr>
          <w:p>
            <w:pPr>
              <w:spacing w:after="0"/>
              <w:rPr>
                <w:sz w:val="1"/>
                <w:szCs w:val="1"/>
                <w:color w:val="auto"/>
              </w:rPr>
            </w:pPr>
          </w:p>
        </w:tc>
      </w:tr>
      <w:tr>
        <w:trPr>
          <w:trHeight w:val="65"/>
        </w:trPr>
        <w:tc>
          <w:tcPr>
            <w:tcW w:w="3220" w:type="dxa"/>
            <w:vAlign w:val="bottom"/>
          </w:tcPr>
          <w:p>
            <w:pPr>
              <w:spacing w:after="0"/>
              <w:rPr>
                <w:sz w:val="5"/>
                <w:szCs w:val="5"/>
                <w:color w:val="auto"/>
              </w:rPr>
            </w:pPr>
          </w:p>
        </w:tc>
        <w:tc>
          <w:tcPr>
            <w:tcW w:w="1380" w:type="dxa"/>
            <w:vAlign w:val="bottom"/>
            <w:gridSpan w:val="2"/>
            <w:vMerge w:val="restart"/>
          </w:tcPr>
          <w:p>
            <w:pPr>
              <w:ind w:left="440"/>
              <w:spacing w:after="0"/>
              <w:rPr>
                <w:sz w:val="20"/>
                <w:szCs w:val="20"/>
                <w:color w:val="auto"/>
              </w:rPr>
            </w:pPr>
            <w:r>
              <w:rPr>
                <w:rFonts w:ascii="Arial" w:cs="Arial" w:eastAsia="Arial" w:hAnsi="Arial"/>
                <w:sz w:val="14"/>
                <w:szCs w:val="14"/>
                <w:b w:val="1"/>
                <w:bCs w:val="1"/>
                <w:color w:val="auto"/>
              </w:rPr>
              <w:t>Shares</w:t>
            </w:r>
          </w:p>
        </w:tc>
        <w:tc>
          <w:tcPr>
            <w:tcW w:w="88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Amount</w:t>
            </w:r>
          </w:p>
        </w:tc>
        <w:tc>
          <w:tcPr>
            <w:tcW w:w="380" w:type="dxa"/>
            <w:vAlign w:val="bottom"/>
          </w:tcPr>
          <w:p>
            <w:pPr>
              <w:spacing w:after="0"/>
              <w:rPr>
                <w:sz w:val="5"/>
                <w:szCs w:val="5"/>
                <w:color w:val="auto"/>
              </w:rPr>
            </w:pPr>
          </w:p>
        </w:tc>
        <w:tc>
          <w:tcPr>
            <w:tcW w:w="100" w:type="dxa"/>
            <w:vAlign w:val="bottom"/>
          </w:tcPr>
          <w:p>
            <w:pPr>
              <w:spacing w:after="0"/>
              <w:rPr>
                <w:sz w:val="5"/>
                <w:szCs w:val="5"/>
                <w:color w:val="auto"/>
              </w:rPr>
            </w:pPr>
          </w:p>
        </w:tc>
        <w:tc>
          <w:tcPr>
            <w:tcW w:w="220" w:type="dxa"/>
            <w:vAlign w:val="bottom"/>
          </w:tcPr>
          <w:p>
            <w:pPr>
              <w:spacing w:after="0"/>
              <w:rPr>
                <w:sz w:val="5"/>
                <w:szCs w:val="5"/>
                <w:color w:val="auto"/>
              </w:rPr>
            </w:pPr>
          </w:p>
        </w:tc>
        <w:tc>
          <w:tcPr>
            <w:tcW w:w="1140" w:type="dxa"/>
            <w:vAlign w:val="bottom"/>
            <w:gridSpan w:val="2"/>
            <w:vMerge w:val="continue"/>
          </w:tcPr>
          <w:p>
            <w:pPr>
              <w:spacing w:after="0"/>
              <w:rPr>
                <w:sz w:val="5"/>
                <w:szCs w:val="5"/>
                <w:color w:val="auto"/>
              </w:rPr>
            </w:pPr>
          </w:p>
        </w:tc>
        <w:tc>
          <w:tcPr>
            <w:tcW w:w="240" w:type="dxa"/>
            <w:vAlign w:val="bottom"/>
          </w:tcPr>
          <w:p>
            <w:pPr>
              <w:spacing w:after="0"/>
              <w:rPr>
                <w:sz w:val="5"/>
                <w:szCs w:val="5"/>
                <w:color w:val="auto"/>
              </w:rPr>
            </w:pPr>
          </w:p>
        </w:tc>
        <w:tc>
          <w:tcPr>
            <w:tcW w:w="1140" w:type="dxa"/>
            <w:vAlign w:val="bottom"/>
            <w:gridSpan w:val="2"/>
            <w:vMerge w:val="continue"/>
          </w:tcPr>
          <w:p>
            <w:pPr>
              <w:spacing w:after="0"/>
              <w:rPr>
                <w:sz w:val="5"/>
                <w:szCs w:val="5"/>
                <w:color w:val="auto"/>
              </w:rPr>
            </w:pPr>
          </w:p>
        </w:tc>
        <w:tc>
          <w:tcPr>
            <w:tcW w:w="160" w:type="dxa"/>
            <w:vAlign w:val="bottom"/>
          </w:tcPr>
          <w:p>
            <w:pPr>
              <w:spacing w:after="0"/>
              <w:rPr>
                <w:sz w:val="5"/>
                <w:szCs w:val="5"/>
                <w:color w:val="auto"/>
              </w:rPr>
            </w:pPr>
          </w:p>
        </w:tc>
        <w:tc>
          <w:tcPr>
            <w:tcW w:w="1300" w:type="dxa"/>
            <w:vAlign w:val="bottom"/>
            <w:gridSpan w:val="2"/>
            <w:vMerge w:val="continue"/>
          </w:tcPr>
          <w:p>
            <w:pPr>
              <w:spacing w:after="0"/>
              <w:rPr>
                <w:sz w:val="5"/>
                <w:szCs w:val="5"/>
                <w:color w:val="auto"/>
              </w:rPr>
            </w:pPr>
          </w:p>
        </w:tc>
        <w:tc>
          <w:tcPr>
            <w:tcW w:w="160" w:type="dxa"/>
            <w:vAlign w:val="bottom"/>
          </w:tcPr>
          <w:p>
            <w:pPr>
              <w:spacing w:after="0"/>
              <w:rPr>
                <w:sz w:val="5"/>
                <w:szCs w:val="5"/>
                <w:color w:val="auto"/>
              </w:rPr>
            </w:pPr>
          </w:p>
        </w:tc>
        <w:tc>
          <w:tcPr>
            <w:tcW w:w="11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2"/>
        </w:trPr>
        <w:tc>
          <w:tcPr>
            <w:tcW w:w="3220" w:type="dxa"/>
            <w:vAlign w:val="bottom"/>
          </w:tcPr>
          <w:p>
            <w:pPr>
              <w:spacing w:after="0"/>
              <w:rPr>
                <w:sz w:val="16"/>
                <w:szCs w:val="16"/>
                <w:color w:val="auto"/>
              </w:rPr>
            </w:pPr>
          </w:p>
        </w:tc>
        <w:tc>
          <w:tcPr>
            <w:tcW w:w="1380" w:type="dxa"/>
            <w:vAlign w:val="bottom"/>
            <w:gridSpan w:val="2"/>
            <w:vMerge w:val="continue"/>
          </w:tcPr>
          <w:p>
            <w:pPr>
              <w:spacing w:after="0"/>
              <w:rPr>
                <w:sz w:val="16"/>
                <w:szCs w:val="16"/>
                <w:color w:val="auto"/>
              </w:rPr>
            </w:pPr>
          </w:p>
        </w:tc>
        <w:tc>
          <w:tcPr>
            <w:tcW w:w="880" w:type="dxa"/>
            <w:vAlign w:val="bottom"/>
            <w:vMerge w:val="continue"/>
          </w:tcPr>
          <w:p>
            <w:pPr>
              <w:spacing w:after="0"/>
              <w:rPr>
                <w:sz w:val="16"/>
                <w:szCs w:val="16"/>
                <w:color w:val="auto"/>
              </w:rPr>
            </w:pPr>
          </w:p>
        </w:tc>
        <w:tc>
          <w:tcPr>
            <w:tcW w:w="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8"/>
              </w:rPr>
              <w:t>Capital</w:t>
            </w:r>
          </w:p>
        </w:tc>
        <w:tc>
          <w:tcPr>
            <w:tcW w:w="240" w:type="dxa"/>
            <w:vAlign w:val="bottom"/>
          </w:tcPr>
          <w:p>
            <w:pPr>
              <w:spacing w:after="0"/>
              <w:rPr>
                <w:sz w:val="16"/>
                <w:szCs w:val="16"/>
                <w:color w:val="auto"/>
              </w:rPr>
            </w:pPr>
          </w:p>
        </w:tc>
        <w:tc>
          <w:tcPr>
            <w:tcW w:w="1140" w:type="dxa"/>
            <w:vAlign w:val="bottom"/>
            <w:gridSpan w:val="2"/>
          </w:tcPr>
          <w:p>
            <w:pPr>
              <w:ind w:left="120"/>
              <w:spacing w:after="0"/>
              <w:rPr>
                <w:sz w:val="20"/>
                <w:szCs w:val="20"/>
                <w:color w:val="auto"/>
              </w:rPr>
            </w:pPr>
            <w:r>
              <w:rPr>
                <w:rFonts w:ascii="Arial" w:cs="Arial" w:eastAsia="Arial" w:hAnsi="Arial"/>
                <w:sz w:val="14"/>
                <w:szCs w:val="14"/>
                <w:b w:val="1"/>
                <w:bCs w:val="1"/>
                <w:color w:val="auto"/>
              </w:rPr>
              <w:t>Earnings</w:t>
            </w:r>
          </w:p>
        </w:tc>
        <w:tc>
          <w:tcPr>
            <w:tcW w:w="160" w:type="dxa"/>
            <w:vAlign w:val="bottom"/>
          </w:tcPr>
          <w:p>
            <w:pPr>
              <w:spacing w:after="0"/>
              <w:rPr>
                <w:sz w:val="16"/>
                <w:szCs w:val="16"/>
                <w:color w:val="auto"/>
              </w:rPr>
            </w:pPr>
          </w:p>
        </w:tc>
        <w:tc>
          <w:tcPr>
            <w:tcW w:w="13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0"/>
              </w:rPr>
              <w:t>Income (Loss)</w:t>
            </w:r>
          </w:p>
        </w:tc>
        <w:tc>
          <w:tcPr>
            <w:tcW w:w="160" w:type="dxa"/>
            <w:vAlign w:val="bottom"/>
          </w:tcPr>
          <w:p>
            <w:pPr>
              <w:spacing w:after="0"/>
              <w:rPr>
                <w:sz w:val="16"/>
                <w:szCs w:val="16"/>
                <w:color w:val="auto"/>
              </w:rPr>
            </w:pPr>
          </w:p>
        </w:tc>
        <w:tc>
          <w:tcPr>
            <w:tcW w:w="1100" w:type="dxa"/>
            <w:vAlign w:val="bottom"/>
          </w:tcPr>
          <w:p>
            <w:pPr>
              <w:jc w:val="center"/>
              <w:ind w:right="79"/>
              <w:spacing w:after="0"/>
              <w:rPr>
                <w:sz w:val="20"/>
                <w:szCs w:val="20"/>
                <w:color w:val="auto"/>
              </w:rPr>
            </w:pPr>
            <w:r>
              <w:rPr>
                <w:rFonts w:ascii="Arial" w:cs="Arial" w:eastAsia="Arial" w:hAnsi="Arial"/>
                <w:sz w:val="14"/>
                <w:szCs w:val="14"/>
                <w:b w:val="1"/>
                <w:bCs w:val="1"/>
                <w:color w:val="auto"/>
                <w:w w:val="98"/>
              </w:rPr>
              <w:t>Equity</w:t>
            </w:r>
          </w:p>
        </w:tc>
        <w:tc>
          <w:tcPr>
            <w:tcW w:w="0" w:type="dxa"/>
            <w:vAlign w:val="bottom"/>
          </w:tcPr>
          <w:p>
            <w:pPr>
              <w:spacing w:after="0"/>
              <w:rPr>
                <w:sz w:val="1"/>
                <w:szCs w:val="1"/>
                <w:color w:val="auto"/>
              </w:rPr>
            </w:pPr>
          </w:p>
        </w:tc>
      </w:tr>
      <w:tr>
        <w:trPr>
          <w:trHeight w:val="224"/>
        </w:trPr>
        <w:tc>
          <w:tcPr>
            <w:tcW w:w="3220" w:type="dxa"/>
            <w:vAlign w:val="bottom"/>
          </w:tcPr>
          <w:p>
            <w:pPr>
              <w:ind w:left="40"/>
              <w:spacing w:after="0"/>
              <w:rPr>
                <w:sz w:val="20"/>
                <w:szCs w:val="20"/>
                <w:color w:val="auto"/>
              </w:rPr>
            </w:pPr>
            <w:r>
              <w:rPr>
                <w:rFonts w:ascii="Arial" w:cs="Arial" w:eastAsia="Arial" w:hAnsi="Arial"/>
                <w:sz w:val="16"/>
                <w:szCs w:val="16"/>
                <w:color w:val="auto"/>
              </w:rPr>
              <w:t>BALANCE — March 31, 2019</w:t>
            </w:r>
          </w:p>
        </w:tc>
        <w:tc>
          <w:tcPr>
            <w:tcW w:w="12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10,592,450</w:t>
            </w:r>
          </w:p>
        </w:tc>
        <w:tc>
          <w:tcPr>
            <w:tcW w:w="100" w:type="dxa"/>
            <w:vAlign w:val="bottom"/>
          </w:tcPr>
          <w:p>
            <w:pPr>
              <w:spacing w:after="0"/>
              <w:rPr>
                <w:sz w:val="19"/>
                <w:szCs w:val="19"/>
                <w:color w:val="auto"/>
              </w:rPr>
            </w:pPr>
          </w:p>
        </w:tc>
        <w:tc>
          <w:tcPr>
            <w:tcW w:w="880" w:type="dxa"/>
            <w:vAlign w:val="bottom"/>
            <w:tcBorders>
              <w:top w:val="single" w:sz="8" w:color="auto"/>
            </w:tcBorders>
          </w:tcPr>
          <w:p>
            <w:pPr>
              <w:jc w:val="right"/>
              <w:ind w:right="700"/>
              <w:spacing w:after="0"/>
              <w:rPr>
                <w:sz w:val="20"/>
                <w:szCs w:val="20"/>
                <w:color w:val="auto"/>
              </w:rPr>
            </w:pPr>
            <w:r>
              <w:rPr>
                <w:rFonts w:ascii="Arial" w:cs="Arial" w:eastAsia="Arial" w:hAnsi="Arial"/>
                <w:sz w:val="16"/>
                <w:szCs w:val="16"/>
                <w:color w:val="auto"/>
                <w:w w:val="89"/>
              </w:rPr>
              <w:t>$</w:t>
            </w:r>
          </w:p>
        </w:tc>
        <w:tc>
          <w:tcPr>
            <w:tcW w:w="380" w:type="dxa"/>
            <w:vAlign w:val="bottom"/>
            <w:tcBorders>
              <w:top w:val="single" w:sz="8" w:color="auto"/>
            </w:tcBorders>
          </w:tcPr>
          <w:p>
            <w:pPr>
              <w:jc w:val="right"/>
              <w:ind w:right="37"/>
              <w:spacing w:after="0"/>
              <w:rPr>
                <w:sz w:val="20"/>
                <w:szCs w:val="20"/>
                <w:color w:val="auto"/>
              </w:rPr>
            </w:pPr>
            <w:r>
              <w:rPr>
                <w:rFonts w:ascii="Arial" w:cs="Arial" w:eastAsia="Arial" w:hAnsi="Arial"/>
                <w:sz w:val="16"/>
                <w:szCs w:val="16"/>
                <w:color w:val="auto"/>
                <w:w w:val="89"/>
              </w:rPr>
              <w:t>530</w:t>
            </w:r>
          </w:p>
        </w:tc>
        <w:tc>
          <w:tcPr>
            <w:tcW w:w="100" w:type="dxa"/>
            <w:vAlign w:val="bottom"/>
          </w:tcPr>
          <w:p>
            <w:pPr>
              <w:spacing w:after="0"/>
              <w:rPr>
                <w:sz w:val="19"/>
                <w:szCs w:val="19"/>
                <w:color w:val="auto"/>
              </w:rPr>
            </w:pPr>
          </w:p>
        </w:tc>
        <w:tc>
          <w:tcPr>
            <w:tcW w:w="220" w:type="dxa"/>
            <w:vAlign w:val="bottom"/>
            <w:tcBorders>
              <w:top w:val="single" w:sz="8" w:color="auto"/>
            </w:tcBorders>
          </w:tcPr>
          <w:p>
            <w:pPr>
              <w:jc w:val="right"/>
              <w:ind w:right="17"/>
              <w:spacing w:after="0"/>
              <w:rPr>
                <w:sz w:val="20"/>
                <w:szCs w:val="20"/>
                <w:color w:val="auto"/>
              </w:rPr>
            </w:pPr>
            <w:r>
              <w:rPr>
                <w:rFonts w:ascii="Arial" w:cs="Arial" w:eastAsia="Arial" w:hAnsi="Arial"/>
                <w:sz w:val="16"/>
                <w:szCs w:val="16"/>
                <w:color w:val="auto"/>
              </w:rPr>
              <w:t>$</w:t>
            </w:r>
          </w:p>
        </w:tc>
        <w:tc>
          <w:tcPr>
            <w:tcW w:w="104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52,609</w:t>
            </w:r>
          </w:p>
        </w:tc>
        <w:tc>
          <w:tcPr>
            <w:tcW w:w="100" w:type="dxa"/>
            <w:vAlign w:val="bottom"/>
          </w:tcPr>
          <w:p>
            <w:pPr>
              <w:spacing w:after="0"/>
              <w:rPr>
                <w:sz w:val="19"/>
                <w:szCs w:val="19"/>
                <w:color w:val="auto"/>
              </w:rPr>
            </w:pPr>
          </w:p>
        </w:tc>
        <w:tc>
          <w:tcPr>
            <w:tcW w:w="240" w:type="dxa"/>
            <w:vAlign w:val="bottom"/>
            <w:tcBorders>
              <w:top w:val="single" w:sz="8" w:color="auto"/>
            </w:tcBorders>
          </w:tcPr>
          <w:p>
            <w:pPr>
              <w:jc w:val="right"/>
              <w:ind w:right="37"/>
              <w:spacing w:after="0"/>
              <w:rPr>
                <w:sz w:val="20"/>
                <w:szCs w:val="20"/>
                <w:color w:val="auto"/>
              </w:rPr>
            </w:pPr>
            <w:r>
              <w:rPr>
                <w:rFonts w:ascii="Arial" w:cs="Arial" w:eastAsia="Arial" w:hAnsi="Arial"/>
                <w:sz w:val="16"/>
                <w:szCs w:val="16"/>
                <w:color w:val="auto"/>
              </w:rPr>
              <w:t>$</w:t>
            </w:r>
          </w:p>
        </w:tc>
        <w:tc>
          <w:tcPr>
            <w:tcW w:w="102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164,405</w:t>
            </w:r>
          </w:p>
        </w:tc>
        <w:tc>
          <w:tcPr>
            <w:tcW w:w="120" w:type="dxa"/>
            <w:vAlign w:val="bottom"/>
          </w:tcPr>
          <w:p>
            <w:pPr>
              <w:spacing w:after="0"/>
              <w:rPr>
                <w:sz w:val="19"/>
                <w:szCs w:val="19"/>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317</w:t>
            </w:r>
          </w:p>
        </w:tc>
        <w:tc>
          <w:tcPr>
            <w:tcW w:w="100" w:type="dxa"/>
            <w:vAlign w:val="bottom"/>
          </w:tcPr>
          <w:p>
            <w:pPr>
              <w:spacing w:after="0"/>
              <w:rPr>
                <w:sz w:val="19"/>
                <w:szCs w:val="19"/>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1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217,861</w:t>
            </w:r>
          </w:p>
        </w:tc>
        <w:tc>
          <w:tcPr>
            <w:tcW w:w="0" w:type="dxa"/>
            <w:vAlign w:val="bottom"/>
          </w:tcPr>
          <w:p>
            <w:pPr>
              <w:spacing w:after="0"/>
              <w:rPr>
                <w:sz w:val="1"/>
                <w:szCs w:val="1"/>
                <w:color w:val="auto"/>
              </w:rPr>
            </w:pPr>
          </w:p>
        </w:tc>
      </w:tr>
      <w:tr>
        <w:trPr>
          <w:trHeight w:val="73"/>
        </w:trPr>
        <w:tc>
          <w:tcPr>
            <w:tcW w:w="3220" w:type="dxa"/>
            <w:vAlign w:val="bottom"/>
            <w:tcBorders>
              <w:bottom w:val="single" w:sz="8" w:color="CCEEFF"/>
            </w:tcBorders>
          </w:tcPr>
          <w:p>
            <w:pPr>
              <w:spacing w:after="0"/>
              <w:rPr>
                <w:sz w:val="6"/>
                <w:szCs w:val="6"/>
                <w:color w:val="auto"/>
              </w:rPr>
            </w:pPr>
          </w:p>
        </w:tc>
        <w:tc>
          <w:tcPr>
            <w:tcW w:w="128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880" w:type="dxa"/>
            <w:vAlign w:val="bottom"/>
            <w:tcBorders>
              <w:bottom w:val="single" w:sz="8" w:color="auto"/>
            </w:tcBorders>
          </w:tcPr>
          <w:p>
            <w:pPr>
              <w:spacing w:after="0"/>
              <w:rPr>
                <w:sz w:val="6"/>
                <w:szCs w:val="6"/>
                <w:color w:val="auto"/>
              </w:rPr>
            </w:pPr>
          </w:p>
        </w:tc>
        <w:tc>
          <w:tcPr>
            <w:tcW w:w="38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104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240" w:type="dxa"/>
            <w:vAlign w:val="bottom"/>
            <w:tcBorders>
              <w:bottom w:val="single" w:sz="8" w:color="auto"/>
            </w:tcBorders>
          </w:tcPr>
          <w:p>
            <w:pPr>
              <w:spacing w:after="0"/>
              <w:rPr>
                <w:sz w:val="6"/>
                <w:szCs w:val="6"/>
                <w:color w:val="auto"/>
              </w:rPr>
            </w:pPr>
          </w:p>
        </w:tc>
        <w:tc>
          <w:tcPr>
            <w:tcW w:w="102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120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110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17"/>
        </w:trPr>
        <w:tc>
          <w:tcPr>
            <w:tcW w:w="3220" w:type="dxa"/>
            <w:vAlign w:val="bottom"/>
            <w:tcBorders>
              <w:bottom w:val="single" w:sz="8" w:color="CCEEFF"/>
            </w:tcBorders>
            <w:shd w:val="clear" w:color="auto" w:fill="CCEEFF"/>
          </w:tcPr>
          <w:p>
            <w:pPr>
              <w:ind w:left="380"/>
              <w:spacing w:after="0" w:line="177" w:lineRule="exact"/>
              <w:rPr>
                <w:sz w:val="20"/>
                <w:szCs w:val="20"/>
                <w:color w:val="auto"/>
              </w:rPr>
            </w:pPr>
            <w:r>
              <w:rPr>
                <w:rFonts w:ascii="Arial" w:cs="Arial" w:eastAsia="Arial" w:hAnsi="Arial"/>
                <w:sz w:val="16"/>
                <w:szCs w:val="16"/>
                <w:color w:val="auto"/>
              </w:rPr>
              <w:t>Cash dividends paid</w:t>
            </w:r>
          </w:p>
        </w:tc>
        <w:tc>
          <w:tcPr>
            <w:tcW w:w="12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(2,460)</w:t>
            </w:r>
          </w:p>
        </w:tc>
        <w:tc>
          <w:tcPr>
            <w:tcW w:w="1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12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(2,460)</w:t>
            </w:r>
          </w:p>
        </w:tc>
        <w:tc>
          <w:tcPr>
            <w:tcW w:w="0" w:type="dxa"/>
            <w:vAlign w:val="bottom"/>
          </w:tcPr>
          <w:p>
            <w:pPr>
              <w:spacing w:after="0"/>
              <w:rPr>
                <w:sz w:val="1"/>
                <w:szCs w:val="1"/>
                <w:color w:val="auto"/>
              </w:rPr>
            </w:pPr>
          </w:p>
        </w:tc>
      </w:tr>
      <w:tr>
        <w:trPr>
          <w:trHeight w:val="237"/>
        </w:trPr>
        <w:tc>
          <w:tcPr>
            <w:tcW w:w="3220" w:type="dxa"/>
            <w:vAlign w:val="bottom"/>
          </w:tcPr>
          <w:p>
            <w:pPr>
              <w:ind w:left="380"/>
              <w:spacing w:after="0"/>
              <w:rPr>
                <w:sz w:val="20"/>
                <w:szCs w:val="20"/>
                <w:color w:val="auto"/>
              </w:rPr>
            </w:pPr>
            <w:r>
              <w:rPr>
                <w:rFonts w:ascii="Arial" w:cs="Arial" w:eastAsia="Arial" w:hAnsi="Arial"/>
                <w:sz w:val="16"/>
                <w:szCs w:val="16"/>
                <w:color w:val="auto"/>
              </w:rPr>
              <w:t>Share-based compensation expense</w:t>
            </w:r>
          </w:p>
        </w:tc>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tcPr>
          <w:p>
            <w:pPr>
              <w:jc w:val="right"/>
              <w:ind w:right="20"/>
              <w:spacing w:after="0"/>
              <w:rPr>
                <w:sz w:val="20"/>
                <w:szCs w:val="20"/>
                <w:color w:val="auto"/>
              </w:rPr>
            </w:pPr>
            <w:r>
              <w:rPr>
                <w:rFonts w:ascii="Arial" w:cs="Arial" w:eastAsia="Arial" w:hAnsi="Arial"/>
                <w:sz w:val="16"/>
                <w:szCs w:val="16"/>
                <w:color w:val="auto"/>
              </w:rPr>
              <w:t>509</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509</w:t>
            </w:r>
          </w:p>
        </w:tc>
        <w:tc>
          <w:tcPr>
            <w:tcW w:w="0" w:type="dxa"/>
            <w:vAlign w:val="bottom"/>
          </w:tcPr>
          <w:p>
            <w:pPr>
              <w:spacing w:after="0"/>
              <w:rPr>
                <w:sz w:val="1"/>
                <w:szCs w:val="1"/>
                <w:color w:val="auto"/>
              </w:rPr>
            </w:pPr>
          </w:p>
        </w:tc>
      </w:tr>
      <w:tr>
        <w:trPr>
          <w:trHeight w:val="33"/>
        </w:trPr>
        <w:tc>
          <w:tcPr>
            <w:tcW w:w="3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2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Vesting of restricted stock</w:t>
            </w:r>
          </w:p>
        </w:tc>
        <w:tc>
          <w:tcPr>
            <w:tcW w:w="12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27,620</w:t>
            </w:r>
          </w:p>
        </w:tc>
        <w:tc>
          <w:tcPr>
            <w:tcW w:w="1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6"/>
                <w:szCs w:val="16"/>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3220" w:type="dxa"/>
            <w:vAlign w:val="bottom"/>
          </w:tcPr>
          <w:p>
            <w:pPr>
              <w:ind w:left="380"/>
              <w:spacing w:after="0"/>
              <w:rPr>
                <w:sz w:val="20"/>
                <w:szCs w:val="20"/>
                <w:color w:val="auto"/>
              </w:rPr>
            </w:pPr>
            <w:r>
              <w:rPr>
                <w:rFonts w:ascii="Arial" w:cs="Arial" w:eastAsia="Arial" w:hAnsi="Arial"/>
                <w:sz w:val="16"/>
                <w:szCs w:val="16"/>
                <w:color w:val="auto"/>
              </w:rPr>
              <w:t>Shares surrendered for payroll taxes</w:t>
            </w:r>
          </w:p>
        </w:tc>
        <w:tc>
          <w:tcPr>
            <w:tcW w:w="1280" w:type="dxa"/>
            <w:vAlign w:val="bottom"/>
          </w:tcPr>
          <w:p>
            <w:pPr>
              <w:jc w:val="right"/>
              <w:spacing w:after="0"/>
              <w:rPr>
                <w:sz w:val="20"/>
                <w:szCs w:val="20"/>
                <w:color w:val="auto"/>
              </w:rPr>
            </w:pPr>
            <w:r>
              <w:rPr>
                <w:rFonts w:ascii="Arial" w:cs="Arial" w:eastAsia="Arial" w:hAnsi="Arial"/>
                <w:sz w:val="16"/>
                <w:szCs w:val="16"/>
                <w:color w:val="auto"/>
              </w:rPr>
              <w:t>(9,160)</w:t>
            </w:r>
          </w:p>
        </w:tc>
        <w:tc>
          <w:tcPr>
            <w:tcW w:w="1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380" w:type="dxa"/>
            <w:vAlign w:val="bottom"/>
          </w:tcPr>
          <w:p>
            <w:pPr>
              <w:jc w:val="right"/>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(342)</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(343)</w:t>
            </w:r>
          </w:p>
        </w:tc>
        <w:tc>
          <w:tcPr>
            <w:tcW w:w="0" w:type="dxa"/>
            <w:vAlign w:val="bottom"/>
          </w:tcPr>
          <w:p>
            <w:pPr>
              <w:spacing w:after="0"/>
              <w:rPr>
                <w:sz w:val="1"/>
                <w:szCs w:val="1"/>
                <w:color w:val="auto"/>
              </w:rPr>
            </w:pPr>
          </w:p>
        </w:tc>
      </w:tr>
      <w:tr>
        <w:trPr>
          <w:trHeight w:val="33"/>
        </w:trPr>
        <w:tc>
          <w:tcPr>
            <w:tcW w:w="3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2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Shares repurchased</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(47,136)</w:t>
            </w:r>
          </w:p>
        </w:tc>
        <w:tc>
          <w:tcPr>
            <w:tcW w:w="1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(1,801)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(1,803)</w:t>
            </w:r>
          </w:p>
        </w:tc>
        <w:tc>
          <w:tcPr>
            <w:tcW w:w="0" w:type="dxa"/>
            <w:vAlign w:val="bottom"/>
          </w:tcPr>
          <w:p>
            <w:pPr>
              <w:spacing w:after="0"/>
              <w:rPr>
                <w:sz w:val="1"/>
                <w:szCs w:val="1"/>
                <w:color w:val="auto"/>
              </w:rPr>
            </w:pPr>
          </w:p>
        </w:tc>
      </w:tr>
      <w:tr>
        <w:trPr>
          <w:trHeight w:val="237"/>
        </w:trPr>
        <w:tc>
          <w:tcPr>
            <w:tcW w:w="3220" w:type="dxa"/>
            <w:vAlign w:val="bottom"/>
          </w:tcPr>
          <w:p>
            <w:pPr>
              <w:ind w:left="380"/>
              <w:spacing w:after="0"/>
              <w:rPr>
                <w:sz w:val="20"/>
                <w:szCs w:val="20"/>
                <w:color w:val="auto"/>
              </w:rPr>
            </w:pPr>
            <w:r>
              <w:rPr>
                <w:rFonts w:ascii="Arial" w:cs="Arial" w:eastAsia="Arial" w:hAnsi="Arial"/>
                <w:sz w:val="16"/>
                <w:szCs w:val="16"/>
                <w:color w:val="auto"/>
                <w:w w:val="99"/>
              </w:rPr>
              <w:t>Other comprehensive income, net of tax</w:t>
            </w:r>
          </w:p>
        </w:tc>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(179)</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(179)</w:t>
            </w:r>
          </w:p>
        </w:tc>
        <w:tc>
          <w:tcPr>
            <w:tcW w:w="0" w:type="dxa"/>
            <w:vAlign w:val="bottom"/>
          </w:tcPr>
          <w:p>
            <w:pPr>
              <w:spacing w:after="0"/>
              <w:rPr>
                <w:sz w:val="1"/>
                <w:szCs w:val="1"/>
                <w:color w:val="auto"/>
              </w:rPr>
            </w:pPr>
          </w:p>
        </w:tc>
      </w:tr>
      <w:tr>
        <w:trPr>
          <w:trHeight w:val="33"/>
        </w:trPr>
        <w:tc>
          <w:tcPr>
            <w:tcW w:w="3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22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rPr>
              <w:t>Net income</w:t>
            </w:r>
          </w:p>
        </w:tc>
        <w:tc>
          <w:tcPr>
            <w:tcW w:w="12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9,807</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9,807</w:t>
            </w:r>
          </w:p>
        </w:tc>
        <w:tc>
          <w:tcPr>
            <w:tcW w:w="0" w:type="dxa"/>
            <w:vAlign w:val="bottom"/>
          </w:tcPr>
          <w:p>
            <w:pPr>
              <w:spacing w:after="0"/>
              <w:rPr>
                <w:sz w:val="1"/>
                <w:szCs w:val="1"/>
                <w:color w:val="auto"/>
              </w:rPr>
            </w:pPr>
          </w:p>
        </w:tc>
      </w:tr>
      <w:tr>
        <w:trPr>
          <w:trHeight w:val="217"/>
        </w:trPr>
        <w:tc>
          <w:tcPr>
            <w:tcW w:w="3220" w:type="dxa"/>
            <w:vAlign w:val="bottom"/>
          </w:tcPr>
          <w:p>
            <w:pPr>
              <w:ind w:left="40"/>
              <w:spacing w:after="0"/>
              <w:rPr>
                <w:sz w:val="20"/>
                <w:szCs w:val="20"/>
                <w:color w:val="auto"/>
              </w:rPr>
            </w:pPr>
            <w:r>
              <w:rPr>
                <w:rFonts w:ascii="Arial" w:cs="Arial" w:eastAsia="Arial" w:hAnsi="Arial"/>
                <w:sz w:val="16"/>
                <w:szCs w:val="16"/>
                <w:color w:val="auto"/>
              </w:rPr>
              <w:t>BALANCE — June 30, 2019</w:t>
            </w:r>
          </w:p>
        </w:tc>
        <w:tc>
          <w:tcPr>
            <w:tcW w:w="12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10,563,774</w:t>
            </w:r>
          </w:p>
        </w:tc>
        <w:tc>
          <w:tcPr>
            <w:tcW w:w="100" w:type="dxa"/>
            <w:vAlign w:val="bottom"/>
          </w:tcPr>
          <w:p>
            <w:pPr>
              <w:spacing w:after="0"/>
              <w:rPr>
                <w:sz w:val="18"/>
                <w:szCs w:val="18"/>
                <w:color w:val="auto"/>
              </w:rPr>
            </w:pPr>
          </w:p>
        </w:tc>
        <w:tc>
          <w:tcPr>
            <w:tcW w:w="880" w:type="dxa"/>
            <w:vAlign w:val="bottom"/>
            <w:tcBorders>
              <w:top w:val="single" w:sz="8" w:color="auto"/>
            </w:tcBorders>
          </w:tcPr>
          <w:p>
            <w:pPr>
              <w:jc w:val="right"/>
              <w:ind w:right="700"/>
              <w:spacing w:after="0"/>
              <w:rPr>
                <w:sz w:val="20"/>
                <w:szCs w:val="20"/>
                <w:color w:val="auto"/>
              </w:rPr>
            </w:pPr>
            <w:r>
              <w:rPr>
                <w:rFonts w:ascii="Arial" w:cs="Arial" w:eastAsia="Arial" w:hAnsi="Arial"/>
                <w:sz w:val="16"/>
                <w:szCs w:val="16"/>
                <w:color w:val="auto"/>
                <w:w w:val="89"/>
              </w:rPr>
              <w:t>$</w:t>
            </w:r>
          </w:p>
        </w:tc>
        <w:tc>
          <w:tcPr>
            <w:tcW w:w="380" w:type="dxa"/>
            <w:vAlign w:val="bottom"/>
            <w:tcBorders>
              <w:top w:val="single" w:sz="8" w:color="auto"/>
            </w:tcBorders>
          </w:tcPr>
          <w:p>
            <w:pPr>
              <w:jc w:val="right"/>
              <w:ind w:right="37"/>
              <w:spacing w:after="0"/>
              <w:rPr>
                <w:sz w:val="20"/>
                <w:szCs w:val="20"/>
                <w:color w:val="auto"/>
              </w:rPr>
            </w:pPr>
            <w:r>
              <w:rPr>
                <w:rFonts w:ascii="Arial" w:cs="Arial" w:eastAsia="Arial" w:hAnsi="Arial"/>
                <w:sz w:val="16"/>
                <w:szCs w:val="16"/>
                <w:color w:val="auto"/>
                <w:w w:val="89"/>
              </w:rPr>
              <w:t>528</w:t>
            </w:r>
          </w:p>
        </w:tc>
        <w:tc>
          <w:tcPr>
            <w:tcW w:w="100" w:type="dxa"/>
            <w:vAlign w:val="bottom"/>
          </w:tcPr>
          <w:p>
            <w:pPr>
              <w:spacing w:after="0"/>
              <w:rPr>
                <w:sz w:val="18"/>
                <w:szCs w:val="18"/>
                <w:color w:val="auto"/>
              </w:rPr>
            </w:pPr>
          </w:p>
        </w:tc>
        <w:tc>
          <w:tcPr>
            <w:tcW w:w="220" w:type="dxa"/>
            <w:vAlign w:val="bottom"/>
            <w:tcBorders>
              <w:top w:val="single" w:sz="8" w:color="auto"/>
            </w:tcBorders>
          </w:tcPr>
          <w:p>
            <w:pPr>
              <w:jc w:val="right"/>
              <w:ind w:right="17"/>
              <w:spacing w:after="0"/>
              <w:rPr>
                <w:sz w:val="20"/>
                <w:szCs w:val="20"/>
                <w:color w:val="auto"/>
              </w:rPr>
            </w:pPr>
            <w:r>
              <w:rPr>
                <w:rFonts w:ascii="Arial" w:cs="Arial" w:eastAsia="Arial" w:hAnsi="Arial"/>
                <w:sz w:val="16"/>
                <w:szCs w:val="16"/>
                <w:color w:val="auto"/>
              </w:rPr>
              <w:t>$</w:t>
            </w:r>
          </w:p>
        </w:tc>
        <w:tc>
          <w:tcPr>
            <w:tcW w:w="104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50,974</w:t>
            </w:r>
          </w:p>
        </w:tc>
        <w:tc>
          <w:tcPr>
            <w:tcW w:w="100" w:type="dxa"/>
            <w:vAlign w:val="bottom"/>
          </w:tcPr>
          <w:p>
            <w:pPr>
              <w:spacing w:after="0"/>
              <w:rPr>
                <w:sz w:val="18"/>
                <w:szCs w:val="18"/>
                <w:color w:val="auto"/>
              </w:rPr>
            </w:pPr>
          </w:p>
        </w:tc>
        <w:tc>
          <w:tcPr>
            <w:tcW w:w="240" w:type="dxa"/>
            <w:vAlign w:val="bottom"/>
            <w:tcBorders>
              <w:top w:val="single" w:sz="8" w:color="auto"/>
            </w:tcBorders>
          </w:tcPr>
          <w:p>
            <w:pPr>
              <w:jc w:val="right"/>
              <w:ind w:right="37"/>
              <w:spacing w:after="0"/>
              <w:rPr>
                <w:sz w:val="20"/>
                <w:szCs w:val="20"/>
                <w:color w:val="auto"/>
              </w:rPr>
            </w:pPr>
            <w:r>
              <w:rPr>
                <w:rFonts w:ascii="Arial" w:cs="Arial" w:eastAsia="Arial" w:hAnsi="Arial"/>
                <w:sz w:val="16"/>
                <w:szCs w:val="16"/>
                <w:color w:val="auto"/>
              </w:rPr>
              <w:t>$</w:t>
            </w:r>
          </w:p>
        </w:tc>
        <w:tc>
          <w:tcPr>
            <w:tcW w:w="102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171,752</w:t>
            </w:r>
          </w:p>
        </w:tc>
        <w:tc>
          <w:tcPr>
            <w:tcW w:w="12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138</w:t>
            </w:r>
          </w:p>
        </w:tc>
        <w:tc>
          <w:tcPr>
            <w:tcW w:w="10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1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223,392</w:t>
            </w:r>
          </w:p>
        </w:tc>
        <w:tc>
          <w:tcPr>
            <w:tcW w:w="0" w:type="dxa"/>
            <w:vAlign w:val="bottom"/>
          </w:tcPr>
          <w:p>
            <w:pPr>
              <w:spacing w:after="0"/>
              <w:rPr>
                <w:sz w:val="1"/>
                <w:szCs w:val="1"/>
                <w:color w:val="auto"/>
              </w:rPr>
            </w:pPr>
          </w:p>
        </w:tc>
      </w:tr>
      <w:tr>
        <w:trPr>
          <w:trHeight w:val="73"/>
        </w:trPr>
        <w:tc>
          <w:tcPr>
            <w:tcW w:w="3220" w:type="dxa"/>
            <w:vAlign w:val="bottom"/>
            <w:tcBorders>
              <w:bottom w:val="single" w:sz="8" w:color="CCEEFF"/>
            </w:tcBorders>
          </w:tcPr>
          <w:p>
            <w:pPr>
              <w:spacing w:after="0"/>
              <w:rPr>
                <w:sz w:val="6"/>
                <w:szCs w:val="6"/>
                <w:color w:val="auto"/>
              </w:rPr>
            </w:pPr>
          </w:p>
        </w:tc>
        <w:tc>
          <w:tcPr>
            <w:tcW w:w="128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880" w:type="dxa"/>
            <w:vAlign w:val="bottom"/>
            <w:tcBorders>
              <w:bottom w:val="single" w:sz="8" w:color="auto"/>
            </w:tcBorders>
          </w:tcPr>
          <w:p>
            <w:pPr>
              <w:spacing w:after="0"/>
              <w:rPr>
                <w:sz w:val="6"/>
                <w:szCs w:val="6"/>
                <w:color w:val="auto"/>
              </w:rPr>
            </w:pPr>
          </w:p>
        </w:tc>
        <w:tc>
          <w:tcPr>
            <w:tcW w:w="38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104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240" w:type="dxa"/>
            <w:vAlign w:val="bottom"/>
            <w:tcBorders>
              <w:bottom w:val="single" w:sz="8" w:color="auto"/>
            </w:tcBorders>
          </w:tcPr>
          <w:p>
            <w:pPr>
              <w:spacing w:after="0"/>
              <w:rPr>
                <w:sz w:val="6"/>
                <w:szCs w:val="6"/>
                <w:color w:val="auto"/>
              </w:rPr>
            </w:pPr>
          </w:p>
        </w:tc>
        <w:tc>
          <w:tcPr>
            <w:tcW w:w="102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120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110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17"/>
        </w:trPr>
        <w:tc>
          <w:tcPr>
            <w:tcW w:w="3220" w:type="dxa"/>
            <w:vAlign w:val="bottom"/>
            <w:tcBorders>
              <w:bottom w:val="single" w:sz="8" w:color="CCEEFF"/>
            </w:tcBorders>
            <w:shd w:val="clear" w:color="auto" w:fill="CCEEFF"/>
          </w:tcPr>
          <w:p>
            <w:pPr>
              <w:ind w:left="380"/>
              <w:spacing w:after="0" w:line="177" w:lineRule="exact"/>
              <w:rPr>
                <w:sz w:val="20"/>
                <w:szCs w:val="20"/>
                <w:color w:val="auto"/>
              </w:rPr>
            </w:pPr>
            <w:r>
              <w:rPr>
                <w:rFonts w:ascii="Arial" w:cs="Arial" w:eastAsia="Arial" w:hAnsi="Arial"/>
                <w:sz w:val="16"/>
                <w:szCs w:val="16"/>
                <w:color w:val="auto"/>
              </w:rPr>
              <w:t>Cash dividends paid</w:t>
            </w:r>
          </w:p>
        </w:tc>
        <w:tc>
          <w:tcPr>
            <w:tcW w:w="12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(2,445)</w:t>
            </w:r>
          </w:p>
        </w:tc>
        <w:tc>
          <w:tcPr>
            <w:tcW w:w="1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12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(2,445)</w:t>
            </w:r>
          </w:p>
        </w:tc>
        <w:tc>
          <w:tcPr>
            <w:tcW w:w="0" w:type="dxa"/>
            <w:vAlign w:val="bottom"/>
          </w:tcPr>
          <w:p>
            <w:pPr>
              <w:spacing w:after="0"/>
              <w:rPr>
                <w:sz w:val="1"/>
                <w:szCs w:val="1"/>
                <w:color w:val="auto"/>
              </w:rPr>
            </w:pPr>
          </w:p>
        </w:tc>
      </w:tr>
      <w:tr>
        <w:trPr>
          <w:trHeight w:val="237"/>
        </w:trPr>
        <w:tc>
          <w:tcPr>
            <w:tcW w:w="3220" w:type="dxa"/>
            <w:vAlign w:val="bottom"/>
          </w:tcPr>
          <w:p>
            <w:pPr>
              <w:ind w:left="380"/>
              <w:spacing w:after="0"/>
              <w:rPr>
                <w:sz w:val="20"/>
                <w:szCs w:val="20"/>
                <w:color w:val="auto"/>
              </w:rPr>
            </w:pPr>
            <w:r>
              <w:rPr>
                <w:rFonts w:ascii="Arial" w:cs="Arial" w:eastAsia="Arial" w:hAnsi="Arial"/>
                <w:sz w:val="16"/>
                <w:szCs w:val="16"/>
                <w:color w:val="auto"/>
              </w:rPr>
              <w:t>Share-based compensation expense</w:t>
            </w:r>
          </w:p>
        </w:tc>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tcPr>
          <w:p>
            <w:pPr>
              <w:jc w:val="right"/>
              <w:ind w:right="20"/>
              <w:spacing w:after="0"/>
              <w:rPr>
                <w:sz w:val="20"/>
                <w:szCs w:val="20"/>
                <w:color w:val="auto"/>
              </w:rPr>
            </w:pPr>
            <w:r>
              <w:rPr>
                <w:rFonts w:ascii="Arial" w:cs="Arial" w:eastAsia="Arial" w:hAnsi="Arial"/>
                <w:sz w:val="16"/>
                <w:szCs w:val="16"/>
                <w:color w:val="auto"/>
              </w:rPr>
              <w:t>636</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636</w:t>
            </w:r>
          </w:p>
        </w:tc>
        <w:tc>
          <w:tcPr>
            <w:tcW w:w="0" w:type="dxa"/>
            <w:vAlign w:val="bottom"/>
          </w:tcPr>
          <w:p>
            <w:pPr>
              <w:spacing w:after="0"/>
              <w:rPr>
                <w:sz w:val="1"/>
                <w:szCs w:val="1"/>
                <w:color w:val="auto"/>
              </w:rPr>
            </w:pPr>
          </w:p>
        </w:tc>
      </w:tr>
      <w:tr>
        <w:trPr>
          <w:trHeight w:val="33"/>
        </w:trPr>
        <w:tc>
          <w:tcPr>
            <w:tcW w:w="3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2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Vesting of restricted stock</w:t>
            </w:r>
          </w:p>
        </w:tc>
        <w:tc>
          <w:tcPr>
            <w:tcW w:w="12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8,352</w:t>
            </w:r>
          </w:p>
        </w:tc>
        <w:tc>
          <w:tcPr>
            <w:tcW w:w="1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3220" w:type="dxa"/>
            <w:vAlign w:val="bottom"/>
          </w:tcPr>
          <w:p>
            <w:pPr>
              <w:ind w:left="380"/>
              <w:spacing w:after="0"/>
              <w:rPr>
                <w:sz w:val="20"/>
                <w:szCs w:val="20"/>
                <w:color w:val="auto"/>
              </w:rPr>
            </w:pPr>
            <w:r>
              <w:rPr>
                <w:rFonts w:ascii="Arial" w:cs="Arial" w:eastAsia="Arial" w:hAnsi="Arial"/>
                <w:sz w:val="16"/>
                <w:szCs w:val="16"/>
                <w:color w:val="auto"/>
              </w:rPr>
              <w:t>ESPP shares issued</w:t>
            </w:r>
          </w:p>
        </w:tc>
        <w:tc>
          <w:tcPr>
            <w:tcW w:w="1280" w:type="dxa"/>
            <w:vAlign w:val="bottom"/>
          </w:tcPr>
          <w:p>
            <w:pPr>
              <w:jc w:val="right"/>
              <w:ind w:right="39"/>
              <w:spacing w:after="0"/>
              <w:rPr>
                <w:sz w:val="20"/>
                <w:szCs w:val="20"/>
                <w:color w:val="auto"/>
              </w:rPr>
            </w:pPr>
            <w:r>
              <w:rPr>
                <w:rFonts w:ascii="Arial" w:cs="Arial" w:eastAsia="Arial" w:hAnsi="Arial"/>
                <w:sz w:val="16"/>
                <w:szCs w:val="16"/>
                <w:color w:val="auto"/>
              </w:rPr>
              <w:t>18,586</w:t>
            </w:r>
          </w:p>
        </w:tc>
        <w:tc>
          <w:tcPr>
            <w:tcW w:w="1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380" w:type="dxa"/>
            <w:vAlign w:val="bottom"/>
          </w:tcPr>
          <w:p>
            <w:pPr>
              <w:jc w:val="right"/>
              <w:ind w:right="37"/>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tcPr>
          <w:p>
            <w:pPr>
              <w:jc w:val="right"/>
              <w:ind w:right="20"/>
              <w:spacing w:after="0"/>
              <w:rPr>
                <w:sz w:val="20"/>
                <w:szCs w:val="20"/>
                <w:color w:val="auto"/>
              </w:rPr>
            </w:pPr>
            <w:r>
              <w:rPr>
                <w:rFonts w:ascii="Arial" w:cs="Arial" w:eastAsia="Arial" w:hAnsi="Arial"/>
                <w:sz w:val="16"/>
                <w:szCs w:val="16"/>
                <w:color w:val="auto"/>
              </w:rPr>
              <w:t>660</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661</w:t>
            </w:r>
          </w:p>
        </w:tc>
        <w:tc>
          <w:tcPr>
            <w:tcW w:w="0" w:type="dxa"/>
            <w:vAlign w:val="bottom"/>
          </w:tcPr>
          <w:p>
            <w:pPr>
              <w:spacing w:after="0"/>
              <w:rPr>
                <w:sz w:val="1"/>
                <w:szCs w:val="1"/>
                <w:color w:val="auto"/>
              </w:rPr>
            </w:pPr>
          </w:p>
        </w:tc>
      </w:tr>
      <w:tr>
        <w:trPr>
          <w:trHeight w:val="33"/>
        </w:trPr>
        <w:tc>
          <w:tcPr>
            <w:tcW w:w="3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2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Shares repurchased</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(44,259)</w:t>
            </w:r>
          </w:p>
        </w:tc>
        <w:tc>
          <w:tcPr>
            <w:tcW w:w="1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(1,988)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(1,990)</w:t>
            </w:r>
          </w:p>
        </w:tc>
        <w:tc>
          <w:tcPr>
            <w:tcW w:w="0" w:type="dxa"/>
            <w:vAlign w:val="bottom"/>
          </w:tcPr>
          <w:p>
            <w:pPr>
              <w:spacing w:after="0"/>
              <w:rPr>
                <w:sz w:val="1"/>
                <w:szCs w:val="1"/>
                <w:color w:val="auto"/>
              </w:rPr>
            </w:pPr>
          </w:p>
        </w:tc>
      </w:tr>
      <w:tr>
        <w:trPr>
          <w:trHeight w:val="237"/>
        </w:trPr>
        <w:tc>
          <w:tcPr>
            <w:tcW w:w="3220" w:type="dxa"/>
            <w:vAlign w:val="bottom"/>
          </w:tcPr>
          <w:p>
            <w:pPr>
              <w:ind w:left="380"/>
              <w:spacing w:after="0"/>
              <w:rPr>
                <w:sz w:val="20"/>
                <w:szCs w:val="20"/>
                <w:color w:val="auto"/>
              </w:rPr>
            </w:pPr>
            <w:r>
              <w:rPr>
                <w:rFonts w:ascii="Arial" w:cs="Arial" w:eastAsia="Arial" w:hAnsi="Arial"/>
                <w:sz w:val="16"/>
                <w:szCs w:val="16"/>
                <w:color w:val="auto"/>
                <w:w w:val="99"/>
              </w:rPr>
              <w:t>Other comprehensive income, net of tax</w:t>
            </w:r>
          </w:p>
        </w:tc>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(69)</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(69)</w:t>
            </w:r>
          </w:p>
        </w:tc>
        <w:tc>
          <w:tcPr>
            <w:tcW w:w="0" w:type="dxa"/>
            <w:vAlign w:val="bottom"/>
          </w:tcPr>
          <w:p>
            <w:pPr>
              <w:spacing w:after="0"/>
              <w:rPr>
                <w:sz w:val="1"/>
                <w:szCs w:val="1"/>
                <w:color w:val="auto"/>
              </w:rPr>
            </w:pPr>
          </w:p>
        </w:tc>
      </w:tr>
      <w:tr>
        <w:trPr>
          <w:trHeight w:val="33"/>
        </w:trPr>
        <w:tc>
          <w:tcPr>
            <w:tcW w:w="3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22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rPr>
              <w:t>Net income</w:t>
            </w:r>
          </w:p>
        </w:tc>
        <w:tc>
          <w:tcPr>
            <w:tcW w:w="12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9,250</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9,250</w:t>
            </w:r>
          </w:p>
        </w:tc>
        <w:tc>
          <w:tcPr>
            <w:tcW w:w="0" w:type="dxa"/>
            <w:vAlign w:val="bottom"/>
          </w:tcPr>
          <w:p>
            <w:pPr>
              <w:spacing w:after="0"/>
              <w:rPr>
                <w:sz w:val="1"/>
                <w:szCs w:val="1"/>
                <w:color w:val="auto"/>
              </w:rPr>
            </w:pPr>
          </w:p>
        </w:tc>
      </w:tr>
      <w:tr>
        <w:trPr>
          <w:trHeight w:val="217"/>
        </w:trPr>
        <w:tc>
          <w:tcPr>
            <w:tcW w:w="3220" w:type="dxa"/>
            <w:vAlign w:val="bottom"/>
          </w:tcPr>
          <w:p>
            <w:pPr>
              <w:ind w:left="40"/>
              <w:spacing w:after="0"/>
              <w:rPr>
                <w:sz w:val="20"/>
                <w:szCs w:val="20"/>
                <w:color w:val="auto"/>
              </w:rPr>
            </w:pPr>
            <w:r>
              <w:rPr>
                <w:rFonts w:ascii="Arial" w:cs="Arial" w:eastAsia="Arial" w:hAnsi="Arial"/>
                <w:sz w:val="16"/>
                <w:szCs w:val="16"/>
                <w:color w:val="auto"/>
              </w:rPr>
              <w:t>BALANCE — September 29, 2019</w:t>
            </w:r>
          </w:p>
        </w:tc>
        <w:tc>
          <w:tcPr>
            <w:tcW w:w="12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10,546,453</w:t>
            </w:r>
          </w:p>
        </w:tc>
        <w:tc>
          <w:tcPr>
            <w:tcW w:w="100" w:type="dxa"/>
            <w:vAlign w:val="bottom"/>
          </w:tcPr>
          <w:p>
            <w:pPr>
              <w:spacing w:after="0"/>
              <w:rPr>
                <w:sz w:val="18"/>
                <w:szCs w:val="18"/>
                <w:color w:val="auto"/>
              </w:rPr>
            </w:pPr>
          </w:p>
        </w:tc>
        <w:tc>
          <w:tcPr>
            <w:tcW w:w="880" w:type="dxa"/>
            <w:vAlign w:val="bottom"/>
            <w:tcBorders>
              <w:top w:val="single" w:sz="8" w:color="auto"/>
            </w:tcBorders>
          </w:tcPr>
          <w:p>
            <w:pPr>
              <w:jc w:val="right"/>
              <w:ind w:right="700"/>
              <w:spacing w:after="0"/>
              <w:rPr>
                <w:sz w:val="20"/>
                <w:szCs w:val="20"/>
                <w:color w:val="auto"/>
              </w:rPr>
            </w:pPr>
            <w:r>
              <w:rPr>
                <w:rFonts w:ascii="Arial" w:cs="Arial" w:eastAsia="Arial" w:hAnsi="Arial"/>
                <w:sz w:val="16"/>
                <w:szCs w:val="16"/>
                <w:color w:val="auto"/>
                <w:w w:val="89"/>
              </w:rPr>
              <w:t>$</w:t>
            </w:r>
          </w:p>
        </w:tc>
        <w:tc>
          <w:tcPr>
            <w:tcW w:w="380" w:type="dxa"/>
            <w:vAlign w:val="bottom"/>
            <w:tcBorders>
              <w:top w:val="single" w:sz="8" w:color="auto"/>
            </w:tcBorders>
          </w:tcPr>
          <w:p>
            <w:pPr>
              <w:jc w:val="right"/>
              <w:ind w:right="37"/>
              <w:spacing w:after="0"/>
              <w:rPr>
                <w:sz w:val="20"/>
                <w:szCs w:val="20"/>
                <w:color w:val="auto"/>
              </w:rPr>
            </w:pPr>
            <w:r>
              <w:rPr>
                <w:rFonts w:ascii="Arial" w:cs="Arial" w:eastAsia="Arial" w:hAnsi="Arial"/>
                <w:sz w:val="16"/>
                <w:szCs w:val="16"/>
                <w:color w:val="auto"/>
                <w:w w:val="89"/>
              </w:rPr>
              <w:t>527</w:t>
            </w:r>
          </w:p>
        </w:tc>
        <w:tc>
          <w:tcPr>
            <w:tcW w:w="100" w:type="dxa"/>
            <w:vAlign w:val="bottom"/>
          </w:tcPr>
          <w:p>
            <w:pPr>
              <w:spacing w:after="0"/>
              <w:rPr>
                <w:sz w:val="18"/>
                <w:szCs w:val="18"/>
                <w:color w:val="auto"/>
              </w:rPr>
            </w:pPr>
          </w:p>
        </w:tc>
        <w:tc>
          <w:tcPr>
            <w:tcW w:w="220" w:type="dxa"/>
            <w:vAlign w:val="bottom"/>
            <w:tcBorders>
              <w:top w:val="single" w:sz="8" w:color="auto"/>
            </w:tcBorders>
          </w:tcPr>
          <w:p>
            <w:pPr>
              <w:jc w:val="right"/>
              <w:ind w:right="17"/>
              <w:spacing w:after="0"/>
              <w:rPr>
                <w:sz w:val="20"/>
                <w:szCs w:val="20"/>
                <w:color w:val="auto"/>
              </w:rPr>
            </w:pPr>
            <w:r>
              <w:rPr>
                <w:rFonts w:ascii="Arial" w:cs="Arial" w:eastAsia="Arial" w:hAnsi="Arial"/>
                <w:sz w:val="16"/>
                <w:szCs w:val="16"/>
                <w:color w:val="auto"/>
              </w:rPr>
              <w:t>$</w:t>
            </w:r>
          </w:p>
        </w:tc>
        <w:tc>
          <w:tcPr>
            <w:tcW w:w="104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50,282</w:t>
            </w:r>
          </w:p>
        </w:tc>
        <w:tc>
          <w:tcPr>
            <w:tcW w:w="100" w:type="dxa"/>
            <w:vAlign w:val="bottom"/>
          </w:tcPr>
          <w:p>
            <w:pPr>
              <w:spacing w:after="0"/>
              <w:rPr>
                <w:sz w:val="18"/>
                <w:szCs w:val="18"/>
                <w:color w:val="auto"/>
              </w:rPr>
            </w:pPr>
          </w:p>
        </w:tc>
        <w:tc>
          <w:tcPr>
            <w:tcW w:w="240" w:type="dxa"/>
            <w:vAlign w:val="bottom"/>
            <w:tcBorders>
              <w:top w:val="single" w:sz="8" w:color="auto"/>
            </w:tcBorders>
          </w:tcPr>
          <w:p>
            <w:pPr>
              <w:jc w:val="right"/>
              <w:ind w:right="37"/>
              <w:spacing w:after="0"/>
              <w:rPr>
                <w:sz w:val="20"/>
                <w:szCs w:val="20"/>
                <w:color w:val="auto"/>
              </w:rPr>
            </w:pPr>
            <w:r>
              <w:rPr>
                <w:rFonts w:ascii="Arial" w:cs="Arial" w:eastAsia="Arial" w:hAnsi="Arial"/>
                <w:sz w:val="16"/>
                <w:szCs w:val="16"/>
                <w:color w:val="auto"/>
              </w:rPr>
              <w:t>$</w:t>
            </w:r>
          </w:p>
        </w:tc>
        <w:tc>
          <w:tcPr>
            <w:tcW w:w="102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178,557</w:t>
            </w:r>
          </w:p>
        </w:tc>
        <w:tc>
          <w:tcPr>
            <w:tcW w:w="12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69</w:t>
            </w:r>
          </w:p>
        </w:tc>
        <w:tc>
          <w:tcPr>
            <w:tcW w:w="10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1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229,435</w:t>
            </w:r>
          </w:p>
        </w:tc>
        <w:tc>
          <w:tcPr>
            <w:tcW w:w="0" w:type="dxa"/>
            <w:vAlign w:val="bottom"/>
          </w:tcPr>
          <w:p>
            <w:pPr>
              <w:spacing w:after="0"/>
              <w:rPr>
                <w:sz w:val="1"/>
                <w:szCs w:val="1"/>
                <w:color w:val="auto"/>
              </w:rPr>
            </w:pPr>
          </w:p>
        </w:tc>
      </w:tr>
      <w:tr>
        <w:trPr>
          <w:trHeight w:val="33"/>
        </w:trPr>
        <w:tc>
          <w:tcPr>
            <w:tcW w:w="3220" w:type="dxa"/>
            <w:vAlign w:val="bottom"/>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Borders>
              <w:bottom w:val="single" w:sz="8" w:color="auto"/>
            </w:tcBorders>
            <w:gridSpan w:val="2"/>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322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6"/>
        </w:trPr>
        <w:tc>
          <w:tcPr>
            <w:tcW w:w="3220" w:type="dxa"/>
            <w:vAlign w:val="bottom"/>
          </w:tcPr>
          <w:p>
            <w:pPr>
              <w:spacing w:after="0"/>
              <w:rPr>
                <w:sz w:val="24"/>
                <w:szCs w:val="24"/>
                <w:color w:val="auto"/>
              </w:rPr>
            </w:pPr>
          </w:p>
        </w:tc>
        <w:tc>
          <w:tcPr>
            <w:tcW w:w="2260" w:type="dxa"/>
            <w:vAlign w:val="bottom"/>
            <w:gridSpan w:val="3"/>
          </w:tcPr>
          <w:p>
            <w:pPr>
              <w:jc w:val="right"/>
              <w:ind w:right="380"/>
              <w:spacing w:after="0"/>
              <w:rPr>
                <w:sz w:val="20"/>
                <w:szCs w:val="20"/>
                <w:color w:val="auto"/>
              </w:rPr>
            </w:pPr>
            <w:r>
              <w:rPr>
                <w:rFonts w:ascii="Arial" w:cs="Arial" w:eastAsia="Arial" w:hAnsi="Arial"/>
                <w:sz w:val="14"/>
                <w:szCs w:val="14"/>
                <w:b w:val="1"/>
                <w:bCs w:val="1"/>
                <w:color w:val="auto"/>
              </w:rPr>
              <w:t>Common Stock</w:t>
            </w: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6"/>
              </w:rPr>
              <w:t>Additional</w:t>
            </w:r>
          </w:p>
        </w:tc>
        <w:tc>
          <w:tcPr>
            <w:tcW w:w="2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6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4"/>
              </w:rPr>
              <w:t>Accumulated Other</w:t>
            </w:r>
          </w:p>
        </w:tc>
        <w:tc>
          <w:tcPr>
            <w:tcW w:w="160" w:type="dxa"/>
            <w:vAlign w:val="bottom"/>
          </w:tcPr>
          <w:p>
            <w:pPr>
              <w:spacing w:after="0"/>
              <w:rPr>
                <w:sz w:val="24"/>
                <w:szCs w:val="24"/>
                <w:color w:val="auto"/>
              </w:rPr>
            </w:pPr>
          </w:p>
        </w:tc>
        <w:tc>
          <w:tcPr>
            <w:tcW w:w="1100" w:type="dxa"/>
            <w:vAlign w:val="bottom"/>
          </w:tcPr>
          <w:p>
            <w:pPr>
              <w:jc w:val="center"/>
              <w:ind w:right="79"/>
              <w:spacing w:after="0"/>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54"/>
        </w:trPr>
        <w:tc>
          <w:tcPr>
            <w:tcW w:w="3220" w:type="dxa"/>
            <w:vAlign w:val="bottom"/>
          </w:tcPr>
          <w:p>
            <w:pPr>
              <w:spacing w:after="0"/>
              <w:rPr>
                <w:sz w:val="4"/>
                <w:szCs w:val="4"/>
                <w:color w:val="auto"/>
              </w:rPr>
            </w:pPr>
          </w:p>
        </w:tc>
        <w:tc>
          <w:tcPr>
            <w:tcW w:w="12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220" w:type="dxa"/>
            <w:vAlign w:val="bottom"/>
          </w:tcPr>
          <w:p>
            <w:pPr>
              <w:spacing w:after="0"/>
              <w:rPr>
                <w:sz w:val="4"/>
                <w:szCs w:val="4"/>
                <w:color w:val="auto"/>
              </w:rPr>
            </w:pPr>
          </w:p>
        </w:tc>
        <w:tc>
          <w:tcPr>
            <w:tcW w:w="1140" w:type="dxa"/>
            <w:vAlign w:val="bottom"/>
            <w:gridSpan w:val="2"/>
            <w:vMerge w:val="restart"/>
          </w:tcPr>
          <w:p>
            <w:pPr>
              <w:jc w:val="center"/>
              <w:ind w:right="320"/>
              <w:spacing w:after="0" w:line="139" w:lineRule="exact"/>
              <w:rPr>
                <w:sz w:val="20"/>
                <w:szCs w:val="20"/>
                <w:color w:val="auto"/>
              </w:rPr>
            </w:pPr>
            <w:r>
              <w:rPr>
                <w:rFonts w:ascii="Arial" w:cs="Arial" w:eastAsia="Arial" w:hAnsi="Arial"/>
                <w:sz w:val="14"/>
                <w:szCs w:val="14"/>
                <w:b w:val="1"/>
                <w:bCs w:val="1"/>
                <w:color w:val="auto"/>
                <w:w w:val="98"/>
              </w:rPr>
              <w:t>Paid-in</w:t>
            </w:r>
          </w:p>
        </w:tc>
        <w:tc>
          <w:tcPr>
            <w:tcW w:w="240" w:type="dxa"/>
            <w:vAlign w:val="bottom"/>
          </w:tcPr>
          <w:p>
            <w:pPr>
              <w:spacing w:after="0"/>
              <w:rPr>
                <w:sz w:val="4"/>
                <w:szCs w:val="4"/>
                <w:color w:val="auto"/>
              </w:rPr>
            </w:pPr>
          </w:p>
        </w:tc>
        <w:tc>
          <w:tcPr>
            <w:tcW w:w="1140" w:type="dxa"/>
            <w:vAlign w:val="bottom"/>
            <w:gridSpan w:val="2"/>
            <w:vMerge w:val="restart"/>
          </w:tcPr>
          <w:p>
            <w:pPr>
              <w:ind w:left="120"/>
              <w:spacing w:after="0" w:line="139" w:lineRule="exact"/>
              <w:rPr>
                <w:sz w:val="20"/>
                <w:szCs w:val="20"/>
                <w:color w:val="auto"/>
              </w:rPr>
            </w:pPr>
            <w:r>
              <w:rPr>
                <w:rFonts w:ascii="Arial" w:cs="Arial" w:eastAsia="Arial" w:hAnsi="Arial"/>
                <w:sz w:val="14"/>
                <w:szCs w:val="14"/>
                <w:b w:val="1"/>
                <w:bCs w:val="1"/>
                <w:color w:val="auto"/>
              </w:rPr>
              <w:t>Retained</w:t>
            </w:r>
          </w:p>
        </w:tc>
        <w:tc>
          <w:tcPr>
            <w:tcW w:w="160" w:type="dxa"/>
            <w:vAlign w:val="bottom"/>
          </w:tcPr>
          <w:p>
            <w:pPr>
              <w:spacing w:after="0"/>
              <w:rPr>
                <w:sz w:val="4"/>
                <w:szCs w:val="4"/>
                <w:color w:val="auto"/>
              </w:rPr>
            </w:pPr>
          </w:p>
        </w:tc>
        <w:tc>
          <w:tcPr>
            <w:tcW w:w="1300" w:type="dxa"/>
            <w:vAlign w:val="bottom"/>
            <w:gridSpan w:val="2"/>
            <w:vMerge w:val="restart"/>
          </w:tcPr>
          <w:p>
            <w:pPr>
              <w:jc w:val="center"/>
              <w:ind w:right="260"/>
              <w:spacing w:after="0" w:line="139" w:lineRule="exact"/>
              <w:rPr>
                <w:sz w:val="20"/>
                <w:szCs w:val="20"/>
                <w:color w:val="auto"/>
              </w:rPr>
            </w:pPr>
            <w:r>
              <w:rPr>
                <w:rFonts w:ascii="Arial" w:cs="Arial" w:eastAsia="Arial" w:hAnsi="Arial"/>
                <w:sz w:val="14"/>
                <w:szCs w:val="14"/>
                <w:b w:val="1"/>
                <w:bCs w:val="1"/>
                <w:color w:val="auto"/>
                <w:w w:val="91"/>
              </w:rPr>
              <w:t>Comprehensive</w:t>
            </w:r>
          </w:p>
        </w:tc>
        <w:tc>
          <w:tcPr>
            <w:tcW w:w="160" w:type="dxa"/>
            <w:vAlign w:val="bottom"/>
          </w:tcPr>
          <w:p>
            <w:pPr>
              <w:spacing w:after="0"/>
              <w:rPr>
                <w:sz w:val="4"/>
                <w:szCs w:val="4"/>
                <w:color w:val="auto"/>
              </w:rPr>
            </w:pPr>
          </w:p>
        </w:tc>
        <w:tc>
          <w:tcPr>
            <w:tcW w:w="1100" w:type="dxa"/>
            <w:vAlign w:val="bottom"/>
            <w:vMerge w:val="restart"/>
          </w:tcPr>
          <w:p>
            <w:pPr>
              <w:jc w:val="center"/>
              <w:ind w:right="79"/>
              <w:spacing w:after="0" w:line="139" w:lineRule="exact"/>
              <w:rPr>
                <w:sz w:val="20"/>
                <w:szCs w:val="20"/>
                <w:color w:val="auto"/>
              </w:rPr>
            </w:pPr>
            <w:r>
              <w:rPr>
                <w:rFonts w:ascii="Arial" w:cs="Arial" w:eastAsia="Arial" w:hAnsi="Arial"/>
                <w:sz w:val="14"/>
                <w:szCs w:val="14"/>
                <w:b w:val="1"/>
                <w:bCs w:val="1"/>
                <w:color w:val="auto"/>
                <w:w w:val="92"/>
              </w:rPr>
              <w:t>Shareholders’</w:t>
            </w:r>
          </w:p>
        </w:tc>
        <w:tc>
          <w:tcPr>
            <w:tcW w:w="0" w:type="dxa"/>
            <w:vAlign w:val="bottom"/>
          </w:tcPr>
          <w:p>
            <w:pPr>
              <w:spacing w:after="0"/>
              <w:rPr>
                <w:sz w:val="1"/>
                <w:szCs w:val="1"/>
                <w:color w:val="auto"/>
              </w:rPr>
            </w:pPr>
          </w:p>
        </w:tc>
      </w:tr>
      <w:tr>
        <w:trPr>
          <w:trHeight w:val="65"/>
        </w:trPr>
        <w:tc>
          <w:tcPr>
            <w:tcW w:w="3220" w:type="dxa"/>
            <w:vAlign w:val="bottom"/>
          </w:tcPr>
          <w:p>
            <w:pPr>
              <w:spacing w:after="0"/>
              <w:rPr>
                <w:sz w:val="5"/>
                <w:szCs w:val="5"/>
                <w:color w:val="auto"/>
              </w:rPr>
            </w:pPr>
          </w:p>
        </w:tc>
        <w:tc>
          <w:tcPr>
            <w:tcW w:w="1380" w:type="dxa"/>
            <w:vAlign w:val="bottom"/>
            <w:gridSpan w:val="2"/>
            <w:vMerge w:val="restart"/>
          </w:tcPr>
          <w:p>
            <w:pPr>
              <w:ind w:left="440"/>
              <w:spacing w:after="0"/>
              <w:rPr>
                <w:sz w:val="20"/>
                <w:szCs w:val="20"/>
                <w:color w:val="auto"/>
              </w:rPr>
            </w:pPr>
            <w:r>
              <w:rPr>
                <w:rFonts w:ascii="Arial" w:cs="Arial" w:eastAsia="Arial" w:hAnsi="Arial"/>
                <w:sz w:val="14"/>
                <w:szCs w:val="14"/>
                <w:b w:val="1"/>
                <w:bCs w:val="1"/>
                <w:color w:val="auto"/>
              </w:rPr>
              <w:t>Shares</w:t>
            </w:r>
          </w:p>
        </w:tc>
        <w:tc>
          <w:tcPr>
            <w:tcW w:w="88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Amount</w:t>
            </w:r>
          </w:p>
        </w:tc>
        <w:tc>
          <w:tcPr>
            <w:tcW w:w="380" w:type="dxa"/>
            <w:vAlign w:val="bottom"/>
          </w:tcPr>
          <w:p>
            <w:pPr>
              <w:spacing w:after="0"/>
              <w:rPr>
                <w:sz w:val="5"/>
                <w:szCs w:val="5"/>
                <w:color w:val="auto"/>
              </w:rPr>
            </w:pPr>
          </w:p>
        </w:tc>
        <w:tc>
          <w:tcPr>
            <w:tcW w:w="100" w:type="dxa"/>
            <w:vAlign w:val="bottom"/>
          </w:tcPr>
          <w:p>
            <w:pPr>
              <w:spacing w:after="0"/>
              <w:rPr>
                <w:sz w:val="5"/>
                <w:szCs w:val="5"/>
                <w:color w:val="auto"/>
              </w:rPr>
            </w:pPr>
          </w:p>
        </w:tc>
        <w:tc>
          <w:tcPr>
            <w:tcW w:w="220" w:type="dxa"/>
            <w:vAlign w:val="bottom"/>
          </w:tcPr>
          <w:p>
            <w:pPr>
              <w:spacing w:after="0"/>
              <w:rPr>
                <w:sz w:val="5"/>
                <w:szCs w:val="5"/>
                <w:color w:val="auto"/>
              </w:rPr>
            </w:pPr>
          </w:p>
        </w:tc>
        <w:tc>
          <w:tcPr>
            <w:tcW w:w="1140" w:type="dxa"/>
            <w:vAlign w:val="bottom"/>
            <w:gridSpan w:val="2"/>
            <w:vMerge w:val="continue"/>
          </w:tcPr>
          <w:p>
            <w:pPr>
              <w:spacing w:after="0"/>
              <w:rPr>
                <w:sz w:val="5"/>
                <w:szCs w:val="5"/>
                <w:color w:val="auto"/>
              </w:rPr>
            </w:pPr>
          </w:p>
        </w:tc>
        <w:tc>
          <w:tcPr>
            <w:tcW w:w="240" w:type="dxa"/>
            <w:vAlign w:val="bottom"/>
          </w:tcPr>
          <w:p>
            <w:pPr>
              <w:spacing w:after="0"/>
              <w:rPr>
                <w:sz w:val="5"/>
                <w:szCs w:val="5"/>
                <w:color w:val="auto"/>
              </w:rPr>
            </w:pPr>
          </w:p>
        </w:tc>
        <w:tc>
          <w:tcPr>
            <w:tcW w:w="1140" w:type="dxa"/>
            <w:vAlign w:val="bottom"/>
            <w:gridSpan w:val="2"/>
            <w:vMerge w:val="continue"/>
          </w:tcPr>
          <w:p>
            <w:pPr>
              <w:spacing w:after="0"/>
              <w:rPr>
                <w:sz w:val="5"/>
                <w:szCs w:val="5"/>
                <w:color w:val="auto"/>
              </w:rPr>
            </w:pPr>
          </w:p>
        </w:tc>
        <w:tc>
          <w:tcPr>
            <w:tcW w:w="160" w:type="dxa"/>
            <w:vAlign w:val="bottom"/>
          </w:tcPr>
          <w:p>
            <w:pPr>
              <w:spacing w:after="0"/>
              <w:rPr>
                <w:sz w:val="5"/>
                <w:szCs w:val="5"/>
                <w:color w:val="auto"/>
              </w:rPr>
            </w:pPr>
          </w:p>
        </w:tc>
        <w:tc>
          <w:tcPr>
            <w:tcW w:w="1300" w:type="dxa"/>
            <w:vAlign w:val="bottom"/>
            <w:gridSpan w:val="2"/>
            <w:vMerge w:val="continue"/>
          </w:tcPr>
          <w:p>
            <w:pPr>
              <w:spacing w:after="0"/>
              <w:rPr>
                <w:sz w:val="5"/>
                <w:szCs w:val="5"/>
                <w:color w:val="auto"/>
              </w:rPr>
            </w:pPr>
          </w:p>
        </w:tc>
        <w:tc>
          <w:tcPr>
            <w:tcW w:w="160" w:type="dxa"/>
            <w:vAlign w:val="bottom"/>
          </w:tcPr>
          <w:p>
            <w:pPr>
              <w:spacing w:after="0"/>
              <w:rPr>
                <w:sz w:val="5"/>
                <w:szCs w:val="5"/>
                <w:color w:val="auto"/>
              </w:rPr>
            </w:pPr>
          </w:p>
        </w:tc>
        <w:tc>
          <w:tcPr>
            <w:tcW w:w="11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2"/>
        </w:trPr>
        <w:tc>
          <w:tcPr>
            <w:tcW w:w="3220" w:type="dxa"/>
            <w:vAlign w:val="bottom"/>
          </w:tcPr>
          <w:p>
            <w:pPr>
              <w:spacing w:after="0"/>
              <w:rPr>
                <w:sz w:val="16"/>
                <w:szCs w:val="16"/>
                <w:color w:val="auto"/>
              </w:rPr>
            </w:pPr>
          </w:p>
        </w:tc>
        <w:tc>
          <w:tcPr>
            <w:tcW w:w="1380" w:type="dxa"/>
            <w:vAlign w:val="bottom"/>
            <w:gridSpan w:val="2"/>
            <w:vMerge w:val="continue"/>
          </w:tcPr>
          <w:p>
            <w:pPr>
              <w:spacing w:after="0"/>
              <w:rPr>
                <w:sz w:val="16"/>
                <w:szCs w:val="16"/>
                <w:color w:val="auto"/>
              </w:rPr>
            </w:pPr>
          </w:p>
        </w:tc>
        <w:tc>
          <w:tcPr>
            <w:tcW w:w="880" w:type="dxa"/>
            <w:vAlign w:val="bottom"/>
            <w:vMerge w:val="continue"/>
          </w:tcPr>
          <w:p>
            <w:pPr>
              <w:spacing w:after="0"/>
              <w:rPr>
                <w:sz w:val="16"/>
                <w:szCs w:val="16"/>
                <w:color w:val="auto"/>
              </w:rPr>
            </w:pPr>
          </w:p>
        </w:tc>
        <w:tc>
          <w:tcPr>
            <w:tcW w:w="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8"/>
              </w:rPr>
              <w:t>Capital</w:t>
            </w:r>
          </w:p>
        </w:tc>
        <w:tc>
          <w:tcPr>
            <w:tcW w:w="240" w:type="dxa"/>
            <w:vAlign w:val="bottom"/>
          </w:tcPr>
          <w:p>
            <w:pPr>
              <w:spacing w:after="0"/>
              <w:rPr>
                <w:sz w:val="16"/>
                <w:szCs w:val="16"/>
                <w:color w:val="auto"/>
              </w:rPr>
            </w:pPr>
          </w:p>
        </w:tc>
        <w:tc>
          <w:tcPr>
            <w:tcW w:w="1140" w:type="dxa"/>
            <w:vAlign w:val="bottom"/>
            <w:gridSpan w:val="2"/>
          </w:tcPr>
          <w:p>
            <w:pPr>
              <w:ind w:left="120"/>
              <w:spacing w:after="0"/>
              <w:rPr>
                <w:sz w:val="20"/>
                <w:szCs w:val="20"/>
                <w:color w:val="auto"/>
              </w:rPr>
            </w:pPr>
            <w:r>
              <w:rPr>
                <w:rFonts w:ascii="Arial" w:cs="Arial" w:eastAsia="Arial" w:hAnsi="Arial"/>
                <w:sz w:val="14"/>
                <w:szCs w:val="14"/>
                <w:b w:val="1"/>
                <w:bCs w:val="1"/>
                <w:color w:val="auto"/>
              </w:rPr>
              <w:t>Earnings</w:t>
            </w:r>
          </w:p>
        </w:tc>
        <w:tc>
          <w:tcPr>
            <w:tcW w:w="160" w:type="dxa"/>
            <w:vAlign w:val="bottom"/>
          </w:tcPr>
          <w:p>
            <w:pPr>
              <w:spacing w:after="0"/>
              <w:rPr>
                <w:sz w:val="16"/>
                <w:szCs w:val="16"/>
                <w:color w:val="auto"/>
              </w:rPr>
            </w:pPr>
          </w:p>
        </w:tc>
        <w:tc>
          <w:tcPr>
            <w:tcW w:w="13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0"/>
              </w:rPr>
              <w:t>Income (Loss)</w:t>
            </w:r>
          </w:p>
        </w:tc>
        <w:tc>
          <w:tcPr>
            <w:tcW w:w="160" w:type="dxa"/>
            <w:vAlign w:val="bottom"/>
          </w:tcPr>
          <w:p>
            <w:pPr>
              <w:spacing w:after="0"/>
              <w:rPr>
                <w:sz w:val="16"/>
                <w:szCs w:val="16"/>
                <w:color w:val="auto"/>
              </w:rPr>
            </w:pPr>
          </w:p>
        </w:tc>
        <w:tc>
          <w:tcPr>
            <w:tcW w:w="1100" w:type="dxa"/>
            <w:vAlign w:val="bottom"/>
          </w:tcPr>
          <w:p>
            <w:pPr>
              <w:jc w:val="center"/>
              <w:ind w:right="79"/>
              <w:spacing w:after="0"/>
              <w:rPr>
                <w:sz w:val="20"/>
                <w:szCs w:val="20"/>
                <w:color w:val="auto"/>
              </w:rPr>
            </w:pPr>
            <w:r>
              <w:rPr>
                <w:rFonts w:ascii="Arial" w:cs="Arial" w:eastAsia="Arial" w:hAnsi="Arial"/>
                <w:sz w:val="14"/>
                <w:szCs w:val="14"/>
                <w:b w:val="1"/>
                <w:bCs w:val="1"/>
                <w:color w:val="auto"/>
                <w:w w:val="98"/>
              </w:rPr>
              <w:t>Equity</w:t>
            </w:r>
          </w:p>
        </w:tc>
        <w:tc>
          <w:tcPr>
            <w:tcW w:w="0" w:type="dxa"/>
            <w:vAlign w:val="bottom"/>
          </w:tcPr>
          <w:p>
            <w:pPr>
              <w:spacing w:after="0"/>
              <w:rPr>
                <w:sz w:val="1"/>
                <w:szCs w:val="1"/>
                <w:color w:val="auto"/>
              </w:rPr>
            </w:pPr>
          </w:p>
        </w:tc>
      </w:tr>
      <w:tr>
        <w:trPr>
          <w:trHeight w:val="261"/>
        </w:trPr>
        <w:tc>
          <w:tcPr>
            <w:tcW w:w="32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BALANCE — April 1, 2018</w:t>
            </w:r>
          </w:p>
        </w:tc>
        <w:tc>
          <w:tcPr>
            <w:tcW w:w="1280" w:type="dxa"/>
            <w:vAlign w:val="bottom"/>
            <w:tcBorders>
              <w:top w:val="single" w:sz="8" w:color="auto"/>
              <w:bottom w:val="single" w:sz="8" w:color="CCEEFF"/>
            </w:tcBorders>
            <w:shd w:val="clear" w:color="auto" w:fill="CCEEFF"/>
          </w:tcPr>
          <w:p>
            <w:pPr>
              <w:jc w:val="right"/>
              <w:ind w:right="39"/>
              <w:spacing w:after="0"/>
              <w:rPr>
                <w:sz w:val="20"/>
                <w:szCs w:val="20"/>
                <w:color w:val="auto"/>
              </w:rPr>
            </w:pPr>
            <w:r>
              <w:rPr>
                <w:rFonts w:ascii="Arial" w:cs="Arial" w:eastAsia="Arial" w:hAnsi="Arial"/>
                <w:sz w:val="17"/>
                <w:szCs w:val="17"/>
                <w:color w:val="auto"/>
              </w:rPr>
              <w:t>10,631,992</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880" w:type="dxa"/>
            <w:vAlign w:val="bottom"/>
            <w:tcBorders>
              <w:top w:val="single" w:sz="8" w:color="auto"/>
              <w:bottom w:val="single" w:sz="8" w:color="CCEEFF"/>
            </w:tcBorders>
            <w:shd w:val="clear" w:color="auto" w:fill="CCEEFF"/>
          </w:tcPr>
          <w:p>
            <w:pPr>
              <w:jc w:val="right"/>
              <w:ind w:right="680"/>
              <w:spacing w:after="0"/>
              <w:rPr>
                <w:sz w:val="20"/>
                <w:szCs w:val="20"/>
                <w:color w:val="auto"/>
              </w:rPr>
            </w:pPr>
            <w:r>
              <w:rPr>
                <w:rFonts w:ascii="Arial" w:cs="Arial" w:eastAsia="Arial" w:hAnsi="Arial"/>
                <w:sz w:val="17"/>
                <w:szCs w:val="17"/>
                <w:color w:val="auto"/>
              </w:rPr>
              <w:t>$</w:t>
            </w:r>
          </w:p>
        </w:tc>
        <w:tc>
          <w:tcPr>
            <w:tcW w:w="380" w:type="dxa"/>
            <w:vAlign w:val="bottom"/>
            <w:tcBorders>
              <w:top w:val="single" w:sz="8" w:color="auto"/>
              <w:bottom w:val="single" w:sz="8" w:color="CCEEFF"/>
            </w:tcBorders>
            <w:shd w:val="clear" w:color="auto" w:fill="CCEEFF"/>
          </w:tcPr>
          <w:p>
            <w:pPr>
              <w:jc w:val="right"/>
              <w:ind w:right="37"/>
              <w:spacing w:after="0"/>
              <w:rPr>
                <w:sz w:val="20"/>
                <w:szCs w:val="20"/>
                <w:color w:val="auto"/>
              </w:rPr>
            </w:pPr>
            <w:r>
              <w:rPr>
                <w:rFonts w:ascii="Arial" w:cs="Arial" w:eastAsia="Arial" w:hAnsi="Arial"/>
                <w:sz w:val="17"/>
                <w:szCs w:val="17"/>
                <w:color w:val="auto"/>
                <w:w w:val="84"/>
              </w:rPr>
              <w:t>532</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220" w:type="dxa"/>
            <w:vAlign w:val="bottom"/>
            <w:tcBorders>
              <w:top w:val="single" w:sz="8" w:color="auto"/>
              <w:bottom w:val="single" w:sz="8" w:color="CCEEFF"/>
            </w:tcBorders>
            <w:shd w:val="clear" w:color="auto" w:fill="CCEEFF"/>
          </w:tcPr>
          <w:p>
            <w:pPr>
              <w:jc w:val="right"/>
              <w:ind w:right="17"/>
              <w:spacing w:after="0"/>
              <w:rPr>
                <w:sz w:val="20"/>
                <w:szCs w:val="20"/>
                <w:color w:val="auto"/>
              </w:rPr>
            </w:pPr>
            <w:r>
              <w:rPr>
                <w:rFonts w:ascii="Arial" w:cs="Arial" w:eastAsia="Arial" w:hAnsi="Arial"/>
                <w:sz w:val="17"/>
                <w:szCs w:val="17"/>
                <w:color w:val="auto"/>
              </w:rPr>
              <w:t>$</w:t>
            </w:r>
          </w:p>
        </w:tc>
        <w:tc>
          <w:tcPr>
            <w:tcW w:w="1040" w:type="dxa"/>
            <w:vAlign w:val="bottom"/>
            <w:tcBorders>
              <w:top w:val="single" w:sz="8" w:color="auto"/>
              <w:bottom w:val="single" w:sz="8" w:color="CCEEFF"/>
            </w:tcBorders>
            <w:shd w:val="clear" w:color="auto" w:fill="CCEEFF"/>
          </w:tcPr>
          <w:p>
            <w:pPr>
              <w:jc w:val="right"/>
              <w:ind w:right="20"/>
              <w:spacing w:after="0"/>
              <w:rPr>
                <w:sz w:val="20"/>
                <w:szCs w:val="20"/>
                <w:color w:val="auto"/>
              </w:rPr>
            </w:pPr>
            <w:r>
              <w:rPr>
                <w:rFonts w:ascii="Arial" w:cs="Arial" w:eastAsia="Arial" w:hAnsi="Arial"/>
                <w:sz w:val="17"/>
                <w:szCs w:val="17"/>
                <w:color w:val="auto"/>
              </w:rPr>
              <w:t>53,877</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CCEEFF"/>
            </w:tcBorders>
            <w:shd w:val="clear" w:color="auto" w:fill="CCEEFF"/>
          </w:tcPr>
          <w:p>
            <w:pPr>
              <w:jc w:val="right"/>
              <w:ind w:right="37"/>
              <w:spacing w:after="0"/>
              <w:rPr>
                <w:sz w:val="20"/>
                <w:szCs w:val="20"/>
                <w:color w:val="auto"/>
              </w:rPr>
            </w:pPr>
            <w:r>
              <w:rPr>
                <w:rFonts w:ascii="Arial" w:cs="Arial" w:eastAsia="Arial" w:hAnsi="Arial"/>
                <w:sz w:val="17"/>
                <w:szCs w:val="17"/>
                <w:color w:val="auto"/>
              </w:rPr>
              <w:t>$</w:t>
            </w:r>
          </w:p>
        </w:tc>
        <w:tc>
          <w:tcPr>
            <w:tcW w:w="1020" w:type="dxa"/>
            <w:vAlign w:val="bottom"/>
            <w:tcBorders>
              <w:top w:val="single" w:sz="8" w:color="auto"/>
              <w:bottom w:val="single" w:sz="8" w:color="CCEEFF"/>
            </w:tcBorders>
            <w:shd w:val="clear" w:color="auto" w:fill="CCEEFF"/>
          </w:tcPr>
          <w:p>
            <w:pPr>
              <w:jc w:val="right"/>
              <w:ind w:right="20"/>
              <w:spacing w:after="0"/>
              <w:rPr>
                <w:sz w:val="20"/>
                <w:szCs w:val="20"/>
                <w:color w:val="auto"/>
              </w:rPr>
            </w:pPr>
            <w:r>
              <w:rPr>
                <w:rFonts w:ascii="Arial" w:cs="Arial" w:eastAsia="Arial" w:hAnsi="Arial"/>
                <w:sz w:val="17"/>
                <w:szCs w:val="17"/>
                <w:color w:val="auto"/>
              </w:rPr>
              <w:t>147,242</w:t>
            </w:r>
          </w:p>
        </w:tc>
        <w:tc>
          <w:tcPr>
            <w:tcW w:w="120" w:type="dxa"/>
            <w:vAlign w:val="bottom"/>
            <w:tcBorders>
              <w:top w:val="single" w:sz="8" w:color="CCEEFF"/>
              <w:bottom w:val="single" w:sz="8" w:color="CCEEFF"/>
            </w:tcBorders>
            <w:shd w:val="clear" w:color="auto" w:fill="CCEEFF"/>
          </w:tcPr>
          <w:p>
            <w:pPr>
              <w:spacing w:after="0"/>
              <w:rPr>
                <w:sz w:val="22"/>
                <w:szCs w:val="22"/>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200" w:type="dxa"/>
            <w:vAlign w:val="bottom"/>
            <w:tcBorders>
              <w:top w:val="single" w:sz="8" w:color="auto"/>
              <w:bottom w:val="single" w:sz="8" w:color="CCEEFF"/>
            </w:tcBorders>
            <w:shd w:val="clear" w:color="auto" w:fill="CCEEFF"/>
          </w:tcPr>
          <w:p>
            <w:pPr>
              <w:jc w:val="right"/>
              <w:ind w:right="40"/>
              <w:spacing w:after="0"/>
              <w:rPr>
                <w:sz w:val="20"/>
                <w:szCs w:val="20"/>
                <w:color w:val="auto"/>
              </w:rPr>
            </w:pPr>
            <w:r>
              <w:rPr>
                <w:rFonts w:ascii="Arial" w:cs="Arial" w:eastAsia="Arial" w:hAnsi="Arial"/>
                <w:sz w:val="17"/>
                <w:szCs w:val="17"/>
                <w:color w:val="auto"/>
              </w:rPr>
              <w:t>596</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00" w:type="dxa"/>
            <w:vAlign w:val="bottom"/>
            <w:tcBorders>
              <w:top w:val="single" w:sz="8" w:color="auto"/>
              <w:bottom w:val="single" w:sz="8" w:color="CCEEFF"/>
            </w:tcBorders>
            <w:shd w:val="clear" w:color="auto" w:fill="CCEEFF"/>
          </w:tcPr>
          <w:p>
            <w:pPr>
              <w:jc w:val="right"/>
              <w:ind w:right="19"/>
              <w:spacing w:after="0"/>
              <w:rPr>
                <w:sz w:val="20"/>
                <w:szCs w:val="20"/>
                <w:color w:val="auto"/>
              </w:rPr>
            </w:pPr>
            <w:r>
              <w:rPr>
                <w:rFonts w:ascii="Arial" w:cs="Arial" w:eastAsia="Arial" w:hAnsi="Arial"/>
                <w:sz w:val="17"/>
                <w:szCs w:val="17"/>
                <w:color w:val="auto"/>
              </w:rPr>
              <w:t>202,247</w:t>
            </w:r>
          </w:p>
        </w:tc>
        <w:tc>
          <w:tcPr>
            <w:tcW w:w="0" w:type="dxa"/>
            <w:vAlign w:val="bottom"/>
          </w:tcPr>
          <w:p>
            <w:pPr>
              <w:spacing w:after="0"/>
              <w:rPr>
                <w:sz w:val="1"/>
                <w:szCs w:val="1"/>
                <w:color w:val="auto"/>
              </w:rPr>
            </w:pPr>
          </w:p>
        </w:tc>
      </w:tr>
      <w:tr>
        <w:trPr>
          <w:trHeight w:val="20"/>
        </w:trPr>
        <w:tc>
          <w:tcPr>
            <w:tcW w:w="3220" w:type="dxa"/>
            <w:vAlign w:val="bottom"/>
            <w:tcBorders>
              <w:top w:val="single" w:sz="8" w:color="CCEEFF"/>
              <w:bottom w:val="single" w:sz="8" w:color="CCEEFF"/>
            </w:tcBorders>
            <w:vMerge w:val="restart"/>
          </w:tcPr>
          <w:p>
            <w:pPr>
              <w:ind w:left="380"/>
              <w:spacing w:after="0"/>
              <w:rPr>
                <w:sz w:val="20"/>
                <w:szCs w:val="20"/>
                <w:color w:val="auto"/>
              </w:rPr>
            </w:pPr>
            <w:r>
              <w:rPr>
                <w:rFonts w:ascii="Arial" w:cs="Arial" w:eastAsia="Arial" w:hAnsi="Arial"/>
                <w:sz w:val="17"/>
                <w:szCs w:val="17"/>
                <w:color w:val="auto"/>
              </w:rPr>
              <w:t>Share-based compensation expense</w:t>
            </w: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0"/>
        </w:trPr>
        <w:tc>
          <w:tcPr>
            <w:tcW w:w="3220" w:type="dxa"/>
            <w:vAlign w:val="bottom"/>
            <w:vMerge w:val="continue"/>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jc w:val="right"/>
              <w:ind w:right="20"/>
              <w:spacing w:after="0"/>
              <w:rPr>
                <w:sz w:val="20"/>
                <w:szCs w:val="20"/>
                <w:color w:val="auto"/>
              </w:rPr>
            </w:pPr>
            <w:r>
              <w:rPr>
                <w:rFonts w:ascii="Arial" w:cs="Arial" w:eastAsia="Arial" w:hAnsi="Arial"/>
                <w:sz w:val="17"/>
                <w:szCs w:val="17"/>
                <w:color w:val="auto"/>
              </w:rPr>
              <w:t>470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jc w:val="right"/>
              <w:ind w:right="19"/>
              <w:spacing w:after="0"/>
              <w:rPr>
                <w:sz w:val="20"/>
                <w:szCs w:val="20"/>
                <w:color w:val="auto"/>
              </w:rPr>
            </w:pPr>
            <w:r>
              <w:rPr>
                <w:rFonts w:ascii="Arial" w:cs="Arial" w:eastAsia="Arial" w:hAnsi="Arial"/>
                <w:sz w:val="17"/>
                <w:szCs w:val="17"/>
                <w:color w:val="auto"/>
              </w:rPr>
              <w:t>470</w:t>
            </w:r>
          </w:p>
        </w:tc>
        <w:tc>
          <w:tcPr>
            <w:tcW w:w="0" w:type="dxa"/>
            <w:vAlign w:val="bottom"/>
          </w:tcPr>
          <w:p>
            <w:pPr>
              <w:spacing w:after="0"/>
              <w:rPr>
                <w:sz w:val="1"/>
                <w:szCs w:val="1"/>
                <w:color w:val="auto"/>
              </w:rPr>
            </w:pPr>
          </w:p>
        </w:tc>
      </w:tr>
      <w:tr>
        <w:trPr>
          <w:trHeight w:val="31"/>
        </w:trPr>
        <w:tc>
          <w:tcPr>
            <w:tcW w:w="3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2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7"/>
                <w:szCs w:val="17"/>
                <w:color w:val="auto"/>
              </w:rPr>
              <w:t>Vesting of restricted stock</w:t>
            </w:r>
          </w:p>
        </w:tc>
        <w:tc>
          <w:tcPr>
            <w:tcW w:w="12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7"/>
                <w:szCs w:val="17"/>
                <w:color w:val="auto"/>
              </w:rPr>
              <w:t>24,567</w:t>
            </w:r>
          </w:p>
        </w:tc>
        <w:tc>
          <w:tcPr>
            <w:tcW w:w="1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7"/>
                <w:szCs w:val="17"/>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39"/>
        </w:trPr>
        <w:tc>
          <w:tcPr>
            <w:tcW w:w="3220" w:type="dxa"/>
            <w:vAlign w:val="bottom"/>
          </w:tcPr>
          <w:p>
            <w:pPr>
              <w:ind w:left="380"/>
              <w:spacing w:after="0"/>
              <w:rPr>
                <w:sz w:val="20"/>
                <w:szCs w:val="20"/>
                <w:color w:val="auto"/>
              </w:rPr>
            </w:pPr>
            <w:r>
              <w:rPr>
                <w:rFonts w:ascii="Arial" w:cs="Arial" w:eastAsia="Arial" w:hAnsi="Arial"/>
                <w:sz w:val="17"/>
                <w:szCs w:val="17"/>
                <w:color w:val="auto"/>
              </w:rPr>
              <w:t>Shares surrendered for payroll taxes</w:t>
            </w:r>
          </w:p>
        </w:tc>
        <w:tc>
          <w:tcPr>
            <w:tcW w:w="1280" w:type="dxa"/>
            <w:vAlign w:val="bottom"/>
          </w:tcPr>
          <w:p>
            <w:pPr>
              <w:jc w:val="right"/>
              <w:spacing w:after="0"/>
              <w:rPr>
                <w:sz w:val="20"/>
                <w:szCs w:val="20"/>
                <w:color w:val="auto"/>
              </w:rPr>
            </w:pPr>
            <w:r>
              <w:rPr>
                <w:rFonts w:ascii="Arial" w:cs="Arial" w:eastAsia="Arial" w:hAnsi="Arial"/>
                <w:sz w:val="17"/>
                <w:szCs w:val="17"/>
                <w:color w:val="auto"/>
              </w:rPr>
              <w:t>(8,105)</w:t>
            </w:r>
          </w:p>
        </w:tc>
        <w:tc>
          <w:tcPr>
            <w:tcW w:w="1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48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(265)</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(265)</w:t>
            </w:r>
          </w:p>
        </w:tc>
        <w:tc>
          <w:tcPr>
            <w:tcW w:w="0" w:type="dxa"/>
            <w:vAlign w:val="bottom"/>
          </w:tcPr>
          <w:p>
            <w:pPr>
              <w:spacing w:after="0"/>
              <w:rPr>
                <w:sz w:val="1"/>
                <w:szCs w:val="1"/>
                <w:color w:val="auto"/>
              </w:rPr>
            </w:pPr>
          </w:p>
        </w:tc>
      </w:tr>
      <w:tr>
        <w:trPr>
          <w:trHeight w:val="31"/>
        </w:trPr>
        <w:tc>
          <w:tcPr>
            <w:tcW w:w="3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2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7"/>
                <w:szCs w:val="17"/>
                <w:color w:val="auto"/>
              </w:rPr>
              <w:t>ESPP shares issued</w:t>
            </w:r>
          </w:p>
        </w:tc>
        <w:tc>
          <w:tcPr>
            <w:tcW w:w="12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7"/>
                <w:szCs w:val="17"/>
                <w:color w:val="auto"/>
              </w:rPr>
              <w:t>22,531</w:t>
            </w:r>
          </w:p>
        </w:tc>
        <w:tc>
          <w:tcPr>
            <w:tcW w:w="1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7"/>
                <w:szCs w:val="17"/>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7"/>
                <w:szCs w:val="17"/>
                <w:color w:val="auto"/>
              </w:rPr>
              <w:t>676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7"/>
                <w:szCs w:val="17"/>
                <w:color w:val="auto"/>
              </w:rPr>
              <w:t>677</w:t>
            </w:r>
          </w:p>
        </w:tc>
        <w:tc>
          <w:tcPr>
            <w:tcW w:w="0" w:type="dxa"/>
            <w:vAlign w:val="bottom"/>
          </w:tcPr>
          <w:p>
            <w:pPr>
              <w:spacing w:after="0"/>
              <w:rPr>
                <w:sz w:val="1"/>
                <w:szCs w:val="1"/>
                <w:color w:val="auto"/>
              </w:rPr>
            </w:pPr>
          </w:p>
        </w:tc>
      </w:tr>
      <w:tr>
        <w:trPr>
          <w:trHeight w:val="212"/>
        </w:trPr>
        <w:tc>
          <w:tcPr>
            <w:tcW w:w="3220" w:type="dxa"/>
            <w:vAlign w:val="bottom"/>
          </w:tcPr>
          <w:p>
            <w:pPr>
              <w:ind w:left="380"/>
              <w:spacing w:after="0"/>
              <w:rPr>
                <w:sz w:val="20"/>
                <w:szCs w:val="20"/>
                <w:color w:val="auto"/>
              </w:rPr>
            </w:pPr>
            <w:r>
              <w:rPr>
                <w:rFonts w:ascii="Arial" w:cs="Arial" w:eastAsia="Arial" w:hAnsi="Arial"/>
                <w:sz w:val="17"/>
                <w:szCs w:val="17"/>
                <w:color w:val="auto"/>
              </w:rPr>
              <w:t>Other comprehensive income, net of</w:t>
            </w: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20" w:type="dxa"/>
            <w:vAlign w:val="bottom"/>
          </w:tcPr>
          <w:p>
            <w:pPr>
              <w:ind w:left="380"/>
              <w:spacing w:after="0"/>
              <w:rPr>
                <w:sz w:val="20"/>
                <w:szCs w:val="20"/>
                <w:color w:val="auto"/>
              </w:rPr>
            </w:pPr>
            <w:r>
              <w:rPr>
                <w:rFonts w:ascii="Arial" w:cs="Arial" w:eastAsia="Arial" w:hAnsi="Arial"/>
                <w:sz w:val="17"/>
                <w:szCs w:val="17"/>
                <w:color w:val="auto"/>
              </w:rPr>
              <w:t>tax</w:t>
            </w: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jc w:val="right"/>
              <w:ind w:right="40"/>
              <w:spacing w:after="0"/>
              <w:rPr>
                <w:sz w:val="20"/>
                <w:szCs w:val="20"/>
                <w:color w:val="auto"/>
              </w:rPr>
            </w:pPr>
            <w:r>
              <w:rPr>
                <w:rFonts w:ascii="Arial" w:cs="Arial" w:eastAsia="Arial" w:hAnsi="Arial"/>
                <w:sz w:val="17"/>
                <w:szCs w:val="17"/>
                <w:color w:val="auto"/>
              </w:rPr>
              <w:t>27</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jc w:val="right"/>
              <w:ind w:right="19"/>
              <w:spacing w:after="0"/>
              <w:rPr>
                <w:sz w:val="20"/>
                <w:szCs w:val="20"/>
                <w:color w:val="auto"/>
              </w:rPr>
            </w:pPr>
            <w:r>
              <w:rPr>
                <w:rFonts w:ascii="Arial" w:cs="Arial" w:eastAsia="Arial" w:hAnsi="Arial"/>
                <w:sz w:val="17"/>
                <w:szCs w:val="17"/>
                <w:color w:val="auto"/>
              </w:rPr>
              <w:t>27</w:t>
            </w:r>
          </w:p>
        </w:tc>
        <w:tc>
          <w:tcPr>
            <w:tcW w:w="0" w:type="dxa"/>
            <w:vAlign w:val="bottom"/>
          </w:tcPr>
          <w:p>
            <w:pPr>
              <w:spacing w:after="0"/>
              <w:rPr>
                <w:sz w:val="1"/>
                <w:szCs w:val="1"/>
                <w:color w:val="auto"/>
              </w:rPr>
            </w:pPr>
          </w:p>
        </w:tc>
      </w:tr>
      <w:tr>
        <w:trPr>
          <w:trHeight w:val="31"/>
        </w:trPr>
        <w:tc>
          <w:tcPr>
            <w:tcW w:w="3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22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7"/>
                <w:szCs w:val="17"/>
                <w:color w:val="auto"/>
              </w:rPr>
              <w:t>Net income</w:t>
            </w:r>
          </w:p>
        </w:tc>
        <w:tc>
          <w:tcPr>
            <w:tcW w:w="12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7"/>
                <w:szCs w:val="17"/>
                <w:color w:val="auto"/>
              </w:rPr>
              <w:t>9,123</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7"/>
                <w:szCs w:val="17"/>
                <w:color w:val="auto"/>
              </w:rPr>
              <w:t>9,123</w:t>
            </w:r>
          </w:p>
        </w:tc>
        <w:tc>
          <w:tcPr>
            <w:tcW w:w="0" w:type="dxa"/>
            <w:vAlign w:val="bottom"/>
          </w:tcPr>
          <w:p>
            <w:pPr>
              <w:spacing w:after="0"/>
              <w:rPr>
                <w:sz w:val="1"/>
                <w:szCs w:val="1"/>
                <w:color w:val="auto"/>
              </w:rPr>
            </w:pPr>
          </w:p>
        </w:tc>
      </w:tr>
      <w:tr>
        <w:trPr>
          <w:trHeight w:val="219"/>
        </w:trPr>
        <w:tc>
          <w:tcPr>
            <w:tcW w:w="3220" w:type="dxa"/>
            <w:vAlign w:val="bottom"/>
          </w:tcPr>
          <w:p>
            <w:pPr>
              <w:ind w:left="40"/>
              <w:spacing w:after="0"/>
              <w:rPr>
                <w:sz w:val="20"/>
                <w:szCs w:val="20"/>
                <w:color w:val="auto"/>
              </w:rPr>
            </w:pPr>
            <w:r>
              <w:rPr>
                <w:rFonts w:ascii="Arial" w:cs="Arial" w:eastAsia="Arial" w:hAnsi="Arial"/>
                <w:sz w:val="17"/>
                <w:szCs w:val="17"/>
                <w:color w:val="auto"/>
              </w:rPr>
              <w:t>BALANCE — July 1, 2018</w:t>
            </w:r>
          </w:p>
        </w:tc>
        <w:tc>
          <w:tcPr>
            <w:tcW w:w="1280" w:type="dxa"/>
            <w:vAlign w:val="bottom"/>
            <w:tcBorders>
              <w:top w:val="single" w:sz="8" w:color="auto"/>
            </w:tcBorders>
          </w:tcPr>
          <w:p>
            <w:pPr>
              <w:jc w:val="right"/>
              <w:ind w:right="39"/>
              <w:spacing w:after="0"/>
              <w:rPr>
                <w:sz w:val="20"/>
                <w:szCs w:val="20"/>
                <w:color w:val="auto"/>
              </w:rPr>
            </w:pPr>
            <w:r>
              <w:rPr>
                <w:rFonts w:ascii="Arial" w:cs="Arial" w:eastAsia="Arial" w:hAnsi="Arial"/>
                <w:sz w:val="17"/>
                <w:szCs w:val="17"/>
                <w:color w:val="auto"/>
              </w:rPr>
              <w:t>10,670,985</w:t>
            </w:r>
          </w:p>
        </w:tc>
        <w:tc>
          <w:tcPr>
            <w:tcW w:w="100" w:type="dxa"/>
            <w:vAlign w:val="bottom"/>
          </w:tcPr>
          <w:p>
            <w:pPr>
              <w:spacing w:after="0"/>
              <w:rPr>
                <w:sz w:val="19"/>
                <w:szCs w:val="19"/>
                <w:color w:val="auto"/>
              </w:rPr>
            </w:pPr>
          </w:p>
        </w:tc>
        <w:tc>
          <w:tcPr>
            <w:tcW w:w="880" w:type="dxa"/>
            <w:vAlign w:val="bottom"/>
            <w:tcBorders>
              <w:top w:val="single" w:sz="8" w:color="auto"/>
            </w:tcBorders>
          </w:tcPr>
          <w:p>
            <w:pPr>
              <w:jc w:val="right"/>
              <w:ind w:right="680"/>
              <w:spacing w:after="0"/>
              <w:rPr>
                <w:sz w:val="20"/>
                <w:szCs w:val="20"/>
                <w:color w:val="auto"/>
              </w:rPr>
            </w:pPr>
            <w:r>
              <w:rPr>
                <w:rFonts w:ascii="Arial" w:cs="Arial" w:eastAsia="Arial" w:hAnsi="Arial"/>
                <w:sz w:val="17"/>
                <w:szCs w:val="17"/>
                <w:color w:val="auto"/>
              </w:rPr>
              <w:t>$</w:t>
            </w:r>
          </w:p>
        </w:tc>
        <w:tc>
          <w:tcPr>
            <w:tcW w:w="380" w:type="dxa"/>
            <w:vAlign w:val="bottom"/>
            <w:tcBorders>
              <w:top w:val="single" w:sz="8" w:color="auto"/>
            </w:tcBorders>
          </w:tcPr>
          <w:p>
            <w:pPr>
              <w:jc w:val="right"/>
              <w:ind w:right="37"/>
              <w:spacing w:after="0"/>
              <w:rPr>
                <w:sz w:val="20"/>
                <w:szCs w:val="20"/>
                <w:color w:val="auto"/>
              </w:rPr>
            </w:pPr>
            <w:r>
              <w:rPr>
                <w:rFonts w:ascii="Arial" w:cs="Arial" w:eastAsia="Arial" w:hAnsi="Arial"/>
                <w:sz w:val="17"/>
                <w:szCs w:val="17"/>
                <w:color w:val="auto"/>
                <w:w w:val="84"/>
              </w:rPr>
              <w:t>534</w:t>
            </w:r>
          </w:p>
        </w:tc>
        <w:tc>
          <w:tcPr>
            <w:tcW w:w="100" w:type="dxa"/>
            <w:vAlign w:val="bottom"/>
          </w:tcPr>
          <w:p>
            <w:pPr>
              <w:spacing w:after="0"/>
              <w:rPr>
                <w:sz w:val="19"/>
                <w:szCs w:val="19"/>
                <w:color w:val="auto"/>
              </w:rPr>
            </w:pPr>
          </w:p>
        </w:tc>
        <w:tc>
          <w:tcPr>
            <w:tcW w:w="220" w:type="dxa"/>
            <w:vAlign w:val="bottom"/>
            <w:tcBorders>
              <w:top w:val="single" w:sz="8" w:color="auto"/>
            </w:tcBorders>
          </w:tcPr>
          <w:p>
            <w:pPr>
              <w:jc w:val="right"/>
              <w:ind w:right="17"/>
              <w:spacing w:after="0"/>
              <w:rPr>
                <w:sz w:val="20"/>
                <w:szCs w:val="20"/>
                <w:color w:val="auto"/>
              </w:rPr>
            </w:pPr>
            <w:r>
              <w:rPr>
                <w:rFonts w:ascii="Arial" w:cs="Arial" w:eastAsia="Arial" w:hAnsi="Arial"/>
                <w:sz w:val="17"/>
                <w:szCs w:val="17"/>
                <w:color w:val="auto"/>
              </w:rPr>
              <w:t>$</w:t>
            </w:r>
          </w:p>
        </w:tc>
        <w:tc>
          <w:tcPr>
            <w:tcW w:w="1040" w:type="dxa"/>
            <w:vAlign w:val="bottom"/>
            <w:tcBorders>
              <w:top w:val="single" w:sz="8" w:color="auto"/>
            </w:tcBorders>
          </w:tcPr>
          <w:p>
            <w:pPr>
              <w:jc w:val="right"/>
              <w:ind w:right="20"/>
              <w:spacing w:after="0"/>
              <w:rPr>
                <w:sz w:val="20"/>
                <w:szCs w:val="20"/>
                <w:color w:val="auto"/>
              </w:rPr>
            </w:pPr>
            <w:r>
              <w:rPr>
                <w:rFonts w:ascii="Arial" w:cs="Arial" w:eastAsia="Arial" w:hAnsi="Arial"/>
                <w:sz w:val="17"/>
                <w:szCs w:val="17"/>
                <w:color w:val="auto"/>
              </w:rPr>
              <w:t>54,757</w:t>
            </w:r>
          </w:p>
        </w:tc>
        <w:tc>
          <w:tcPr>
            <w:tcW w:w="100" w:type="dxa"/>
            <w:vAlign w:val="bottom"/>
          </w:tcPr>
          <w:p>
            <w:pPr>
              <w:spacing w:after="0"/>
              <w:rPr>
                <w:sz w:val="19"/>
                <w:szCs w:val="19"/>
                <w:color w:val="auto"/>
              </w:rPr>
            </w:pPr>
          </w:p>
        </w:tc>
        <w:tc>
          <w:tcPr>
            <w:tcW w:w="240" w:type="dxa"/>
            <w:vAlign w:val="bottom"/>
            <w:tcBorders>
              <w:top w:val="single" w:sz="8" w:color="auto"/>
            </w:tcBorders>
          </w:tcPr>
          <w:p>
            <w:pPr>
              <w:jc w:val="right"/>
              <w:ind w:right="37"/>
              <w:spacing w:after="0"/>
              <w:rPr>
                <w:sz w:val="20"/>
                <w:szCs w:val="20"/>
                <w:color w:val="auto"/>
              </w:rPr>
            </w:pPr>
            <w:r>
              <w:rPr>
                <w:rFonts w:ascii="Arial" w:cs="Arial" w:eastAsia="Arial" w:hAnsi="Arial"/>
                <w:sz w:val="17"/>
                <w:szCs w:val="17"/>
                <w:color w:val="auto"/>
              </w:rPr>
              <w:t>$</w:t>
            </w:r>
          </w:p>
        </w:tc>
        <w:tc>
          <w:tcPr>
            <w:tcW w:w="1020" w:type="dxa"/>
            <w:vAlign w:val="bottom"/>
            <w:tcBorders>
              <w:top w:val="single" w:sz="8" w:color="auto"/>
            </w:tcBorders>
          </w:tcPr>
          <w:p>
            <w:pPr>
              <w:jc w:val="right"/>
              <w:ind w:right="20"/>
              <w:spacing w:after="0"/>
              <w:rPr>
                <w:sz w:val="20"/>
                <w:szCs w:val="20"/>
                <w:color w:val="auto"/>
              </w:rPr>
            </w:pPr>
            <w:r>
              <w:rPr>
                <w:rFonts w:ascii="Arial" w:cs="Arial" w:eastAsia="Arial" w:hAnsi="Arial"/>
                <w:sz w:val="17"/>
                <w:szCs w:val="17"/>
                <w:color w:val="auto"/>
              </w:rPr>
              <w:t>156,365</w:t>
            </w:r>
          </w:p>
        </w:tc>
        <w:tc>
          <w:tcPr>
            <w:tcW w:w="120" w:type="dxa"/>
            <w:vAlign w:val="bottom"/>
          </w:tcPr>
          <w:p>
            <w:pPr>
              <w:spacing w:after="0"/>
              <w:rPr>
                <w:sz w:val="19"/>
                <w:szCs w:val="19"/>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200" w:type="dxa"/>
            <w:vAlign w:val="bottom"/>
            <w:tcBorders>
              <w:top w:val="single" w:sz="8" w:color="auto"/>
            </w:tcBorders>
          </w:tcPr>
          <w:p>
            <w:pPr>
              <w:jc w:val="right"/>
              <w:ind w:right="40"/>
              <w:spacing w:after="0"/>
              <w:rPr>
                <w:sz w:val="20"/>
                <w:szCs w:val="20"/>
                <w:color w:val="auto"/>
              </w:rPr>
            </w:pPr>
            <w:r>
              <w:rPr>
                <w:rFonts w:ascii="Arial" w:cs="Arial" w:eastAsia="Arial" w:hAnsi="Arial"/>
                <w:sz w:val="17"/>
                <w:szCs w:val="17"/>
                <w:color w:val="auto"/>
              </w:rPr>
              <w:t>623</w:t>
            </w:r>
          </w:p>
        </w:tc>
        <w:tc>
          <w:tcPr>
            <w:tcW w:w="100" w:type="dxa"/>
            <w:vAlign w:val="bottom"/>
          </w:tcPr>
          <w:p>
            <w:pPr>
              <w:spacing w:after="0"/>
              <w:rPr>
                <w:sz w:val="19"/>
                <w:szCs w:val="19"/>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100" w:type="dxa"/>
            <w:vAlign w:val="bottom"/>
            <w:tcBorders>
              <w:top w:val="single" w:sz="8" w:color="auto"/>
            </w:tcBorders>
          </w:tcPr>
          <w:p>
            <w:pPr>
              <w:jc w:val="right"/>
              <w:ind w:right="19"/>
              <w:spacing w:after="0"/>
              <w:rPr>
                <w:sz w:val="20"/>
                <w:szCs w:val="20"/>
                <w:color w:val="auto"/>
              </w:rPr>
            </w:pPr>
            <w:r>
              <w:rPr>
                <w:rFonts w:ascii="Arial" w:cs="Arial" w:eastAsia="Arial" w:hAnsi="Arial"/>
                <w:sz w:val="17"/>
                <w:szCs w:val="17"/>
                <w:color w:val="auto"/>
              </w:rPr>
              <w:t>212,279</w:t>
            </w:r>
          </w:p>
        </w:tc>
        <w:tc>
          <w:tcPr>
            <w:tcW w:w="0" w:type="dxa"/>
            <w:vAlign w:val="bottom"/>
          </w:tcPr>
          <w:p>
            <w:pPr>
              <w:spacing w:after="0"/>
              <w:rPr>
                <w:sz w:val="1"/>
                <w:szCs w:val="1"/>
                <w:color w:val="auto"/>
              </w:rPr>
            </w:pPr>
          </w:p>
        </w:tc>
      </w:tr>
      <w:tr>
        <w:trPr>
          <w:trHeight w:val="71"/>
        </w:trPr>
        <w:tc>
          <w:tcPr>
            <w:tcW w:w="3220" w:type="dxa"/>
            <w:vAlign w:val="bottom"/>
            <w:tcBorders>
              <w:bottom w:val="single" w:sz="8" w:color="CCEEFF"/>
            </w:tcBorders>
          </w:tcPr>
          <w:p>
            <w:pPr>
              <w:spacing w:after="0"/>
              <w:rPr>
                <w:sz w:val="6"/>
                <w:szCs w:val="6"/>
                <w:color w:val="auto"/>
              </w:rPr>
            </w:pPr>
          </w:p>
        </w:tc>
        <w:tc>
          <w:tcPr>
            <w:tcW w:w="128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880" w:type="dxa"/>
            <w:vAlign w:val="bottom"/>
            <w:tcBorders>
              <w:bottom w:val="single" w:sz="8" w:color="auto"/>
            </w:tcBorders>
          </w:tcPr>
          <w:p>
            <w:pPr>
              <w:spacing w:after="0"/>
              <w:rPr>
                <w:sz w:val="6"/>
                <w:szCs w:val="6"/>
                <w:color w:val="auto"/>
              </w:rPr>
            </w:pPr>
          </w:p>
        </w:tc>
        <w:tc>
          <w:tcPr>
            <w:tcW w:w="38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104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240" w:type="dxa"/>
            <w:vAlign w:val="bottom"/>
            <w:tcBorders>
              <w:bottom w:val="single" w:sz="8" w:color="auto"/>
            </w:tcBorders>
          </w:tcPr>
          <w:p>
            <w:pPr>
              <w:spacing w:after="0"/>
              <w:rPr>
                <w:sz w:val="6"/>
                <w:szCs w:val="6"/>
                <w:color w:val="auto"/>
              </w:rPr>
            </w:pPr>
          </w:p>
        </w:tc>
        <w:tc>
          <w:tcPr>
            <w:tcW w:w="102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120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110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31"/>
        </w:trPr>
        <w:tc>
          <w:tcPr>
            <w:tcW w:w="3220" w:type="dxa"/>
            <w:vAlign w:val="bottom"/>
            <w:tcBorders>
              <w:bottom w:val="single" w:sz="8" w:color="CCEEFF"/>
            </w:tcBorders>
            <w:shd w:val="clear" w:color="auto" w:fill="CCEEFF"/>
          </w:tcPr>
          <w:p>
            <w:pPr>
              <w:ind w:left="380"/>
              <w:spacing w:after="0" w:line="179" w:lineRule="exact"/>
              <w:rPr>
                <w:sz w:val="20"/>
                <w:szCs w:val="20"/>
                <w:color w:val="auto"/>
              </w:rPr>
            </w:pPr>
            <w:r>
              <w:rPr>
                <w:rFonts w:ascii="Arial" w:cs="Arial" w:eastAsia="Arial" w:hAnsi="Arial"/>
                <w:sz w:val="17"/>
                <w:szCs w:val="17"/>
                <w:color w:val="auto"/>
              </w:rPr>
              <w:t>Cash dividends paid</w:t>
            </w:r>
          </w:p>
        </w:tc>
        <w:tc>
          <w:tcPr>
            <w:tcW w:w="12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(2,412)</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(2,412)</w:t>
            </w:r>
          </w:p>
        </w:tc>
        <w:tc>
          <w:tcPr>
            <w:tcW w:w="0" w:type="dxa"/>
            <w:vAlign w:val="bottom"/>
          </w:tcPr>
          <w:p>
            <w:pPr>
              <w:spacing w:after="0"/>
              <w:rPr>
                <w:sz w:val="1"/>
                <w:szCs w:val="1"/>
                <w:color w:val="auto"/>
              </w:rPr>
            </w:pPr>
          </w:p>
        </w:tc>
      </w:tr>
      <w:tr>
        <w:trPr>
          <w:trHeight w:val="239"/>
        </w:trPr>
        <w:tc>
          <w:tcPr>
            <w:tcW w:w="3220" w:type="dxa"/>
            <w:vAlign w:val="bottom"/>
          </w:tcPr>
          <w:p>
            <w:pPr>
              <w:ind w:left="380"/>
              <w:spacing w:after="0"/>
              <w:rPr>
                <w:sz w:val="20"/>
                <w:szCs w:val="20"/>
                <w:color w:val="auto"/>
              </w:rPr>
            </w:pPr>
            <w:r>
              <w:rPr>
                <w:rFonts w:ascii="Arial" w:cs="Arial" w:eastAsia="Arial" w:hAnsi="Arial"/>
                <w:sz w:val="17"/>
                <w:szCs w:val="17"/>
                <w:color w:val="auto"/>
              </w:rPr>
              <w:t>Share-based compensation expense</w:t>
            </w:r>
          </w:p>
        </w:tc>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tcPr>
          <w:p>
            <w:pPr>
              <w:jc w:val="right"/>
              <w:ind w:right="20"/>
              <w:spacing w:after="0"/>
              <w:rPr>
                <w:sz w:val="20"/>
                <w:szCs w:val="20"/>
                <w:color w:val="auto"/>
              </w:rPr>
            </w:pPr>
            <w:r>
              <w:rPr>
                <w:rFonts w:ascii="Arial" w:cs="Arial" w:eastAsia="Arial" w:hAnsi="Arial"/>
                <w:sz w:val="17"/>
                <w:szCs w:val="17"/>
                <w:color w:val="auto"/>
              </w:rPr>
              <w:t>513</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jc w:val="right"/>
              <w:ind w:right="19"/>
              <w:spacing w:after="0"/>
              <w:rPr>
                <w:sz w:val="20"/>
                <w:szCs w:val="20"/>
                <w:color w:val="auto"/>
              </w:rPr>
            </w:pPr>
            <w:r>
              <w:rPr>
                <w:rFonts w:ascii="Arial" w:cs="Arial" w:eastAsia="Arial" w:hAnsi="Arial"/>
                <w:sz w:val="17"/>
                <w:szCs w:val="17"/>
                <w:color w:val="auto"/>
              </w:rPr>
              <w:t>513</w:t>
            </w:r>
          </w:p>
        </w:tc>
        <w:tc>
          <w:tcPr>
            <w:tcW w:w="0" w:type="dxa"/>
            <w:vAlign w:val="bottom"/>
          </w:tcPr>
          <w:p>
            <w:pPr>
              <w:spacing w:after="0"/>
              <w:rPr>
                <w:sz w:val="1"/>
                <w:szCs w:val="1"/>
                <w:color w:val="auto"/>
              </w:rPr>
            </w:pPr>
          </w:p>
        </w:tc>
      </w:tr>
      <w:tr>
        <w:trPr>
          <w:trHeight w:val="31"/>
        </w:trPr>
        <w:tc>
          <w:tcPr>
            <w:tcW w:w="3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2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7"/>
                <w:szCs w:val="17"/>
                <w:color w:val="auto"/>
              </w:rPr>
              <w:t>Vesting of restricted stock</w:t>
            </w:r>
          </w:p>
        </w:tc>
        <w:tc>
          <w:tcPr>
            <w:tcW w:w="12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7"/>
                <w:szCs w:val="17"/>
                <w:color w:val="auto"/>
              </w:rPr>
              <w:t>8,484</w:t>
            </w:r>
          </w:p>
        </w:tc>
        <w:tc>
          <w:tcPr>
            <w:tcW w:w="1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2"/>
        </w:trPr>
        <w:tc>
          <w:tcPr>
            <w:tcW w:w="3220" w:type="dxa"/>
            <w:vAlign w:val="bottom"/>
          </w:tcPr>
          <w:p>
            <w:pPr>
              <w:ind w:left="380"/>
              <w:spacing w:after="0"/>
              <w:rPr>
                <w:sz w:val="20"/>
                <w:szCs w:val="20"/>
                <w:color w:val="auto"/>
              </w:rPr>
            </w:pPr>
            <w:r>
              <w:rPr>
                <w:rFonts w:ascii="Arial" w:cs="Arial" w:eastAsia="Arial" w:hAnsi="Arial"/>
                <w:sz w:val="17"/>
                <w:szCs w:val="17"/>
                <w:color w:val="auto"/>
              </w:rPr>
              <w:t>Other comprehensive income, net of</w:t>
            </w: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20" w:type="dxa"/>
            <w:vAlign w:val="bottom"/>
          </w:tcPr>
          <w:p>
            <w:pPr>
              <w:ind w:left="380"/>
              <w:spacing w:after="0"/>
              <w:rPr>
                <w:sz w:val="20"/>
                <w:szCs w:val="20"/>
                <w:color w:val="auto"/>
              </w:rPr>
            </w:pPr>
            <w:r>
              <w:rPr>
                <w:rFonts w:ascii="Arial" w:cs="Arial" w:eastAsia="Arial" w:hAnsi="Arial"/>
                <w:sz w:val="17"/>
                <w:szCs w:val="17"/>
                <w:color w:val="auto"/>
              </w:rPr>
              <w:t>tax</w:t>
            </w: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(15)</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(15)</w:t>
            </w:r>
          </w:p>
        </w:tc>
        <w:tc>
          <w:tcPr>
            <w:tcW w:w="0" w:type="dxa"/>
            <w:vAlign w:val="bottom"/>
          </w:tcPr>
          <w:p>
            <w:pPr>
              <w:spacing w:after="0"/>
              <w:rPr>
                <w:sz w:val="1"/>
                <w:szCs w:val="1"/>
                <w:color w:val="auto"/>
              </w:rPr>
            </w:pPr>
          </w:p>
        </w:tc>
      </w:tr>
      <w:tr>
        <w:trPr>
          <w:trHeight w:val="31"/>
        </w:trPr>
        <w:tc>
          <w:tcPr>
            <w:tcW w:w="3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22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7"/>
                <w:szCs w:val="17"/>
                <w:color w:val="auto"/>
              </w:rPr>
              <w:t>Net income</w:t>
            </w:r>
          </w:p>
        </w:tc>
        <w:tc>
          <w:tcPr>
            <w:tcW w:w="12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7"/>
                <w:szCs w:val="17"/>
                <w:color w:val="auto"/>
              </w:rPr>
              <w:t>7,409</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7"/>
                <w:szCs w:val="17"/>
                <w:color w:val="auto"/>
              </w:rPr>
              <w:t>7,409</w:t>
            </w:r>
          </w:p>
        </w:tc>
        <w:tc>
          <w:tcPr>
            <w:tcW w:w="0" w:type="dxa"/>
            <w:vAlign w:val="bottom"/>
          </w:tcPr>
          <w:p>
            <w:pPr>
              <w:spacing w:after="0"/>
              <w:rPr>
                <w:sz w:val="1"/>
                <w:szCs w:val="1"/>
                <w:color w:val="auto"/>
              </w:rPr>
            </w:pPr>
          </w:p>
        </w:tc>
      </w:tr>
      <w:tr>
        <w:trPr>
          <w:trHeight w:val="219"/>
        </w:trPr>
        <w:tc>
          <w:tcPr>
            <w:tcW w:w="3220" w:type="dxa"/>
            <w:vAlign w:val="bottom"/>
          </w:tcPr>
          <w:p>
            <w:pPr>
              <w:ind w:left="40"/>
              <w:spacing w:after="0"/>
              <w:rPr>
                <w:sz w:val="20"/>
                <w:szCs w:val="20"/>
                <w:color w:val="auto"/>
              </w:rPr>
            </w:pPr>
            <w:r>
              <w:rPr>
                <w:rFonts w:ascii="Arial" w:cs="Arial" w:eastAsia="Arial" w:hAnsi="Arial"/>
                <w:sz w:val="17"/>
                <w:szCs w:val="17"/>
                <w:color w:val="auto"/>
              </w:rPr>
              <w:t>BALANCE — September 30, 2018</w:t>
            </w:r>
          </w:p>
        </w:tc>
        <w:tc>
          <w:tcPr>
            <w:tcW w:w="1280" w:type="dxa"/>
            <w:vAlign w:val="bottom"/>
            <w:tcBorders>
              <w:top w:val="single" w:sz="8" w:color="auto"/>
            </w:tcBorders>
          </w:tcPr>
          <w:p>
            <w:pPr>
              <w:jc w:val="right"/>
              <w:ind w:right="39"/>
              <w:spacing w:after="0"/>
              <w:rPr>
                <w:sz w:val="20"/>
                <w:szCs w:val="20"/>
                <w:color w:val="auto"/>
              </w:rPr>
            </w:pPr>
            <w:r>
              <w:rPr>
                <w:rFonts w:ascii="Arial" w:cs="Arial" w:eastAsia="Arial" w:hAnsi="Arial"/>
                <w:sz w:val="17"/>
                <w:szCs w:val="17"/>
                <w:color w:val="auto"/>
              </w:rPr>
              <w:t>10,679,469</w:t>
            </w:r>
          </w:p>
        </w:tc>
        <w:tc>
          <w:tcPr>
            <w:tcW w:w="100" w:type="dxa"/>
            <w:vAlign w:val="bottom"/>
          </w:tcPr>
          <w:p>
            <w:pPr>
              <w:spacing w:after="0"/>
              <w:rPr>
                <w:sz w:val="19"/>
                <w:szCs w:val="19"/>
                <w:color w:val="auto"/>
              </w:rPr>
            </w:pPr>
          </w:p>
        </w:tc>
        <w:tc>
          <w:tcPr>
            <w:tcW w:w="880" w:type="dxa"/>
            <w:vAlign w:val="bottom"/>
            <w:tcBorders>
              <w:top w:val="single" w:sz="8" w:color="auto"/>
            </w:tcBorders>
          </w:tcPr>
          <w:p>
            <w:pPr>
              <w:jc w:val="right"/>
              <w:ind w:right="680"/>
              <w:spacing w:after="0"/>
              <w:rPr>
                <w:sz w:val="20"/>
                <w:szCs w:val="20"/>
                <w:color w:val="auto"/>
              </w:rPr>
            </w:pPr>
            <w:r>
              <w:rPr>
                <w:rFonts w:ascii="Arial" w:cs="Arial" w:eastAsia="Arial" w:hAnsi="Arial"/>
                <w:sz w:val="17"/>
                <w:szCs w:val="17"/>
                <w:color w:val="auto"/>
              </w:rPr>
              <w:t>$</w:t>
            </w:r>
          </w:p>
        </w:tc>
        <w:tc>
          <w:tcPr>
            <w:tcW w:w="380" w:type="dxa"/>
            <w:vAlign w:val="bottom"/>
            <w:tcBorders>
              <w:top w:val="single" w:sz="8" w:color="auto"/>
            </w:tcBorders>
          </w:tcPr>
          <w:p>
            <w:pPr>
              <w:jc w:val="right"/>
              <w:ind w:right="37"/>
              <w:spacing w:after="0"/>
              <w:rPr>
                <w:sz w:val="20"/>
                <w:szCs w:val="20"/>
                <w:color w:val="auto"/>
              </w:rPr>
            </w:pPr>
            <w:r>
              <w:rPr>
                <w:rFonts w:ascii="Arial" w:cs="Arial" w:eastAsia="Arial" w:hAnsi="Arial"/>
                <w:sz w:val="17"/>
                <w:szCs w:val="17"/>
                <w:color w:val="auto"/>
                <w:w w:val="84"/>
              </w:rPr>
              <w:t>534</w:t>
            </w:r>
          </w:p>
        </w:tc>
        <w:tc>
          <w:tcPr>
            <w:tcW w:w="100" w:type="dxa"/>
            <w:vAlign w:val="bottom"/>
          </w:tcPr>
          <w:p>
            <w:pPr>
              <w:spacing w:after="0"/>
              <w:rPr>
                <w:sz w:val="19"/>
                <w:szCs w:val="19"/>
                <w:color w:val="auto"/>
              </w:rPr>
            </w:pPr>
          </w:p>
        </w:tc>
        <w:tc>
          <w:tcPr>
            <w:tcW w:w="220" w:type="dxa"/>
            <w:vAlign w:val="bottom"/>
            <w:tcBorders>
              <w:top w:val="single" w:sz="8" w:color="auto"/>
            </w:tcBorders>
          </w:tcPr>
          <w:p>
            <w:pPr>
              <w:jc w:val="right"/>
              <w:ind w:right="17"/>
              <w:spacing w:after="0"/>
              <w:rPr>
                <w:sz w:val="20"/>
                <w:szCs w:val="20"/>
                <w:color w:val="auto"/>
              </w:rPr>
            </w:pPr>
            <w:r>
              <w:rPr>
                <w:rFonts w:ascii="Arial" w:cs="Arial" w:eastAsia="Arial" w:hAnsi="Arial"/>
                <w:sz w:val="17"/>
                <w:szCs w:val="17"/>
                <w:color w:val="auto"/>
              </w:rPr>
              <w:t>$</w:t>
            </w:r>
          </w:p>
        </w:tc>
        <w:tc>
          <w:tcPr>
            <w:tcW w:w="1040" w:type="dxa"/>
            <w:vAlign w:val="bottom"/>
            <w:tcBorders>
              <w:top w:val="single" w:sz="8" w:color="auto"/>
            </w:tcBorders>
          </w:tcPr>
          <w:p>
            <w:pPr>
              <w:jc w:val="right"/>
              <w:ind w:right="20"/>
              <w:spacing w:after="0"/>
              <w:rPr>
                <w:sz w:val="20"/>
                <w:szCs w:val="20"/>
                <w:color w:val="auto"/>
              </w:rPr>
            </w:pPr>
            <w:r>
              <w:rPr>
                <w:rFonts w:ascii="Arial" w:cs="Arial" w:eastAsia="Arial" w:hAnsi="Arial"/>
                <w:sz w:val="17"/>
                <w:szCs w:val="17"/>
                <w:color w:val="auto"/>
              </w:rPr>
              <w:t>55,270</w:t>
            </w:r>
          </w:p>
        </w:tc>
        <w:tc>
          <w:tcPr>
            <w:tcW w:w="100" w:type="dxa"/>
            <w:vAlign w:val="bottom"/>
          </w:tcPr>
          <w:p>
            <w:pPr>
              <w:spacing w:after="0"/>
              <w:rPr>
                <w:sz w:val="19"/>
                <w:szCs w:val="19"/>
                <w:color w:val="auto"/>
              </w:rPr>
            </w:pPr>
          </w:p>
        </w:tc>
        <w:tc>
          <w:tcPr>
            <w:tcW w:w="240" w:type="dxa"/>
            <w:vAlign w:val="bottom"/>
            <w:tcBorders>
              <w:top w:val="single" w:sz="8" w:color="auto"/>
            </w:tcBorders>
          </w:tcPr>
          <w:p>
            <w:pPr>
              <w:jc w:val="right"/>
              <w:ind w:right="37"/>
              <w:spacing w:after="0"/>
              <w:rPr>
                <w:sz w:val="20"/>
                <w:szCs w:val="20"/>
                <w:color w:val="auto"/>
              </w:rPr>
            </w:pPr>
            <w:r>
              <w:rPr>
                <w:rFonts w:ascii="Arial" w:cs="Arial" w:eastAsia="Arial" w:hAnsi="Arial"/>
                <w:sz w:val="17"/>
                <w:szCs w:val="17"/>
                <w:color w:val="auto"/>
              </w:rPr>
              <w:t>$</w:t>
            </w:r>
          </w:p>
        </w:tc>
        <w:tc>
          <w:tcPr>
            <w:tcW w:w="1020" w:type="dxa"/>
            <w:vAlign w:val="bottom"/>
            <w:tcBorders>
              <w:top w:val="single" w:sz="8" w:color="auto"/>
            </w:tcBorders>
          </w:tcPr>
          <w:p>
            <w:pPr>
              <w:jc w:val="right"/>
              <w:ind w:right="20"/>
              <w:spacing w:after="0"/>
              <w:rPr>
                <w:sz w:val="20"/>
                <w:szCs w:val="20"/>
                <w:color w:val="auto"/>
              </w:rPr>
            </w:pPr>
            <w:r>
              <w:rPr>
                <w:rFonts w:ascii="Arial" w:cs="Arial" w:eastAsia="Arial" w:hAnsi="Arial"/>
                <w:sz w:val="17"/>
                <w:szCs w:val="17"/>
                <w:color w:val="auto"/>
              </w:rPr>
              <w:t>161,362</w:t>
            </w:r>
          </w:p>
        </w:tc>
        <w:tc>
          <w:tcPr>
            <w:tcW w:w="120" w:type="dxa"/>
            <w:vAlign w:val="bottom"/>
          </w:tcPr>
          <w:p>
            <w:pPr>
              <w:spacing w:after="0"/>
              <w:rPr>
                <w:sz w:val="19"/>
                <w:szCs w:val="19"/>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200" w:type="dxa"/>
            <w:vAlign w:val="bottom"/>
            <w:tcBorders>
              <w:top w:val="single" w:sz="8" w:color="auto"/>
            </w:tcBorders>
          </w:tcPr>
          <w:p>
            <w:pPr>
              <w:jc w:val="right"/>
              <w:ind w:right="40"/>
              <w:spacing w:after="0"/>
              <w:rPr>
                <w:sz w:val="20"/>
                <w:szCs w:val="20"/>
                <w:color w:val="auto"/>
              </w:rPr>
            </w:pPr>
            <w:r>
              <w:rPr>
                <w:rFonts w:ascii="Arial" w:cs="Arial" w:eastAsia="Arial" w:hAnsi="Arial"/>
                <w:sz w:val="17"/>
                <w:szCs w:val="17"/>
                <w:color w:val="auto"/>
              </w:rPr>
              <w:t>608</w:t>
            </w:r>
          </w:p>
        </w:tc>
        <w:tc>
          <w:tcPr>
            <w:tcW w:w="100" w:type="dxa"/>
            <w:vAlign w:val="bottom"/>
          </w:tcPr>
          <w:p>
            <w:pPr>
              <w:spacing w:after="0"/>
              <w:rPr>
                <w:sz w:val="19"/>
                <w:szCs w:val="19"/>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100" w:type="dxa"/>
            <w:vAlign w:val="bottom"/>
            <w:tcBorders>
              <w:top w:val="single" w:sz="8" w:color="auto"/>
            </w:tcBorders>
          </w:tcPr>
          <w:p>
            <w:pPr>
              <w:jc w:val="right"/>
              <w:ind w:right="19"/>
              <w:spacing w:after="0"/>
              <w:rPr>
                <w:sz w:val="20"/>
                <w:szCs w:val="20"/>
                <w:color w:val="auto"/>
              </w:rPr>
            </w:pPr>
            <w:r>
              <w:rPr>
                <w:rFonts w:ascii="Arial" w:cs="Arial" w:eastAsia="Arial" w:hAnsi="Arial"/>
                <w:sz w:val="17"/>
                <w:szCs w:val="17"/>
                <w:color w:val="auto"/>
              </w:rPr>
              <w:t>217,774</w:t>
            </w:r>
          </w:p>
        </w:tc>
        <w:tc>
          <w:tcPr>
            <w:tcW w:w="0" w:type="dxa"/>
            <w:vAlign w:val="bottom"/>
          </w:tcPr>
          <w:p>
            <w:pPr>
              <w:spacing w:after="0"/>
              <w:rPr>
                <w:sz w:val="1"/>
                <w:szCs w:val="1"/>
                <w:color w:val="auto"/>
              </w:rPr>
            </w:pPr>
          </w:p>
        </w:tc>
      </w:tr>
      <w:tr>
        <w:trPr>
          <w:trHeight w:val="31"/>
        </w:trPr>
        <w:tc>
          <w:tcPr>
            <w:tcW w:w="3220" w:type="dxa"/>
            <w:vAlign w:val="bottom"/>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322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580" w:right="23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color w:val="auto"/>
        </w:rPr>
        <w:t>HAWKINS,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CONDENSED CONSOLIDATED STATEMENTS OF CASH FLOWS (UNAUDITED)</w:t>
      </w:r>
    </w:p>
    <w:p>
      <w:pPr>
        <w:spacing w:after="0" w:line="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(In thousands)</w:t>
      </w:r>
    </w:p>
    <w:p>
      <w:pPr>
        <w:spacing w:after="0" w:line="359"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40" w:type="dxa"/>
            <w:vAlign w:val="bottom"/>
            <w:gridSpan w:val="4"/>
          </w:tcPr>
          <w:p>
            <w:pPr>
              <w:jc w:val="right"/>
              <w:ind w:right="899"/>
              <w:spacing w:after="0"/>
              <w:rPr>
                <w:sz w:val="20"/>
                <w:szCs w:val="20"/>
                <w:color w:val="auto"/>
              </w:rPr>
            </w:pPr>
            <w:r>
              <w:rPr>
                <w:rFonts w:ascii="Arial" w:cs="Arial" w:eastAsia="Arial" w:hAnsi="Arial"/>
                <w:sz w:val="16"/>
                <w:szCs w:val="16"/>
                <w:b w:val="1"/>
                <w:bCs w:val="1"/>
                <w:color w:val="auto"/>
              </w:rPr>
              <w:t>Six Months Ended</w:t>
            </w:r>
          </w:p>
        </w:tc>
      </w:tr>
      <w:tr>
        <w:trPr>
          <w:trHeight w:val="33"/>
        </w:trPr>
        <w:tc>
          <w:tcPr>
            <w:tcW w:w="76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09"/>
        </w:trPr>
        <w:tc>
          <w:tcPr>
            <w:tcW w:w="7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20" w:type="dxa"/>
            <w:vAlign w:val="bottom"/>
            <w:gridSpan w:val="2"/>
          </w:tcPr>
          <w:p>
            <w:pPr>
              <w:ind w:left="80"/>
              <w:spacing w:after="0"/>
              <w:rPr>
                <w:sz w:val="20"/>
                <w:szCs w:val="20"/>
                <w:color w:val="auto"/>
              </w:rPr>
            </w:pPr>
            <w:r>
              <w:rPr>
                <w:rFonts w:ascii="Arial" w:cs="Arial" w:eastAsia="Arial" w:hAnsi="Arial"/>
                <w:sz w:val="16"/>
                <w:szCs w:val="16"/>
                <w:b w:val="1"/>
                <w:bCs w:val="1"/>
                <w:color w:val="auto"/>
              </w:rPr>
              <w:t>September 29,</w:t>
            </w:r>
          </w:p>
        </w:tc>
        <w:tc>
          <w:tcPr>
            <w:tcW w:w="180" w:type="dxa"/>
            <w:vAlign w:val="bottom"/>
          </w:tcPr>
          <w:p>
            <w:pPr>
              <w:spacing w:after="0"/>
              <w:rPr>
                <w:sz w:val="18"/>
                <w:szCs w:val="18"/>
                <w:color w:val="auto"/>
              </w:rPr>
            </w:pPr>
          </w:p>
        </w:tc>
        <w:tc>
          <w:tcPr>
            <w:tcW w:w="1340" w:type="dxa"/>
            <w:vAlign w:val="bottom"/>
          </w:tcPr>
          <w:p>
            <w:pPr>
              <w:jc w:val="right"/>
              <w:ind w:right="219"/>
              <w:spacing w:after="0"/>
              <w:rPr>
                <w:sz w:val="20"/>
                <w:szCs w:val="20"/>
                <w:color w:val="auto"/>
              </w:rPr>
            </w:pPr>
            <w:r>
              <w:rPr>
                <w:rFonts w:ascii="Arial" w:cs="Arial" w:eastAsia="Arial" w:hAnsi="Arial"/>
                <w:sz w:val="16"/>
                <w:szCs w:val="16"/>
                <w:b w:val="1"/>
                <w:bCs w:val="1"/>
                <w:color w:val="auto"/>
                <w:w w:val="93"/>
              </w:rPr>
              <w:t>September 30,</w:t>
            </w:r>
          </w:p>
        </w:tc>
      </w:tr>
      <w:tr>
        <w:trPr>
          <w:trHeight w:val="210"/>
        </w:trPr>
        <w:tc>
          <w:tcPr>
            <w:tcW w:w="7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20" w:type="dxa"/>
            <w:vAlign w:val="bottom"/>
          </w:tcPr>
          <w:p>
            <w:pPr>
              <w:jc w:val="right"/>
              <w:ind w:right="579"/>
              <w:spacing w:after="0"/>
              <w:rPr>
                <w:sz w:val="20"/>
                <w:szCs w:val="20"/>
                <w:color w:val="auto"/>
              </w:rPr>
            </w:pPr>
            <w:r>
              <w:rPr>
                <w:rFonts w:ascii="Arial" w:cs="Arial" w:eastAsia="Arial" w:hAnsi="Arial"/>
                <w:sz w:val="16"/>
                <w:szCs w:val="16"/>
                <w:b w:val="1"/>
                <w:bCs w:val="1"/>
                <w:color w:val="auto"/>
              </w:rPr>
              <w:t>2019</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jc w:val="right"/>
              <w:ind w:right="519"/>
              <w:spacing w:after="0"/>
              <w:rPr>
                <w:sz w:val="20"/>
                <w:szCs w:val="20"/>
                <w:color w:val="auto"/>
              </w:rPr>
            </w:pPr>
            <w:r>
              <w:rPr>
                <w:rFonts w:ascii="Arial" w:cs="Arial" w:eastAsia="Arial" w:hAnsi="Arial"/>
                <w:sz w:val="16"/>
                <w:szCs w:val="16"/>
                <w:b w:val="1"/>
                <w:bCs w:val="1"/>
                <w:color w:val="auto"/>
              </w:rPr>
              <w:t>2018</w:t>
            </w:r>
          </w:p>
        </w:tc>
      </w:tr>
      <w:tr>
        <w:trPr>
          <w:trHeight w:val="33"/>
        </w:trPr>
        <w:tc>
          <w:tcPr>
            <w:tcW w:w="76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04"/>
        </w:trPr>
        <w:tc>
          <w:tcPr>
            <w:tcW w:w="7620" w:type="dxa"/>
            <w:vAlign w:val="bottom"/>
            <w:shd w:val="clear" w:color="auto" w:fill="CCEEFF"/>
          </w:tcPr>
          <w:p>
            <w:pPr>
              <w:ind w:left="40"/>
              <w:spacing w:after="0"/>
              <w:rPr>
                <w:sz w:val="20"/>
                <w:szCs w:val="20"/>
                <w:color w:val="auto"/>
              </w:rPr>
            </w:pPr>
            <w:r>
              <w:rPr>
                <w:rFonts w:ascii="Arial" w:cs="Arial" w:eastAsia="Arial" w:hAnsi="Arial"/>
                <w:sz w:val="16"/>
                <w:szCs w:val="16"/>
                <w:color w:val="auto"/>
              </w:rPr>
              <w:t>CASH FLOWS FROM OPERATING ACTIVITIES:</w:t>
            </w:r>
          </w:p>
        </w:tc>
        <w:tc>
          <w:tcPr>
            <w:tcW w:w="20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r>
      <w:tr>
        <w:trPr>
          <w:trHeight w:val="60"/>
        </w:trPr>
        <w:tc>
          <w:tcPr>
            <w:tcW w:w="7620" w:type="dxa"/>
            <w:vAlign w:val="bottom"/>
            <w:shd w:val="clear" w:color="auto" w:fill="CCEEFF"/>
          </w:tcPr>
          <w:p>
            <w:pPr>
              <w:spacing w:after="0"/>
              <w:rPr>
                <w:sz w:val="5"/>
                <w:szCs w:val="5"/>
                <w:color w:val="auto"/>
              </w:rPr>
            </w:pPr>
          </w:p>
        </w:tc>
        <w:tc>
          <w:tcPr>
            <w:tcW w:w="200" w:type="dxa"/>
            <w:vAlign w:val="bottom"/>
            <w:shd w:val="clear" w:color="auto" w:fill="CCEEFF"/>
          </w:tcPr>
          <w:p>
            <w:pPr>
              <w:spacing w:after="0"/>
              <w:rPr>
                <w:sz w:val="5"/>
                <w:szCs w:val="5"/>
                <w:color w:val="auto"/>
              </w:rPr>
            </w:pPr>
          </w:p>
        </w:tc>
        <w:tc>
          <w:tcPr>
            <w:tcW w:w="142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80" w:type="dxa"/>
            <w:vAlign w:val="bottom"/>
            <w:shd w:val="clear" w:color="auto" w:fill="CCEEFF"/>
          </w:tcPr>
          <w:p>
            <w:pPr>
              <w:spacing w:after="0"/>
              <w:rPr>
                <w:sz w:val="5"/>
                <w:szCs w:val="5"/>
                <w:color w:val="auto"/>
              </w:rPr>
            </w:pPr>
          </w:p>
        </w:tc>
        <w:tc>
          <w:tcPr>
            <w:tcW w:w="1340" w:type="dxa"/>
            <w:vAlign w:val="bottom"/>
            <w:shd w:val="clear" w:color="auto" w:fill="CCEEFF"/>
          </w:tcPr>
          <w:p>
            <w:pPr>
              <w:spacing w:after="0"/>
              <w:rPr>
                <w:sz w:val="5"/>
                <w:szCs w:val="5"/>
                <w:color w:val="auto"/>
              </w:rPr>
            </w:pPr>
          </w:p>
        </w:tc>
      </w:tr>
      <w:tr>
        <w:trPr>
          <w:trHeight w:val="237"/>
        </w:trPr>
        <w:tc>
          <w:tcPr>
            <w:tcW w:w="7620" w:type="dxa"/>
            <w:vAlign w:val="bottom"/>
          </w:tcPr>
          <w:p>
            <w:pPr>
              <w:ind w:left="380"/>
              <w:spacing w:after="0"/>
              <w:rPr>
                <w:sz w:val="20"/>
                <w:szCs w:val="20"/>
                <w:color w:val="auto"/>
              </w:rPr>
            </w:pPr>
            <w:r>
              <w:rPr>
                <w:rFonts w:ascii="Arial" w:cs="Arial" w:eastAsia="Arial" w:hAnsi="Arial"/>
                <w:sz w:val="16"/>
                <w:szCs w:val="16"/>
                <w:color w:val="auto"/>
              </w:rPr>
              <w:t>Net income</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420" w:type="dxa"/>
            <w:vAlign w:val="bottom"/>
          </w:tcPr>
          <w:p>
            <w:pPr>
              <w:jc w:val="right"/>
              <w:ind w:right="39"/>
              <w:spacing w:after="0"/>
              <w:rPr>
                <w:sz w:val="20"/>
                <w:szCs w:val="20"/>
                <w:color w:val="auto"/>
              </w:rPr>
            </w:pPr>
            <w:r>
              <w:rPr>
                <w:rFonts w:ascii="Arial" w:cs="Arial" w:eastAsia="Arial" w:hAnsi="Arial"/>
                <w:sz w:val="16"/>
                <w:szCs w:val="16"/>
                <w:color w:val="auto"/>
              </w:rPr>
              <w:t>19,057</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tcPr>
          <w:p>
            <w:pPr>
              <w:jc w:val="right"/>
              <w:ind w:right="39"/>
              <w:spacing w:after="0"/>
              <w:rPr>
                <w:sz w:val="20"/>
                <w:szCs w:val="20"/>
                <w:color w:val="auto"/>
              </w:rPr>
            </w:pPr>
            <w:r>
              <w:rPr>
                <w:rFonts w:ascii="Arial" w:cs="Arial" w:eastAsia="Arial" w:hAnsi="Arial"/>
                <w:sz w:val="16"/>
                <w:szCs w:val="16"/>
                <w:color w:val="auto"/>
              </w:rPr>
              <w:t>16,532</w:t>
            </w:r>
          </w:p>
        </w:tc>
      </w:tr>
      <w:tr>
        <w:trPr>
          <w:trHeight w:val="33"/>
        </w:trPr>
        <w:tc>
          <w:tcPr>
            <w:tcW w:w="76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76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Reconciliation to cash flows:</w:t>
            </w:r>
          </w:p>
        </w:tc>
        <w:tc>
          <w:tcPr>
            <w:tcW w:w="2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r>
      <w:tr>
        <w:trPr>
          <w:trHeight w:val="237"/>
        </w:trPr>
        <w:tc>
          <w:tcPr>
            <w:tcW w:w="7620" w:type="dxa"/>
            <w:vAlign w:val="bottom"/>
          </w:tcPr>
          <w:p>
            <w:pPr>
              <w:ind w:left="720"/>
              <w:spacing w:after="0"/>
              <w:rPr>
                <w:sz w:val="20"/>
                <w:szCs w:val="20"/>
                <w:color w:val="auto"/>
              </w:rPr>
            </w:pPr>
            <w:r>
              <w:rPr>
                <w:rFonts w:ascii="Arial" w:cs="Arial" w:eastAsia="Arial" w:hAnsi="Arial"/>
                <w:sz w:val="16"/>
                <w:szCs w:val="16"/>
                <w:color w:val="auto"/>
              </w:rPr>
              <w:t>Depreciation and amortization</w:t>
            </w:r>
          </w:p>
        </w:tc>
        <w:tc>
          <w:tcPr>
            <w:tcW w:w="200" w:type="dxa"/>
            <w:vAlign w:val="bottom"/>
          </w:tcPr>
          <w:p>
            <w:pPr>
              <w:spacing w:after="0"/>
              <w:rPr>
                <w:sz w:val="20"/>
                <w:szCs w:val="20"/>
                <w:color w:val="auto"/>
              </w:rPr>
            </w:pPr>
          </w:p>
        </w:tc>
        <w:tc>
          <w:tcPr>
            <w:tcW w:w="1420" w:type="dxa"/>
            <w:vAlign w:val="bottom"/>
          </w:tcPr>
          <w:p>
            <w:pPr>
              <w:jc w:val="right"/>
              <w:ind w:right="39"/>
              <w:spacing w:after="0"/>
              <w:rPr>
                <w:sz w:val="20"/>
                <w:szCs w:val="20"/>
                <w:color w:val="auto"/>
              </w:rPr>
            </w:pPr>
            <w:r>
              <w:rPr>
                <w:rFonts w:ascii="Arial" w:cs="Arial" w:eastAsia="Arial" w:hAnsi="Arial"/>
                <w:sz w:val="16"/>
                <w:szCs w:val="16"/>
                <w:color w:val="auto"/>
              </w:rPr>
              <w:t>10,739</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40" w:type="dxa"/>
            <w:vAlign w:val="bottom"/>
          </w:tcPr>
          <w:p>
            <w:pPr>
              <w:jc w:val="right"/>
              <w:ind w:right="39"/>
              <w:spacing w:after="0"/>
              <w:rPr>
                <w:sz w:val="20"/>
                <w:szCs w:val="20"/>
                <w:color w:val="auto"/>
              </w:rPr>
            </w:pPr>
            <w:r>
              <w:rPr>
                <w:rFonts w:ascii="Arial" w:cs="Arial" w:eastAsia="Arial" w:hAnsi="Arial"/>
                <w:sz w:val="16"/>
                <w:szCs w:val="16"/>
                <w:color w:val="auto"/>
              </w:rPr>
              <w:t>11,005</w:t>
            </w:r>
          </w:p>
        </w:tc>
      </w:tr>
      <w:tr>
        <w:trPr>
          <w:trHeight w:val="33"/>
        </w:trPr>
        <w:tc>
          <w:tcPr>
            <w:tcW w:w="76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762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rPr>
              <w:t>Operating leases</w:t>
            </w:r>
          </w:p>
        </w:tc>
        <w:tc>
          <w:tcPr>
            <w:tcW w:w="2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106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r>
      <w:tr>
        <w:trPr>
          <w:trHeight w:val="237"/>
        </w:trPr>
        <w:tc>
          <w:tcPr>
            <w:tcW w:w="7620" w:type="dxa"/>
            <w:vAlign w:val="bottom"/>
          </w:tcPr>
          <w:p>
            <w:pPr>
              <w:ind w:left="720"/>
              <w:spacing w:after="0"/>
              <w:rPr>
                <w:sz w:val="20"/>
                <w:szCs w:val="20"/>
                <w:color w:val="auto"/>
              </w:rPr>
            </w:pPr>
            <w:r>
              <w:rPr>
                <w:rFonts w:ascii="Arial" w:cs="Arial" w:eastAsia="Arial" w:hAnsi="Arial"/>
                <w:sz w:val="16"/>
                <w:szCs w:val="16"/>
                <w:color w:val="auto"/>
              </w:rPr>
              <w:t>Amortization of debt issuance costs</w:t>
            </w:r>
          </w:p>
        </w:tc>
        <w:tc>
          <w:tcPr>
            <w:tcW w:w="200" w:type="dxa"/>
            <w:vAlign w:val="bottom"/>
          </w:tcPr>
          <w:p>
            <w:pPr>
              <w:spacing w:after="0"/>
              <w:rPr>
                <w:sz w:val="20"/>
                <w:szCs w:val="20"/>
                <w:color w:val="auto"/>
              </w:rPr>
            </w:pPr>
          </w:p>
        </w:tc>
        <w:tc>
          <w:tcPr>
            <w:tcW w:w="1420" w:type="dxa"/>
            <w:vAlign w:val="bottom"/>
          </w:tcPr>
          <w:p>
            <w:pPr>
              <w:jc w:val="right"/>
              <w:ind w:right="39"/>
              <w:spacing w:after="0"/>
              <w:rPr>
                <w:sz w:val="20"/>
                <w:szCs w:val="20"/>
                <w:color w:val="auto"/>
              </w:rPr>
            </w:pPr>
            <w:r>
              <w:rPr>
                <w:rFonts w:ascii="Arial" w:cs="Arial" w:eastAsia="Arial" w:hAnsi="Arial"/>
                <w:sz w:val="16"/>
                <w:szCs w:val="16"/>
                <w:color w:val="auto"/>
              </w:rPr>
              <w:t>47</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40" w:type="dxa"/>
            <w:vAlign w:val="bottom"/>
          </w:tcPr>
          <w:p>
            <w:pPr>
              <w:jc w:val="right"/>
              <w:ind w:right="39"/>
              <w:spacing w:after="0"/>
              <w:rPr>
                <w:sz w:val="20"/>
                <w:szCs w:val="20"/>
                <w:color w:val="auto"/>
              </w:rPr>
            </w:pPr>
            <w:r>
              <w:rPr>
                <w:rFonts w:ascii="Arial" w:cs="Arial" w:eastAsia="Arial" w:hAnsi="Arial"/>
                <w:sz w:val="16"/>
                <w:szCs w:val="16"/>
                <w:color w:val="auto"/>
              </w:rPr>
              <w:t>68</w:t>
            </w:r>
          </w:p>
        </w:tc>
      </w:tr>
      <w:tr>
        <w:trPr>
          <w:trHeight w:val="33"/>
        </w:trPr>
        <w:tc>
          <w:tcPr>
            <w:tcW w:w="76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762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rPr>
              <w:t>Gain on deferred compensation assets</w:t>
            </w:r>
          </w:p>
        </w:tc>
        <w:tc>
          <w:tcPr>
            <w:tcW w:w="2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(76)</w:t>
            </w:r>
          </w:p>
        </w:tc>
      </w:tr>
      <w:tr>
        <w:trPr>
          <w:trHeight w:val="237"/>
        </w:trPr>
        <w:tc>
          <w:tcPr>
            <w:tcW w:w="7620" w:type="dxa"/>
            <w:vAlign w:val="bottom"/>
          </w:tcPr>
          <w:p>
            <w:pPr>
              <w:ind w:left="720"/>
              <w:spacing w:after="0"/>
              <w:rPr>
                <w:sz w:val="20"/>
                <w:szCs w:val="20"/>
                <w:color w:val="auto"/>
              </w:rPr>
            </w:pPr>
            <w:r>
              <w:rPr>
                <w:rFonts w:ascii="Arial" w:cs="Arial" w:eastAsia="Arial" w:hAnsi="Arial"/>
                <w:sz w:val="16"/>
                <w:szCs w:val="16"/>
                <w:color w:val="auto"/>
              </w:rPr>
              <w:t>Stock compensation expense</w:t>
            </w:r>
          </w:p>
        </w:tc>
        <w:tc>
          <w:tcPr>
            <w:tcW w:w="200" w:type="dxa"/>
            <w:vAlign w:val="bottom"/>
          </w:tcPr>
          <w:p>
            <w:pPr>
              <w:spacing w:after="0"/>
              <w:rPr>
                <w:sz w:val="20"/>
                <w:szCs w:val="20"/>
                <w:color w:val="auto"/>
              </w:rPr>
            </w:pPr>
          </w:p>
        </w:tc>
        <w:tc>
          <w:tcPr>
            <w:tcW w:w="1420" w:type="dxa"/>
            <w:vAlign w:val="bottom"/>
          </w:tcPr>
          <w:p>
            <w:pPr>
              <w:jc w:val="right"/>
              <w:ind w:right="39"/>
              <w:spacing w:after="0"/>
              <w:rPr>
                <w:sz w:val="20"/>
                <w:szCs w:val="20"/>
                <w:color w:val="auto"/>
              </w:rPr>
            </w:pPr>
            <w:r>
              <w:rPr>
                <w:rFonts w:ascii="Arial" w:cs="Arial" w:eastAsia="Arial" w:hAnsi="Arial"/>
                <w:sz w:val="16"/>
                <w:szCs w:val="16"/>
                <w:color w:val="auto"/>
              </w:rPr>
              <w:t>1,145</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40" w:type="dxa"/>
            <w:vAlign w:val="bottom"/>
          </w:tcPr>
          <w:p>
            <w:pPr>
              <w:jc w:val="right"/>
              <w:ind w:right="39"/>
              <w:spacing w:after="0"/>
              <w:rPr>
                <w:sz w:val="20"/>
                <w:szCs w:val="20"/>
                <w:color w:val="auto"/>
              </w:rPr>
            </w:pPr>
            <w:r>
              <w:rPr>
                <w:rFonts w:ascii="Arial" w:cs="Arial" w:eastAsia="Arial" w:hAnsi="Arial"/>
                <w:sz w:val="16"/>
                <w:szCs w:val="16"/>
                <w:color w:val="auto"/>
              </w:rPr>
              <w:t>984</w:t>
            </w:r>
          </w:p>
        </w:tc>
      </w:tr>
      <w:tr>
        <w:trPr>
          <w:trHeight w:val="33"/>
        </w:trPr>
        <w:tc>
          <w:tcPr>
            <w:tcW w:w="76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762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rPr>
              <w:t>(Gain) loss from property disposals</w:t>
            </w:r>
          </w:p>
        </w:tc>
        <w:tc>
          <w:tcPr>
            <w:tcW w:w="2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68</w:t>
            </w:r>
          </w:p>
        </w:tc>
      </w:tr>
      <w:tr>
        <w:trPr>
          <w:trHeight w:val="224"/>
        </w:trPr>
        <w:tc>
          <w:tcPr>
            <w:tcW w:w="7620" w:type="dxa"/>
            <w:vAlign w:val="bottom"/>
          </w:tcPr>
          <w:p>
            <w:pPr>
              <w:ind w:left="720"/>
              <w:spacing w:after="0"/>
              <w:rPr>
                <w:sz w:val="20"/>
                <w:szCs w:val="20"/>
                <w:color w:val="auto"/>
              </w:rPr>
            </w:pPr>
            <w:r>
              <w:rPr>
                <w:rFonts w:ascii="Arial" w:cs="Arial" w:eastAsia="Arial" w:hAnsi="Arial"/>
                <w:sz w:val="16"/>
                <w:szCs w:val="16"/>
                <w:color w:val="auto"/>
              </w:rPr>
              <w:t>Changes in operating accounts providing (using) cash:</w:t>
            </w:r>
          </w:p>
        </w:tc>
        <w:tc>
          <w:tcPr>
            <w:tcW w:w="20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spacing w:after="0"/>
              <w:rPr>
                <w:sz w:val="19"/>
                <w:szCs w:val="19"/>
                <w:color w:val="auto"/>
              </w:rPr>
            </w:pPr>
          </w:p>
        </w:tc>
      </w:tr>
      <w:tr>
        <w:trPr>
          <w:trHeight w:val="47"/>
        </w:trPr>
        <w:tc>
          <w:tcPr>
            <w:tcW w:w="7620" w:type="dxa"/>
            <w:vAlign w:val="bottom"/>
          </w:tcPr>
          <w:p>
            <w:pPr>
              <w:spacing w:after="0"/>
              <w:rPr>
                <w:sz w:val="4"/>
                <w:szCs w:val="4"/>
                <w:color w:val="auto"/>
              </w:rPr>
            </w:pPr>
          </w:p>
        </w:tc>
        <w:tc>
          <w:tcPr>
            <w:tcW w:w="200" w:type="dxa"/>
            <w:vAlign w:val="bottom"/>
          </w:tcPr>
          <w:p>
            <w:pPr>
              <w:spacing w:after="0"/>
              <w:rPr>
                <w:sz w:val="4"/>
                <w:szCs w:val="4"/>
                <w:color w:val="auto"/>
              </w:rPr>
            </w:pPr>
          </w:p>
        </w:tc>
        <w:tc>
          <w:tcPr>
            <w:tcW w:w="14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Pr>
          <w:p>
            <w:pPr>
              <w:spacing w:after="0"/>
              <w:rPr>
                <w:sz w:val="4"/>
                <w:szCs w:val="4"/>
                <w:color w:val="auto"/>
              </w:rPr>
            </w:pPr>
          </w:p>
        </w:tc>
        <w:tc>
          <w:tcPr>
            <w:tcW w:w="1340" w:type="dxa"/>
            <w:vAlign w:val="bottom"/>
          </w:tcPr>
          <w:p>
            <w:pPr>
              <w:spacing w:after="0"/>
              <w:rPr>
                <w:sz w:val="4"/>
                <w:szCs w:val="4"/>
                <w:color w:val="auto"/>
              </w:rPr>
            </w:pPr>
          </w:p>
        </w:tc>
      </w:tr>
      <w:tr>
        <w:trPr>
          <w:trHeight w:val="250"/>
        </w:trPr>
        <w:tc>
          <w:tcPr>
            <w:tcW w:w="7620" w:type="dxa"/>
            <w:vAlign w:val="bottom"/>
            <w:tcBorders>
              <w:bottom w:val="single" w:sz="8" w:color="CCEEFF"/>
            </w:tcBorders>
            <w:shd w:val="clear" w:color="auto" w:fill="CCEEFF"/>
          </w:tcPr>
          <w:p>
            <w:pPr>
              <w:ind w:left="1140"/>
              <w:spacing w:after="0"/>
              <w:rPr>
                <w:sz w:val="20"/>
                <w:szCs w:val="20"/>
                <w:color w:val="auto"/>
              </w:rPr>
            </w:pPr>
            <w:r>
              <w:rPr>
                <w:rFonts w:ascii="Arial" w:cs="Arial" w:eastAsia="Arial" w:hAnsi="Arial"/>
                <w:sz w:val="16"/>
                <w:szCs w:val="16"/>
                <w:color w:val="auto"/>
              </w:rPr>
              <w:t>Trade receivables</w:t>
            </w:r>
          </w:p>
        </w:tc>
        <w:tc>
          <w:tcPr>
            <w:tcW w:w="2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(1,409)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(2,891)</w:t>
            </w:r>
          </w:p>
        </w:tc>
      </w:tr>
      <w:tr>
        <w:trPr>
          <w:trHeight w:val="237"/>
        </w:trPr>
        <w:tc>
          <w:tcPr>
            <w:tcW w:w="7620" w:type="dxa"/>
            <w:vAlign w:val="bottom"/>
          </w:tcPr>
          <w:p>
            <w:pPr>
              <w:ind w:left="1140"/>
              <w:spacing w:after="0"/>
              <w:rPr>
                <w:sz w:val="20"/>
                <w:szCs w:val="20"/>
                <w:color w:val="auto"/>
              </w:rPr>
            </w:pPr>
            <w:r>
              <w:rPr>
                <w:rFonts w:ascii="Arial" w:cs="Arial" w:eastAsia="Arial" w:hAnsi="Arial"/>
                <w:sz w:val="16"/>
                <w:szCs w:val="16"/>
                <w:color w:val="auto"/>
              </w:rPr>
              <w:t>Inventories</w:t>
            </w:r>
          </w:p>
        </w:tc>
        <w:tc>
          <w:tcPr>
            <w:tcW w:w="20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(323)</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(8,035)</w:t>
            </w:r>
          </w:p>
        </w:tc>
      </w:tr>
      <w:tr>
        <w:trPr>
          <w:trHeight w:val="33"/>
        </w:trPr>
        <w:tc>
          <w:tcPr>
            <w:tcW w:w="76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7620" w:type="dxa"/>
            <w:vAlign w:val="bottom"/>
            <w:tcBorders>
              <w:bottom w:val="single" w:sz="8" w:color="CCEEFF"/>
            </w:tcBorders>
            <w:shd w:val="clear" w:color="auto" w:fill="CCEEFF"/>
          </w:tcPr>
          <w:p>
            <w:pPr>
              <w:ind w:left="1140"/>
              <w:spacing w:after="0"/>
              <w:rPr>
                <w:sz w:val="20"/>
                <w:szCs w:val="20"/>
                <w:color w:val="auto"/>
              </w:rPr>
            </w:pPr>
            <w:r>
              <w:rPr>
                <w:rFonts w:ascii="Arial" w:cs="Arial" w:eastAsia="Arial" w:hAnsi="Arial"/>
                <w:sz w:val="16"/>
                <w:szCs w:val="16"/>
                <w:color w:val="auto"/>
              </w:rPr>
              <w:t>Accounts payable</w:t>
            </w:r>
          </w:p>
        </w:tc>
        <w:tc>
          <w:tcPr>
            <w:tcW w:w="2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238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2,372</w:t>
            </w:r>
          </w:p>
        </w:tc>
      </w:tr>
      <w:tr>
        <w:trPr>
          <w:trHeight w:val="237"/>
        </w:trPr>
        <w:tc>
          <w:tcPr>
            <w:tcW w:w="7620" w:type="dxa"/>
            <w:vAlign w:val="bottom"/>
          </w:tcPr>
          <w:p>
            <w:pPr>
              <w:ind w:left="1140"/>
              <w:spacing w:after="0"/>
              <w:rPr>
                <w:sz w:val="20"/>
                <w:szCs w:val="20"/>
                <w:color w:val="auto"/>
              </w:rPr>
            </w:pPr>
            <w:r>
              <w:rPr>
                <w:rFonts w:ascii="Arial" w:cs="Arial" w:eastAsia="Arial" w:hAnsi="Arial"/>
                <w:sz w:val="16"/>
                <w:szCs w:val="16"/>
                <w:color w:val="auto"/>
              </w:rPr>
              <w:t>Accrued liabilities</w:t>
            </w:r>
          </w:p>
        </w:tc>
        <w:tc>
          <w:tcPr>
            <w:tcW w:w="20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(4,504)</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40" w:type="dxa"/>
            <w:vAlign w:val="bottom"/>
          </w:tcPr>
          <w:p>
            <w:pPr>
              <w:jc w:val="right"/>
              <w:ind w:right="39"/>
              <w:spacing w:after="0"/>
              <w:rPr>
                <w:sz w:val="20"/>
                <w:szCs w:val="20"/>
                <w:color w:val="auto"/>
              </w:rPr>
            </w:pPr>
            <w:r>
              <w:rPr>
                <w:rFonts w:ascii="Arial" w:cs="Arial" w:eastAsia="Arial" w:hAnsi="Arial"/>
                <w:sz w:val="16"/>
                <w:szCs w:val="16"/>
                <w:color w:val="auto"/>
              </w:rPr>
              <w:t>316</w:t>
            </w:r>
          </w:p>
        </w:tc>
      </w:tr>
      <w:tr>
        <w:trPr>
          <w:trHeight w:val="33"/>
        </w:trPr>
        <w:tc>
          <w:tcPr>
            <w:tcW w:w="76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7620" w:type="dxa"/>
            <w:vAlign w:val="bottom"/>
            <w:tcBorders>
              <w:bottom w:val="single" w:sz="8" w:color="CCEEFF"/>
            </w:tcBorders>
            <w:shd w:val="clear" w:color="auto" w:fill="CCEEFF"/>
          </w:tcPr>
          <w:p>
            <w:pPr>
              <w:ind w:left="1140"/>
              <w:spacing w:after="0"/>
              <w:rPr>
                <w:sz w:val="20"/>
                <w:szCs w:val="20"/>
                <w:color w:val="auto"/>
              </w:rPr>
            </w:pPr>
            <w:r>
              <w:rPr>
                <w:rFonts w:ascii="Arial" w:cs="Arial" w:eastAsia="Arial" w:hAnsi="Arial"/>
                <w:sz w:val="16"/>
                <w:szCs w:val="16"/>
                <w:color w:val="auto"/>
              </w:rPr>
              <w:t>Income taxes</w:t>
            </w:r>
          </w:p>
        </w:tc>
        <w:tc>
          <w:tcPr>
            <w:tcW w:w="2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1,262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3,351</w:t>
            </w:r>
          </w:p>
        </w:tc>
      </w:tr>
      <w:tr>
        <w:trPr>
          <w:trHeight w:val="237"/>
        </w:trPr>
        <w:tc>
          <w:tcPr>
            <w:tcW w:w="7620" w:type="dxa"/>
            <w:vAlign w:val="bottom"/>
          </w:tcPr>
          <w:p>
            <w:pPr>
              <w:ind w:left="1140"/>
              <w:spacing w:after="0"/>
              <w:rPr>
                <w:sz w:val="20"/>
                <w:szCs w:val="20"/>
                <w:color w:val="auto"/>
              </w:rPr>
            </w:pPr>
            <w:r>
              <w:rPr>
                <w:rFonts w:ascii="Arial" w:cs="Arial" w:eastAsia="Arial" w:hAnsi="Arial"/>
                <w:sz w:val="16"/>
                <w:szCs w:val="16"/>
                <w:color w:val="auto"/>
              </w:rPr>
              <w:t>Other</w:t>
            </w:r>
          </w:p>
        </w:tc>
        <w:tc>
          <w:tcPr>
            <w:tcW w:w="200" w:type="dxa"/>
            <w:vAlign w:val="bottom"/>
          </w:tcPr>
          <w:p>
            <w:pPr>
              <w:spacing w:after="0"/>
              <w:rPr>
                <w:sz w:val="20"/>
                <w:szCs w:val="20"/>
                <w:color w:val="auto"/>
              </w:rPr>
            </w:pPr>
          </w:p>
        </w:tc>
        <w:tc>
          <w:tcPr>
            <w:tcW w:w="1420" w:type="dxa"/>
            <w:vAlign w:val="bottom"/>
          </w:tcPr>
          <w:p>
            <w:pPr>
              <w:jc w:val="right"/>
              <w:ind w:right="39"/>
              <w:spacing w:after="0"/>
              <w:rPr>
                <w:sz w:val="20"/>
                <w:szCs w:val="20"/>
                <w:color w:val="auto"/>
              </w:rPr>
            </w:pPr>
            <w:r>
              <w:rPr>
                <w:rFonts w:ascii="Arial" w:cs="Arial" w:eastAsia="Arial" w:hAnsi="Arial"/>
                <w:sz w:val="16"/>
                <w:szCs w:val="16"/>
                <w:color w:val="auto"/>
              </w:rPr>
              <w:t>944</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40" w:type="dxa"/>
            <w:vAlign w:val="bottom"/>
          </w:tcPr>
          <w:p>
            <w:pPr>
              <w:jc w:val="right"/>
              <w:ind w:right="39"/>
              <w:spacing w:after="0"/>
              <w:rPr>
                <w:sz w:val="20"/>
                <w:szCs w:val="20"/>
                <w:color w:val="auto"/>
              </w:rPr>
            </w:pPr>
            <w:r>
              <w:rPr>
                <w:rFonts w:ascii="Arial" w:cs="Arial" w:eastAsia="Arial" w:hAnsi="Arial"/>
                <w:sz w:val="16"/>
                <w:szCs w:val="16"/>
                <w:color w:val="auto"/>
              </w:rPr>
              <w:t>1,161</w:t>
            </w:r>
          </w:p>
        </w:tc>
      </w:tr>
      <w:tr>
        <w:trPr>
          <w:trHeight w:val="33"/>
        </w:trPr>
        <w:tc>
          <w:tcPr>
            <w:tcW w:w="76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30"/>
        </w:trPr>
        <w:tc>
          <w:tcPr>
            <w:tcW w:w="7620" w:type="dxa"/>
            <w:vAlign w:val="bottom"/>
            <w:tcBorders>
              <w:bottom w:val="single" w:sz="8" w:color="CCEEFF"/>
            </w:tcBorders>
            <w:shd w:val="clear" w:color="auto" w:fill="CCEEFF"/>
          </w:tcPr>
          <w:p>
            <w:pPr>
              <w:ind w:left="1460"/>
              <w:spacing w:after="0"/>
              <w:rPr>
                <w:sz w:val="20"/>
                <w:szCs w:val="20"/>
                <w:color w:val="auto"/>
              </w:rPr>
            </w:pPr>
            <w:r>
              <w:rPr>
                <w:rFonts w:ascii="Arial" w:cs="Arial" w:eastAsia="Arial" w:hAnsi="Arial"/>
                <w:sz w:val="16"/>
                <w:szCs w:val="16"/>
                <w:color w:val="auto"/>
              </w:rPr>
              <w:t>Net cash provided by operating activities</w:t>
            </w:r>
          </w:p>
        </w:tc>
        <w:tc>
          <w:tcPr>
            <w:tcW w:w="20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27,116</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24,855</w:t>
            </w:r>
          </w:p>
        </w:tc>
      </w:tr>
      <w:tr>
        <w:trPr>
          <w:trHeight w:val="224"/>
        </w:trPr>
        <w:tc>
          <w:tcPr>
            <w:tcW w:w="7620" w:type="dxa"/>
            <w:vAlign w:val="bottom"/>
          </w:tcPr>
          <w:p>
            <w:pPr>
              <w:ind w:left="40"/>
              <w:spacing w:after="0"/>
              <w:rPr>
                <w:sz w:val="20"/>
                <w:szCs w:val="20"/>
                <w:color w:val="auto"/>
              </w:rPr>
            </w:pPr>
            <w:r>
              <w:rPr>
                <w:rFonts w:ascii="Arial" w:cs="Arial" w:eastAsia="Arial" w:hAnsi="Arial"/>
                <w:sz w:val="16"/>
                <w:szCs w:val="16"/>
                <w:color w:val="auto"/>
              </w:rPr>
              <w:t>CASH FLOWS FROM INVESTING ACTIVITIES:</w:t>
            </w:r>
          </w:p>
        </w:tc>
        <w:tc>
          <w:tcPr>
            <w:tcW w:w="20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spacing w:after="0"/>
              <w:rPr>
                <w:sz w:val="19"/>
                <w:szCs w:val="19"/>
                <w:color w:val="auto"/>
              </w:rPr>
            </w:pPr>
          </w:p>
        </w:tc>
      </w:tr>
      <w:tr>
        <w:trPr>
          <w:trHeight w:val="47"/>
        </w:trPr>
        <w:tc>
          <w:tcPr>
            <w:tcW w:w="7620" w:type="dxa"/>
            <w:vAlign w:val="bottom"/>
          </w:tcPr>
          <w:p>
            <w:pPr>
              <w:spacing w:after="0"/>
              <w:rPr>
                <w:sz w:val="4"/>
                <w:szCs w:val="4"/>
                <w:color w:val="auto"/>
              </w:rPr>
            </w:pPr>
          </w:p>
        </w:tc>
        <w:tc>
          <w:tcPr>
            <w:tcW w:w="200" w:type="dxa"/>
            <w:vAlign w:val="bottom"/>
          </w:tcPr>
          <w:p>
            <w:pPr>
              <w:spacing w:after="0"/>
              <w:rPr>
                <w:sz w:val="4"/>
                <w:szCs w:val="4"/>
                <w:color w:val="auto"/>
              </w:rPr>
            </w:pPr>
          </w:p>
        </w:tc>
        <w:tc>
          <w:tcPr>
            <w:tcW w:w="14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Pr>
          <w:p>
            <w:pPr>
              <w:spacing w:after="0"/>
              <w:rPr>
                <w:sz w:val="4"/>
                <w:szCs w:val="4"/>
                <w:color w:val="auto"/>
              </w:rPr>
            </w:pPr>
          </w:p>
        </w:tc>
        <w:tc>
          <w:tcPr>
            <w:tcW w:w="1340" w:type="dxa"/>
            <w:vAlign w:val="bottom"/>
          </w:tcPr>
          <w:p>
            <w:pPr>
              <w:spacing w:after="0"/>
              <w:rPr>
                <w:sz w:val="4"/>
                <w:szCs w:val="4"/>
                <w:color w:val="auto"/>
              </w:rPr>
            </w:pPr>
          </w:p>
        </w:tc>
      </w:tr>
      <w:tr>
        <w:trPr>
          <w:trHeight w:val="250"/>
        </w:trPr>
        <w:tc>
          <w:tcPr>
            <w:tcW w:w="76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Purchases of property, plant, and equipment</w:t>
            </w:r>
          </w:p>
        </w:tc>
        <w:tc>
          <w:tcPr>
            <w:tcW w:w="2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(14,088)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(4,211)</w:t>
            </w:r>
          </w:p>
        </w:tc>
      </w:tr>
      <w:tr>
        <w:trPr>
          <w:trHeight w:val="237"/>
        </w:trPr>
        <w:tc>
          <w:tcPr>
            <w:tcW w:w="7620" w:type="dxa"/>
            <w:vAlign w:val="bottom"/>
          </w:tcPr>
          <w:p>
            <w:pPr>
              <w:ind w:left="380"/>
              <w:spacing w:after="0"/>
              <w:rPr>
                <w:sz w:val="20"/>
                <w:szCs w:val="20"/>
                <w:color w:val="auto"/>
              </w:rPr>
            </w:pPr>
            <w:r>
              <w:rPr>
                <w:rFonts w:ascii="Arial" w:cs="Arial" w:eastAsia="Arial" w:hAnsi="Arial"/>
                <w:sz w:val="16"/>
                <w:szCs w:val="16"/>
                <w:color w:val="auto"/>
              </w:rPr>
              <w:t>Other</w:t>
            </w:r>
          </w:p>
        </w:tc>
        <w:tc>
          <w:tcPr>
            <w:tcW w:w="200" w:type="dxa"/>
            <w:vAlign w:val="bottom"/>
          </w:tcPr>
          <w:p>
            <w:pPr>
              <w:spacing w:after="0"/>
              <w:rPr>
                <w:sz w:val="20"/>
                <w:szCs w:val="20"/>
                <w:color w:val="auto"/>
              </w:rPr>
            </w:pPr>
          </w:p>
        </w:tc>
        <w:tc>
          <w:tcPr>
            <w:tcW w:w="1420" w:type="dxa"/>
            <w:vAlign w:val="bottom"/>
          </w:tcPr>
          <w:p>
            <w:pPr>
              <w:jc w:val="right"/>
              <w:ind w:right="39"/>
              <w:spacing w:after="0"/>
              <w:rPr>
                <w:sz w:val="20"/>
                <w:szCs w:val="20"/>
                <w:color w:val="auto"/>
              </w:rPr>
            </w:pPr>
            <w:r>
              <w:rPr>
                <w:rFonts w:ascii="Arial" w:cs="Arial" w:eastAsia="Arial" w:hAnsi="Arial"/>
                <w:sz w:val="16"/>
                <w:szCs w:val="16"/>
                <w:color w:val="auto"/>
              </w:rPr>
              <w:t>209</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40" w:type="dxa"/>
            <w:vAlign w:val="bottom"/>
          </w:tcPr>
          <w:p>
            <w:pPr>
              <w:jc w:val="right"/>
              <w:ind w:right="39"/>
              <w:spacing w:after="0"/>
              <w:rPr>
                <w:sz w:val="20"/>
                <w:szCs w:val="20"/>
                <w:color w:val="auto"/>
              </w:rPr>
            </w:pPr>
            <w:r>
              <w:rPr>
                <w:rFonts w:ascii="Arial" w:cs="Arial" w:eastAsia="Arial" w:hAnsi="Arial"/>
                <w:sz w:val="16"/>
                <w:szCs w:val="16"/>
                <w:color w:val="auto"/>
              </w:rPr>
              <w:t>109</w:t>
            </w:r>
          </w:p>
        </w:tc>
      </w:tr>
      <w:tr>
        <w:trPr>
          <w:trHeight w:val="33"/>
        </w:trPr>
        <w:tc>
          <w:tcPr>
            <w:tcW w:w="76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30"/>
        </w:trPr>
        <w:tc>
          <w:tcPr>
            <w:tcW w:w="7620" w:type="dxa"/>
            <w:vAlign w:val="bottom"/>
            <w:tcBorders>
              <w:bottom w:val="single" w:sz="8" w:color="CCEEFF"/>
            </w:tcBorders>
            <w:shd w:val="clear" w:color="auto" w:fill="CCEEFF"/>
          </w:tcPr>
          <w:p>
            <w:pPr>
              <w:ind w:left="1460"/>
              <w:spacing w:after="0"/>
              <w:rPr>
                <w:sz w:val="20"/>
                <w:szCs w:val="20"/>
                <w:color w:val="auto"/>
              </w:rPr>
            </w:pPr>
            <w:r>
              <w:rPr>
                <w:rFonts w:ascii="Arial" w:cs="Arial" w:eastAsia="Arial" w:hAnsi="Arial"/>
                <w:sz w:val="16"/>
                <w:szCs w:val="16"/>
                <w:color w:val="auto"/>
              </w:rPr>
              <w:t>Net cash used in investing activities</w:t>
            </w:r>
          </w:p>
        </w:tc>
        <w:tc>
          <w:tcPr>
            <w:tcW w:w="20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(13,879)</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(4,102)</w:t>
            </w:r>
          </w:p>
        </w:tc>
      </w:tr>
      <w:tr>
        <w:trPr>
          <w:trHeight w:val="224"/>
        </w:trPr>
        <w:tc>
          <w:tcPr>
            <w:tcW w:w="7620" w:type="dxa"/>
            <w:vAlign w:val="bottom"/>
          </w:tcPr>
          <w:p>
            <w:pPr>
              <w:ind w:left="40"/>
              <w:spacing w:after="0"/>
              <w:rPr>
                <w:sz w:val="20"/>
                <w:szCs w:val="20"/>
                <w:color w:val="auto"/>
              </w:rPr>
            </w:pPr>
            <w:r>
              <w:rPr>
                <w:rFonts w:ascii="Arial" w:cs="Arial" w:eastAsia="Arial" w:hAnsi="Arial"/>
                <w:sz w:val="16"/>
                <w:szCs w:val="16"/>
                <w:color w:val="auto"/>
              </w:rPr>
              <w:t>CASH FLOWS FROM FINANCING ACTIVITIES:</w:t>
            </w:r>
          </w:p>
        </w:tc>
        <w:tc>
          <w:tcPr>
            <w:tcW w:w="20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spacing w:after="0"/>
              <w:rPr>
                <w:sz w:val="19"/>
                <w:szCs w:val="19"/>
                <w:color w:val="auto"/>
              </w:rPr>
            </w:pPr>
          </w:p>
        </w:tc>
      </w:tr>
      <w:tr>
        <w:trPr>
          <w:trHeight w:val="47"/>
        </w:trPr>
        <w:tc>
          <w:tcPr>
            <w:tcW w:w="7620" w:type="dxa"/>
            <w:vAlign w:val="bottom"/>
          </w:tcPr>
          <w:p>
            <w:pPr>
              <w:spacing w:after="0"/>
              <w:rPr>
                <w:sz w:val="4"/>
                <w:szCs w:val="4"/>
                <w:color w:val="auto"/>
              </w:rPr>
            </w:pPr>
          </w:p>
        </w:tc>
        <w:tc>
          <w:tcPr>
            <w:tcW w:w="200" w:type="dxa"/>
            <w:vAlign w:val="bottom"/>
          </w:tcPr>
          <w:p>
            <w:pPr>
              <w:spacing w:after="0"/>
              <w:rPr>
                <w:sz w:val="4"/>
                <w:szCs w:val="4"/>
                <w:color w:val="auto"/>
              </w:rPr>
            </w:pPr>
          </w:p>
        </w:tc>
        <w:tc>
          <w:tcPr>
            <w:tcW w:w="14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Pr>
          <w:p>
            <w:pPr>
              <w:spacing w:after="0"/>
              <w:rPr>
                <w:sz w:val="4"/>
                <w:szCs w:val="4"/>
                <w:color w:val="auto"/>
              </w:rPr>
            </w:pPr>
          </w:p>
        </w:tc>
        <w:tc>
          <w:tcPr>
            <w:tcW w:w="1340" w:type="dxa"/>
            <w:vAlign w:val="bottom"/>
          </w:tcPr>
          <w:p>
            <w:pPr>
              <w:spacing w:after="0"/>
              <w:rPr>
                <w:sz w:val="4"/>
                <w:szCs w:val="4"/>
                <w:color w:val="auto"/>
              </w:rPr>
            </w:pPr>
          </w:p>
        </w:tc>
      </w:tr>
      <w:tr>
        <w:trPr>
          <w:trHeight w:val="250"/>
        </w:trPr>
        <w:tc>
          <w:tcPr>
            <w:tcW w:w="76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Cash dividends paid</w:t>
            </w:r>
          </w:p>
        </w:tc>
        <w:tc>
          <w:tcPr>
            <w:tcW w:w="2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(4,905)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(7,116)</w:t>
            </w:r>
          </w:p>
        </w:tc>
      </w:tr>
      <w:tr>
        <w:trPr>
          <w:trHeight w:val="237"/>
        </w:trPr>
        <w:tc>
          <w:tcPr>
            <w:tcW w:w="7620" w:type="dxa"/>
            <w:vAlign w:val="bottom"/>
          </w:tcPr>
          <w:p>
            <w:pPr>
              <w:ind w:left="380"/>
              <w:spacing w:after="0"/>
              <w:rPr>
                <w:sz w:val="20"/>
                <w:szCs w:val="20"/>
                <w:color w:val="auto"/>
              </w:rPr>
            </w:pPr>
            <w:r>
              <w:rPr>
                <w:rFonts w:ascii="Arial" w:cs="Arial" w:eastAsia="Arial" w:hAnsi="Arial"/>
                <w:sz w:val="16"/>
                <w:szCs w:val="16"/>
                <w:color w:val="auto"/>
              </w:rPr>
              <w:t>New shares issued</w:t>
            </w:r>
          </w:p>
        </w:tc>
        <w:tc>
          <w:tcPr>
            <w:tcW w:w="200" w:type="dxa"/>
            <w:vAlign w:val="bottom"/>
          </w:tcPr>
          <w:p>
            <w:pPr>
              <w:spacing w:after="0"/>
              <w:rPr>
                <w:sz w:val="20"/>
                <w:szCs w:val="20"/>
                <w:color w:val="auto"/>
              </w:rPr>
            </w:pPr>
          </w:p>
        </w:tc>
        <w:tc>
          <w:tcPr>
            <w:tcW w:w="1420" w:type="dxa"/>
            <w:vAlign w:val="bottom"/>
          </w:tcPr>
          <w:p>
            <w:pPr>
              <w:jc w:val="right"/>
              <w:ind w:right="39"/>
              <w:spacing w:after="0"/>
              <w:rPr>
                <w:sz w:val="20"/>
                <w:szCs w:val="20"/>
                <w:color w:val="auto"/>
              </w:rPr>
            </w:pPr>
            <w:r>
              <w:rPr>
                <w:rFonts w:ascii="Arial" w:cs="Arial" w:eastAsia="Arial" w:hAnsi="Arial"/>
                <w:sz w:val="16"/>
                <w:szCs w:val="16"/>
                <w:color w:val="auto"/>
              </w:rPr>
              <w:t>661</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40" w:type="dxa"/>
            <w:vAlign w:val="bottom"/>
          </w:tcPr>
          <w:p>
            <w:pPr>
              <w:jc w:val="right"/>
              <w:ind w:right="39"/>
              <w:spacing w:after="0"/>
              <w:rPr>
                <w:sz w:val="20"/>
                <w:szCs w:val="20"/>
                <w:color w:val="auto"/>
              </w:rPr>
            </w:pPr>
            <w:r>
              <w:rPr>
                <w:rFonts w:ascii="Arial" w:cs="Arial" w:eastAsia="Arial" w:hAnsi="Arial"/>
                <w:sz w:val="16"/>
                <w:szCs w:val="16"/>
                <w:color w:val="auto"/>
              </w:rPr>
              <w:t>677</w:t>
            </w:r>
          </w:p>
        </w:tc>
      </w:tr>
      <w:tr>
        <w:trPr>
          <w:trHeight w:val="33"/>
        </w:trPr>
        <w:tc>
          <w:tcPr>
            <w:tcW w:w="76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76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Shares surrendered for payroll taxes</w:t>
            </w:r>
          </w:p>
        </w:tc>
        <w:tc>
          <w:tcPr>
            <w:tcW w:w="2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(343)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(265)</w:t>
            </w:r>
          </w:p>
        </w:tc>
      </w:tr>
      <w:tr>
        <w:trPr>
          <w:trHeight w:val="237"/>
        </w:trPr>
        <w:tc>
          <w:tcPr>
            <w:tcW w:w="7620" w:type="dxa"/>
            <w:vAlign w:val="bottom"/>
          </w:tcPr>
          <w:p>
            <w:pPr>
              <w:ind w:left="380"/>
              <w:spacing w:after="0"/>
              <w:rPr>
                <w:sz w:val="20"/>
                <w:szCs w:val="20"/>
                <w:color w:val="auto"/>
              </w:rPr>
            </w:pPr>
            <w:r>
              <w:rPr>
                <w:rFonts w:ascii="Arial" w:cs="Arial" w:eastAsia="Arial" w:hAnsi="Arial"/>
                <w:sz w:val="16"/>
                <w:szCs w:val="16"/>
                <w:color w:val="auto"/>
              </w:rPr>
              <w:t>Shares repurchased</w:t>
            </w:r>
          </w:p>
        </w:tc>
        <w:tc>
          <w:tcPr>
            <w:tcW w:w="20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(3,793)</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40" w:type="dxa"/>
            <w:vAlign w:val="bottom"/>
          </w:tcPr>
          <w:p>
            <w:pPr>
              <w:jc w:val="right"/>
              <w:ind w:right="39"/>
              <w:spacing w:after="0"/>
              <w:rPr>
                <w:sz w:val="20"/>
                <w:szCs w:val="20"/>
                <w:color w:val="auto"/>
              </w:rPr>
            </w:pPr>
            <w:r>
              <w:rPr>
                <w:rFonts w:ascii="Arial" w:cs="Arial" w:eastAsia="Arial" w:hAnsi="Arial"/>
                <w:sz w:val="16"/>
                <w:szCs w:val="16"/>
                <w:color w:val="auto"/>
              </w:rPr>
              <w:t>—</w:t>
            </w:r>
          </w:p>
        </w:tc>
      </w:tr>
      <w:tr>
        <w:trPr>
          <w:trHeight w:val="33"/>
        </w:trPr>
        <w:tc>
          <w:tcPr>
            <w:tcW w:w="76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76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Net payments on revolver borrowings</w:t>
            </w:r>
          </w:p>
        </w:tc>
        <w:tc>
          <w:tcPr>
            <w:tcW w:w="2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(10,000)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(10,000)</w:t>
            </w:r>
          </w:p>
        </w:tc>
      </w:tr>
      <w:tr>
        <w:trPr>
          <w:trHeight w:val="237"/>
        </w:trPr>
        <w:tc>
          <w:tcPr>
            <w:tcW w:w="7620" w:type="dxa"/>
            <w:vAlign w:val="bottom"/>
          </w:tcPr>
          <w:p>
            <w:pPr>
              <w:ind w:left="380"/>
              <w:spacing w:after="0"/>
              <w:rPr>
                <w:sz w:val="20"/>
                <w:szCs w:val="20"/>
                <w:color w:val="auto"/>
              </w:rPr>
            </w:pPr>
            <w:r>
              <w:rPr>
                <w:rFonts w:ascii="Arial" w:cs="Arial" w:eastAsia="Arial" w:hAnsi="Arial"/>
                <w:sz w:val="16"/>
                <w:szCs w:val="16"/>
                <w:color w:val="auto"/>
              </w:rPr>
              <w:t>Payments on term loan borrowings</w:t>
            </w:r>
          </w:p>
        </w:tc>
        <w:tc>
          <w:tcPr>
            <w:tcW w:w="200" w:type="dxa"/>
            <w:vAlign w:val="bottom"/>
          </w:tcPr>
          <w:p>
            <w:pPr>
              <w:spacing w:after="0"/>
              <w:rPr>
                <w:sz w:val="20"/>
                <w:szCs w:val="20"/>
                <w:color w:val="auto"/>
              </w:rPr>
            </w:pPr>
          </w:p>
        </w:tc>
        <w:tc>
          <w:tcPr>
            <w:tcW w:w="15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(5,000)</w:t>
            </w:r>
          </w:p>
        </w:tc>
      </w:tr>
      <w:tr>
        <w:trPr>
          <w:trHeight w:val="33"/>
        </w:trPr>
        <w:tc>
          <w:tcPr>
            <w:tcW w:w="76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50"/>
        </w:trPr>
        <w:tc>
          <w:tcPr>
            <w:tcW w:w="7620" w:type="dxa"/>
            <w:vAlign w:val="bottom"/>
            <w:tcBorders>
              <w:bottom w:val="single" w:sz="8" w:color="CCEEFF"/>
            </w:tcBorders>
            <w:shd w:val="clear" w:color="auto" w:fill="CCEEFF"/>
          </w:tcPr>
          <w:p>
            <w:pPr>
              <w:ind w:left="1460"/>
              <w:spacing w:after="0"/>
              <w:rPr>
                <w:sz w:val="20"/>
                <w:szCs w:val="20"/>
                <w:color w:val="auto"/>
              </w:rPr>
            </w:pPr>
            <w:r>
              <w:rPr>
                <w:rFonts w:ascii="Arial" w:cs="Arial" w:eastAsia="Arial" w:hAnsi="Arial"/>
                <w:sz w:val="16"/>
                <w:szCs w:val="16"/>
                <w:color w:val="auto"/>
              </w:rPr>
              <w:t>Net cash used in financing activities</w:t>
            </w:r>
          </w:p>
        </w:tc>
        <w:tc>
          <w:tcPr>
            <w:tcW w:w="2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(18,380)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(21,704)</w:t>
            </w:r>
          </w:p>
        </w:tc>
      </w:tr>
      <w:tr>
        <w:trPr>
          <w:trHeight w:val="217"/>
        </w:trPr>
        <w:tc>
          <w:tcPr>
            <w:tcW w:w="7620" w:type="dxa"/>
            <w:vAlign w:val="bottom"/>
          </w:tcPr>
          <w:p>
            <w:pPr>
              <w:ind w:left="40"/>
              <w:spacing w:after="0"/>
              <w:rPr>
                <w:sz w:val="20"/>
                <w:szCs w:val="20"/>
                <w:color w:val="auto"/>
              </w:rPr>
            </w:pPr>
            <w:r>
              <w:rPr>
                <w:rFonts w:ascii="Arial" w:cs="Arial" w:eastAsia="Arial" w:hAnsi="Arial"/>
                <w:sz w:val="16"/>
                <w:szCs w:val="16"/>
                <w:color w:val="auto"/>
              </w:rPr>
              <w:t>NET DECREASE IN CASH AND CASH EQUIVALENTS</w:t>
            </w:r>
          </w:p>
        </w:tc>
        <w:tc>
          <w:tcPr>
            <w:tcW w:w="200" w:type="dxa"/>
            <w:vAlign w:val="bottom"/>
            <w:tcBorders>
              <w:top w:val="single" w:sz="8" w:color="auto"/>
            </w:tcBorders>
          </w:tcPr>
          <w:p>
            <w:pPr>
              <w:spacing w:after="0"/>
              <w:rPr>
                <w:sz w:val="18"/>
                <w:szCs w:val="18"/>
                <w:color w:val="auto"/>
              </w:rPr>
            </w:pPr>
          </w:p>
        </w:tc>
        <w:tc>
          <w:tcPr>
            <w:tcW w:w="14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(5,143)</w:t>
            </w: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(951)</w:t>
            </w:r>
          </w:p>
        </w:tc>
      </w:tr>
      <w:tr>
        <w:trPr>
          <w:trHeight w:val="33"/>
        </w:trPr>
        <w:tc>
          <w:tcPr>
            <w:tcW w:w="76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70"/>
        </w:trPr>
        <w:tc>
          <w:tcPr>
            <w:tcW w:w="7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CASH AND CASH EQUIVALENTS, BEGINNING OF PERIOD</w:t>
            </w:r>
          </w:p>
        </w:tc>
        <w:tc>
          <w:tcPr>
            <w:tcW w:w="20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9,199</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4,990</w:t>
            </w:r>
          </w:p>
        </w:tc>
      </w:tr>
      <w:tr>
        <w:trPr>
          <w:trHeight w:val="217"/>
        </w:trPr>
        <w:tc>
          <w:tcPr>
            <w:tcW w:w="7620" w:type="dxa"/>
            <w:vAlign w:val="bottom"/>
          </w:tcPr>
          <w:p>
            <w:pPr>
              <w:ind w:left="40"/>
              <w:spacing w:after="0"/>
              <w:rPr>
                <w:sz w:val="20"/>
                <w:szCs w:val="20"/>
                <w:color w:val="auto"/>
              </w:rPr>
            </w:pPr>
            <w:r>
              <w:rPr>
                <w:rFonts w:ascii="Arial" w:cs="Arial" w:eastAsia="Arial" w:hAnsi="Arial"/>
                <w:sz w:val="16"/>
                <w:szCs w:val="16"/>
                <w:color w:val="auto"/>
              </w:rPr>
              <w:t>CASH AND CASH EQUIVALENTS, END OF PERIOD</w:t>
            </w:r>
          </w:p>
        </w:tc>
        <w:tc>
          <w:tcPr>
            <w:tcW w:w="2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4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4,056</w:t>
            </w:r>
          </w:p>
        </w:tc>
        <w:tc>
          <w:tcPr>
            <w:tcW w:w="100" w:type="dxa"/>
            <w:vAlign w:val="bottom"/>
          </w:tcPr>
          <w:p>
            <w:pPr>
              <w:spacing w:after="0"/>
              <w:rPr>
                <w:sz w:val="18"/>
                <w:szCs w:val="18"/>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4,039</w:t>
            </w:r>
          </w:p>
        </w:tc>
      </w:tr>
      <w:tr>
        <w:trPr>
          <w:trHeight w:val="73"/>
        </w:trPr>
        <w:tc>
          <w:tcPr>
            <w:tcW w:w="7620" w:type="dxa"/>
            <w:vAlign w:val="bottom"/>
            <w:tcBorders>
              <w:bottom w:val="single" w:sz="8" w:color="CCEEFF"/>
            </w:tcBorders>
          </w:tcPr>
          <w:p>
            <w:pPr>
              <w:spacing w:after="0"/>
              <w:rPr>
                <w:sz w:val="6"/>
                <w:szCs w:val="6"/>
                <w:color w:val="auto"/>
              </w:rPr>
            </w:pPr>
          </w:p>
        </w:tc>
        <w:tc>
          <w:tcPr>
            <w:tcW w:w="200" w:type="dxa"/>
            <w:vAlign w:val="bottom"/>
            <w:tcBorders>
              <w:bottom w:val="single" w:sz="8" w:color="auto"/>
            </w:tcBorders>
          </w:tcPr>
          <w:p>
            <w:pPr>
              <w:spacing w:after="0"/>
              <w:rPr>
                <w:sz w:val="6"/>
                <w:szCs w:val="6"/>
                <w:color w:val="auto"/>
              </w:rPr>
            </w:pPr>
          </w:p>
        </w:tc>
        <w:tc>
          <w:tcPr>
            <w:tcW w:w="142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1340" w:type="dxa"/>
            <w:vAlign w:val="bottom"/>
            <w:tcBorders>
              <w:bottom w:val="single" w:sz="8" w:color="auto"/>
            </w:tcBorders>
          </w:tcPr>
          <w:p>
            <w:pPr>
              <w:spacing w:after="0"/>
              <w:rPr>
                <w:sz w:val="6"/>
                <w:szCs w:val="6"/>
                <w:color w:val="auto"/>
              </w:rPr>
            </w:pPr>
          </w:p>
        </w:tc>
      </w:tr>
      <w:tr>
        <w:trPr>
          <w:trHeight w:val="224"/>
        </w:trPr>
        <w:tc>
          <w:tcPr>
            <w:tcW w:w="76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r>
      <w:tr>
        <w:trPr>
          <w:trHeight w:val="224"/>
        </w:trPr>
        <w:tc>
          <w:tcPr>
            <w:tcW w:w="7620" w:type="dxa"/>
            <w:vAlign w:val="bottom"/>
          </w:tcPr>
          <w:p>
            <w:pPr>
              <w:ind w:left="40"/>
              <w:spacing w:after="0"/>
              <w:rPr>
                <w:sz w:val="20"/>
                <w:szCs w:val="20"/>
                <w:color w:val="auto"/>
              </w:rPr>
            </w:pPr>
            <w:r>
              <w:rPr>
                <w:rFonts w:ascii="Arial" w:cs="Arial" w:eastAsia="Arial" w:hAnsi="Arial"/>
                <w:sz w:val="16"/>
                <w:szCs w:val="16"/>
                <w:color w:val="auto"/>
              </w:rPr>
              <w:t>SUPPLEMENTAL DISCLOSURES OF CASH FLOW INFORMATION</w:t>
            </w:r>
          </w:p>
        </w:tc>
        <w:tc>
          <w:tcPr>
            <w:tcW w:w="20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spacing w:after="0"/>
              <w:rPr>
                <w:sz w:val="19"/>
                <w:szCs w:val="19"/>
                <w:color w:val="auto"/>
              </w:rPr>
            </w:pPr>
          </w:p>
        </w:tc>
      </w:tr>
      <w:tr>
        <w:trPr>
          <w:trHeight w:val="47"/>
        </w:trPr>
        <w:tc>
          <w:tcPr>
            <w:tcW w:w="7620" w:type="dxa"/>
            <w:vAlign w:val="bottom"/>
          </w:tcPr>
          <w:p>
            <w:pPr>
              <w:spacing w:after="0"/>
              <w:rPr>
                <w:sz w:val="4"/>
                <w:szCs w:val="4"/>
                <w:color w:val="auto"/>
              </w:rPr>
            </w:pPr>
          </w:p>
        </w:tc>
        <w:tc>
          <w:tcPr>
            <w:tcW w:w="200" w:type="dxa"/>
            <w:vAlign w:val="bottom"/>
          </w:tcPr>
          <w:p>
            <w:pPr>
              <w:spacing w:after="0"/>
              <w:rPr>
                <w:sz w:val="4"/>
                <w:szCs w:val="4"/>
                <w:color w:val="auto"/>
              </w:rPr>
            </w:pPr>
          </w:p>
        </w:tc>
        <w:tc>
          <w:tcPr>
            <w:tcW w:w="14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Pr>
          <w:p>
            <w:pPr>
              <w:spacing w:after="0"/>
              <w:rPr>
                <w:sz w:val="4"/>
                <w:szCs w:val="4"/>
                <w:color w:val="auto"/>
              </w:rPr>
            </w:pPr>
          </w:p>
        </w:tc>
        <w:tc>
          <w:tcPr>
            <w:tcW w:w="1340" w:type="dxa"/>
            <w:vAlign w:val="bottom"/>
          </w:tcPr>
          <w:p>
            <w:pPr>
              <w:spacing w:after="0"/>
              <w:rPr>
                <w:sz w:val="4"/>
                <w:szCs w:val="4"/>
                <w:color w:val="auto"/>
              </w:rPr>
            </w:pPr>
          </w:p>
        </w:tc>
      </w:tr>
      <w:tr>
        <w:trPr>
          <w:trHeight w:val="250"/>
        </w:trPr>
        <w:tc>
          <w:tcPr>
            <w:tcW w:w="76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Cash paid for income taxes</w:t>
            </w: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4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5,533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2,757</w:t>
            </w:r>
          </w:p>
        </w:tc>
      </w:tr>
      <w:tr>
        <w:trPr>
          <w:trHeight w:val="237"/>
        </w:trPr>
        <w:tc>
          <w:tcPr>
            <w:tcW w:w="7620" w:type="dxa"/>
            <w:vAlign w:val="bottom"/>
          </w:tcPr>
          <w:p>
            <w:pPr>
              <w:ind w:left="380"/>
              <w:spacing w:after="0"/>
              <w:rPr>
                <w:sz w:val="20"/>
                <w:szCs w:val="20"/>
                <w:color w:val="auto"/>
              </w:rPr>
            </w:pPr>
            <w:r>
              <w:rPr>
                <w:rFonts w:ascii="Arial" w:cs="Arial" w:eastAsia="Arial" w:hAnsi="Arial"/>
                <w:sz w:val="16"/>
                <w:szCs w:val="16"/>
                <w:color w:val="auto"/>
              </w:rPr>
              <w:t>Cash paid for interest</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420" w:type="dxa"/>
            <w:vAlign w:val="bottom"/>
          </w:tcPr>
          <w:p>
            <w:pPr>
              <w:jc w:val="right"/>
              <w:ind w:right="39"/>
              <w:spacing w:after="0"/>
              <w:rPr>
                <w:sz w:val="20"/>
                <w:szCs w:val="20"/>
                <w:color w:val="auto"/>
              </w:rPr>
            </w:pPr>
            <w:r>
              <w:rPr>
                <w:rFonts w:ascii="Arial" w:cs="Arial" w:eastAsia="Arial" w:hAnsi="Arial"/>
                <w:sz w:val="16"/>
                <w:szCs w:val="16"/>
                <w:color w:val="auto"/>
              </w:rPr>
              <w:t>1,419</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tcPr>
          <w:p>
            <w:pPr>
              <w:jc w:val="right"/>
              <w:ind w:right="39"/>
              <w:spacing w:after="0"/>
              <w:rPr>
                <w:sz w:val="20"/>
                <w:szCs w:val="20"/>
                <w:color w:val="auto"/>
              </w:rPr>
            </w:pPr>
            <w:r>
              <w:rPr>
                <w:rFonts w:ascii="Arial" w:cs="Arial" w:eastAsia="Arial" w:hAnsi="Arial"/>
                <w:sz w:val="16"/>
                <w:szCs w:val="16"/>
                <w:color w:val="auto"/>
              </w:rPr>
              <w:t>1,650</w:t>
            </w:r>
          </w:p>
        </w:tc>
      </w:tr>
      <w:tr>
        <w:trPr>
          <w:trHeight w:val="33"/>
        </w:trPr>
        <w:tc>
          <w:tcPr>
            <w:tcW w:w="76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37"/>
        </w:trPr>
        <w:tc>
          <w:tcPr>
            <w:tcW w:w="7620" w:type="dxa"/>
            <w:vAlign w:val="bottom"/>
            <w:shd w:val="clear" w:color="auto" w:fill="CCEEFF"/>
          </w:tcPr>
          <w:p>
            <w:pPr>
              <w:ind w:left="380"/>
              <w:spacing w:after="0"/>
              <w:rPr>
                <w:sz w:val="20"/>
                <w:szCs w:val="20"/>
                <w:color w:val="auto"/>
              </w:rPr>
            </w:pPr>
            <w:r>
              <w:rPr>
                <w:rFonts w:ascii="Arial" w:cs="Arial" w:eastAsia="Arial" w:hAnsi="Arial"/>
                <w:sz w:val="16"/>
                <w:szCs w:val="16"/>
                <w:color w:val="auto"/>
              </w:rPr>
              <w:t>Noncash investing activities - capital expenditures in accounts payable</w:t>
            </w: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4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567</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154</w:t>
            </w:r>
          </w:p>
        </w:tc>
      </w:tr>
      <w:tr>
        <w:trPr>
          <w:trHeight w:val="33"/>
        </w:trPr>
        <w:tc>
          <w:tcPr>
            <w:tcW w:w="762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4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340" w:type="dxa"/>
            <w:vAlign w:val="bottom"/>
            <w:shd w:val="clear" w:color="auto" w:fill="CCEEFF"/>
          </w:tcPr>
          <w:p>
            <w:pPr>
              <w:spacing w:after="0"/>
              <w:rPr>
                <w:sz w:val="2"/>
                <w:szCs w:val="2"/>
                <w:color w:val="auto"/>
              </w:rPr>
            </w:pPr>
          </w:p>
        </w:tc>
      </w:tr>
    </w:tbl>
    <w:p>
      <w:pPr>
        <w:spacing w:after="0" w:line="148" w:lineRule="exact"/>
        <w:rPr>
          <w:sz w:val="20"/>
          <w:szCs w:val="20"/>
          <w:color w:val="auto"/>
        </w:rPr>
      </w:pPr>
    </w:p>
    <w:p>
      <w:pPr>
        <w:ind w:left="3080"/>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00" w:lineRule="exact"/>
        <w:rPr>
          <w:sz w:val="20"/>
          <w:szCs w:val="20"/>
          <w:color w:val="auto"/>
        </w:rPr>
      </w:pPr>
    </w:p>
    <w:p>
      <w:pPr>
        <w:spacing w:after="0" w:line="268"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0860"/>
          </w:cols>
          <w:pgMar w:left="240" w:top="580" w:right="79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color w:val="auto"/>
        </w:rPr>
        <w:t>HAWKINS,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 Summary of Significant Accounting Policies</w:t>
      </w:r>
    </w:p>
    <w:p>
      <w:pPr>
        <w:spacing w:after="0" w:line="229" w:lineRule="exact"/>
        <w:rPr>
          <w:sz w:val="20"/>
          <w:szCs w:val="20"/>
          <w:color w:val="auto"/>
        </w:rPr>
      </w:pPr>
    </w:p>
    <w:p>
      <w:pPr>
        <w:ind w:right="100"/>
        <w:spacing w:after="0" w:line="290" w:lineRule="auto"/>
        <w:rPr>
          <w:rFonts w:ascii="Arial" w:cs="Arial" w:eastAsia="Arial" w:hAnsi="Arial"/>
          <w:sz w:val="16"/>
          <w:szCs w:val="16"/>
          <w:color w:val="0000EE"/>
        </w:rPr>
      </w:pPr>
      <w:r>
        <w:rPr>
          <w:rFonts w:ascii="Arial" w:cs="Arial" w:eastAsia="Arial" w:hAnsi="Arial"/>
          <w:sz w:val="16"/>
          <w:szCs w:val="16"/>
          <w:b w:val="1"/>
          <w:bCs w:val="1"/>
          <w:i w:val="1"/>
          <w:iCs w:val="1"/>
          <w:color w:val="auto"/>
        </w:rPr>
        <w:t xml:space="preserve">Basis of Presentation. </w:t>
      </w:r>
      <w:r>
        <w:rPr>
          <w:rFonts w:ascii="Arial" w:cs="Arial" w:eastAsia="Arial" w:hAnsi="Arial"/>
          <w:sz w:val="16"/>
          <w:szCs w:val="16"/>
          <w:color w:val="auto"/>
        </w:rPr>
        <w:t>The accompanying unaudited condensed consolidated financial statements have been prepared in accordance with the instructions for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 xml:space="preserve">Form 10-Q and, accordingly, do not include all information and footnotes required by generally accepted accounting principles for complete financial </w:t>
      </w:r>
      <w:hyperlink r:id="rId22">
        <w:r>
          <w:rPr>
            <w:rFonts w:ascii="Arial" w:cs="Arial" w:eastAsia="Arial" w:hAnsi="Arial"/>
            <w:sz w:val="16"/>
            <w:szCs w:val="16"/>
            <w:color w:val="auto"/>
          </w:rPr>
          <w:t xml:space="preserve">statements. These financial statements should be read in conjunction with the consolidated financial statements and footnotes included in our </w:t>
        </w:r>
        <w:r>
          <w:rPr>
            <w:rFonts w:ascii="Arial" w:cs="Arial" w:eastAsia="Arial" w:hAnsi="Arial"/>
            <w:sz w:val="16"/>
            <w:szCs w:val="16"/>
            <w:u w:val="single" w:color="auto"/>
            <w:color w:val="0000EE"/>
          </w:rPr>
          <w:t>Annual Report</w:t>
        </w:r>
      </w:hyperlink>
      <w:r>
        <w:rPr>
          <w:rFonts w:ascii="Arial" w:cs="Arial" w:eastAsia="Arial" w:hAnsi="Arial"/>
          <w:sz w:val="16"/>
          <w:szCs w:val="16"/>
          <w:color w:val="auto"/>
        </w:rPr>
        <w:t xml:space="preserve"> </w:t>
      </w:r>
      <w:hyperlink r:id="rId22">
        <w:r>
          <w:rPr>
            <w:rFonts w:ascii="Arial" w:cs="Arial" w:eastAsia="Arial" w:hAnsi="Arial"/>
            <w:sz w:val="16"/>
            <w:szCs w:val="16"/>
            <w:u w:val="single" w:color="auto"/>
            <w:color w:val="0000EE"/>
          </w:rPr>
          <w:t>on Form 10-K for the fiscal year ended March 31, 2019</w:t>
        </w:r>
        <w:r>
          <w:rPr>
            <w:rFonts w:ascii="Arial" w:cs="Arial" w:eastAsia="Arial" w:hAnsi="Arial"/>
            <w:sz w:val="16"/>
            <w:szCs w:val="16"/>
            <w:color w:val="000000"/>
          </w:rPr>
          <w:t>, previously filed with the Securities and Exchange Commission (“SEC”). In the opinion of</w:t>
        </w:r>
      </w:hyperlink>
      <w:r>
        <w:rPr>
          <w:rFonts w:ascii="Arial" w:cs="Arial" w:eastAsia="Arial" w:hAnsi="Arial"/>
          <w:sz w:val="16"/>
          <w:szCs w:val="16"/>
          <w:color w:val="0000EE"/>
        </w:rPr>
        <w:t xml:space="preserve"> </w:t>
      </w:r>
      <w:r>
        <w:rPr>
          <w:rFonts w:ascii="Arial" w:cs="Arial" w:eastAsia="Arial" w:hAnsi="Arial"/>
          <w:sz w:val="16"/>
          <w:szCs w:val="16"/>
          <w:color w:val="000000"/>
        </w:rPr>
        <w:t>management, the accompanying unaudited condensed consolidated financial statements contain all adjustments necessary to present fairly our financial position and the results of our operations and cash flows for the periods presented. All adjustments made to the interim condensed consolidated financial statements were of a normal recurring nature. All significant intercompany accounts and transactions have been eliminated in consolidation. The results of operations for the six months ended September 29, 2019 are not necessarily indicative of the results that may be expected for the full year.</w:t>
      </w:r>
    </w:p>
    <w:p>
      <w:pPr>
        <w:spacing w:after="0" w:line="166" w:lineRule="exact"/>
        <w:rPr>
          <w:sz w:val="20"/>
          <w:szCs w:val="20"/>
          <w:color w:val="auto"/>
        </w:rPr>
      </w:pPr>
    </w:p>
    <w:p>
      <w:pPr>
        <w:spacing w:after="0"/>
        <w:rPr>
          <w:sz w:val="20"/>
          <w:szCs w:val="20"/>
          <w:color w:val="auto"/>
        </w:rPr>
      </w:pPr>
      <w:r>
        <w:rPr>
          <w:rFonts w:ascii="Arial" w:cs="Arial" w:eastAsia="Arial" w:hAnsi="Arial"/>
          <w:sz w:val="17"/>
          <w:szCs w:val="17"/>
          <w:color w:val="auto"/>
        </w:rPr>
        <w:t>References to fiscal 2019 refer to the fiscal year ended March 31, 2019 and references to fiscal 2020 refer to the fiscal year ending March 29, 2020.</w:t>
      </w:r>
    </w:p>
    <w:p>
      <w:pPr>
        <w:spacing w:after="0" w:line="237" w:lineRule="exact"/>
        <w:rPr>
          <w:sz w:val="20"/>
          <w:szCs w:val="20"/>
          <w:color w:val="auto"/>
        </w:rPr>
      </w:pPr>
    </w:p>
    <w:p>
      <w:pPr>
        <w:jc w:val="both"/>
        <w:ind w:right="80"/>
        <w:spacing w:after="0" w:line="302" w:lineRule="auto"/>
        <w:rPr>
          <w:sz w:val="20"/>
          <w:szCs w:val="20"/>
          <w:color w:val="auto"/>
        </w:rPr>
      </w:pPr>
      <w:r>
        <w:rPr>
          <w:rFonts w:ascii="Arial" w:cs="Arial" w:eastAsia="Arial" w:hAnsi="Arial"/>
          <w:sz w:val="16"/>
          <w:szCs w:val="16"/>
          <w:b w:val="1"/>
          <w:bCs w:val="1"/>
          <w:i w:val="1"/>
          <w:iCs w:val="1"/>
          <w:color w:val="auto"/>
        </w:rPr>
        <w:t xml:space="preserve">Use of Estimates. </w:t>
      </w:r>
      <w:r>
        <w:rPr>
          <w:rFonts w:ascii="Arial" w:cs="Arial" w:eastAsia="Arial" w:hAnsi="Arial"/>
          <w:sz w:val="16"/>
          <w:szCs w:val="16"/>
          <w:color w:val="auto"/>
        </w:rPr>
        <w:t>The preparation of condensed consolidated financial statements in conformity with accounting principles generally accepted in the United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States requires management to make estimates and assumptions that affect the reported amounts of assets and liabilities, particularly receivables, inventories, property, plant and equipment, right-of-use assets, goodwill, intangibles, accrued expenses, short-term and long-term lease liability, income taxes and related accounts and the reported amounts of revenues and expenses during the reporting period. Actual results could differ from those estimates.</w:t>
      </w:r>
    </w:p>
    <w:p>
      <w:pPr>
        <w:spacing w:after="0" w:line="154" w:lineRule="exact"/>
        <w:rPr>
          <w:sz w:val="20"/>
          <w:szCs w:val="20"/>
          <w:color w:val="auto"/>
        </w:rPr>
      </w:pPr>
    </w:p>
    <w:p>
      <w:pPr>
        <w:jc w:val="both"/>
        <w:ind w:right="100"/>
        <w:spacing w:after="0" w:line="286" w:lineRule="auto"/>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Accounting Policies. </w:t>
      </w:r>
      <w:r>
        <w:rPr>
          <w:rFonts w:ascii="Arial" w:cs="Arial" w:eastAsia="Arial" w:hAnsi="Arial"/>
          <w:sz w:val="17"/>
          <w:szCs w:val="17"/>
          <w:color w:val="auto"/>
        </w:rPr>
        <w:t>The accounting policies we follow are set forth in Note 1 – Nature of Business and Significant Accounting Policies to our consolidated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 xml:space="preserve">financial statements in our </w:t>
      </w:r>
      <w:hyperlink r:id="rId22">
        <w:r>
          <w:rPr>
            <w:rFonts w:ascii="Arial" w:cs="Arial" w:eastAsia="Arial" w:hAnsi="Arial"/>
            <w:sz w:val="17"/>
            <w:szCs w:val="17"/>
            <w:u w:val="single" w:color="auto"/>
            <w:color w:val="0000EE"/>
          </w:rPr>
          <w:t>Annual Report on Form 10-K for the fiscal year ended March 31, 2019</w:t>
        </w:r>
      </w:hyperlink>
      <w:r>
        <w:rPr>
          <w:rFonts w:ascii="Arial" w:cs="Arial" w:eastAsia="Arial" w:hAnsi="Arial"/>
          <w:sz w:val="17"/>
          <w:szCs w:val="17"/>
          <w:color w:val="auto"/>
        </w:rPr>
        <w:t>, previously filed with the SEC. With the exception of our policy regarding leases (see below), there has been no significant change in our accounting policies since the end of fiscal 2019.</w:t>
      </w:r>
    </w:p>
    <w:p>
      <w:pPr>
        <w:spacing w:after="0" w:line="166" w:lineRule="exact"/>
        <w:rPr>
          <w:sz w:val="20"/>
          <w:szCs w:val="20"/>
          <w:color w:val="auto"/>
        </w:rPr>
      </w:pPr>
    </w:p>
    <w:p>
      <w:pPr>
        <w:ind w:right="620"/>
        <w:spacing w:after="0" w:line="342" w:lineRule="auto"/>
        <w:rPr>
          <w:sz w:val="20"/>
          <w:szCs w:val="20"/>
          <w:color w:val="auto"/>
        </w:rPr>
      </w:pPr>
      <w:r>
        <w:rPr>
          <w:rFonts w:ascii="Arial" w:cs="Arial" w:eastAsia="Arial" w:hAnsi="Arial"/>
          <w:sz w:val="16"/>
          <w:szCs w:val="16"/>
          <w:b w:val="1"/>
          <w:bCs w:val="1"/>
          <w:i w:val="1"/>
          <w:iCs w:val="1"/>
          <w:color w:val="auto"/>
        </w:rPr>
        <w:t xml:space="preserve">Leases. </w:t>
      </w:r>
      <w:r>
        <w:rPr>
          <w:rFonts w:ascii="Arial" w:cs="Arial" w:eastAsia="Arial" w:hAnsi="Arial"/>
          <w:sz w:val="16"/>
          <w:szCs w:val="16"/>
          <w:color w:val="auto"/>
        </w:rPr>
        <w:t>The Company determines if an arrangement is a lease at inception. Right-of-use (“ROU”) assets include operating leases. Lease liabilities for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operating leases are classified in “short-term lease liabilities” and “long-term lease liabilities” in our condensed consolidated balance sheet.</w:t>
      </w:r>
    </w:p>
    <w:p>
      <w:pPr>
        <w:spacing w:after="0" w:line="124"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Operating assets and liabilities are recognized at commencement date based on the present value of the lease payments over the lease term. As most of our leases do not provide an implicit rate, we use our incremental borrowing rate based on the information available at commencement date in determining the present value of lease payments. We use the implicit rate when readily determinable. Lease terms may include options to extend or terminate the lease when it is reasonably certain that we will exercise that option. Lease expense for lease payments is recognized on a straight-line basis over the lease term.</w:t>
      </w:r>
    </w:p>
    <w:p>
      <w:pPr>
        <w:spacing w:after="0" w:line="154"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Lease and non-lease components are generally accounted for separately for real estate leases. For non-real estate leases, we account for the lease and non-lease components as a single lease component.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Accounting Pronouncements</w:t>
      </w:r>
    </w:p>
    <w:p>
      <w:pPr>
        <w:spacing w:after="0" w:line="229" w:lineRule="exact"/>
        <w:rPr>
          <w:sz w:val="20"/>
          <w:szCs w:val="20"/>
          <w:color w:val="auto"/>
        </w:rPr>
      </w:pPr>
    </w:p>
    <w:p>
      <w:pPr>
        <w:ind w:right="240"/>
        <w:spacing w:after="0" w:line="291" w:lineRule="auto"/>
        <w:rPr>
          <w:sz w:val="20"/>
          <w:szCs w:val="20"/>
          <w:color w:val="auto"/>
        </w:rPr>
      </w:pPr>
      <w:r>
        <w:rPr>
          <w:rFonts w:ascii="Arial" w:cs="Arial" w:eastAsia="Arial" w:hAnsi="Arial"/>
          <w:sz w:val="16"/>
          <w:szCs w:val="16"/>
          <w:color w:val="auto"/>
        </w:rPr>
        <w:t xml:space="preserve">In June 2016, the Financial Accounting Standards Board (“FASB”) issued Accounting Standards Update (“ASU”) 2016-13, </w:t>
      </w:r>
      <w:r>
        <w:rPr>
          <w:rFonts w:ascii="Arial" w:cs="Arial" w:eastAsia="Arial" w:hAnsi="Arial"/>
          <w:sz w:val="16"/>
          <w:szCs w:val="16"/>
          <w:i w:val="1"/>
          <w:iCs w:val="1"/>
          <w:color w:val="auto"/>
        </w:rPr>
        <w:t>Financial Instruments - Credit</w:t>
      </w:r>
      <w:r>
        <w:rPr>
          <w:rFonts w:ascii="Arial" w:cs="Arial" w:eastAsia="Arial" w:hAnsi="Arial"/>
          <w:sz w:val="16"/>
          <w:szCs w:val="16"/>
          <w:color w:val="auto"/>
        </w:rPr>
        <w:t xml:space="preserve"> </w:t>
      </w:r>
      <w:r>
        <w:rPr>
          <w:rFonts w:ascii="Arial" w:cs="Arial" w:eastAsia="Arial" w:hAnsi="Arial"/>
          <w:sz w:val="16"/>
          <w:szCs w:val="16"/>
          <w:i w:val="1"/>
          <w:iCs w:val="1"/>
          <w:color w:val="auto"/>
        </w:rPr>
        <w:t>Losses (Topic 326), Measurement of Credit Losses on Financial Instruments</w:t>
      </w:r>
      <w:r>
        <w:rPr>
          <w:rFonts w:ascii="Arial" w:cs="Arial" w:eastAsia="Arial" w:hAnsi="Arial"/>
          <w:sz w:val="16"/>
          <w:szCs w:val="16"/>
          <w:color w:val="auto"/>
        </w:rPr>
        <w:t>. The amendments in this update replace the incurred loss impairment</w:t>
      </w:r>
      <w:r>
        <w:rPr>
          <w:rFonts w:ascii="Arial" w:cs="Arial" w:eastAsia="Arial" w:hAnsi="Arial"/>
          <w:sz w:val="16"/>
          <w:szCs w:val="16"/>
          <w:i w:val="1"/>
          <w:iCs w:val="1"/>
          <w:color w:val="auto"/>
        </w:rPr>
        <w:t xml:space="preserve"> </w:t>
      </w:r>
      <w:r>
        <w:rPr>
          <w:rFonts w:ascii="Arial" w:cs="Arial" w:eastAsia="Arial" w:hAnsi="Arial"/>
          <w:sz w:val="16"/>
          <w:szCs w:val="16"/>
          <w:color w:val="auto"/>
        </w:rPr>
        <w:t>methodology in current GAAP with a methodology that reflects expected credit losses on instruments within its scope, including trade receivables. This update is intended to provide financial statement users with more decision-useful information about the expected credit losses. This ASU is effective for annual periods and interim periods for those annual periods beginning after December 15, 2019, which for us is our fiscal year beginning March 30, 2020. Entities may early adopt beginning after December 15, 2018. Upon adoption, we expect this ASU to impact our method for calculating and estimating our allowance for doubtful accounts, but do not expect it to have a material impact to our financial position or results of operations.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Adopted Accounting Pronouncements</w:t>
      </w:r>
    </w:p>
    <w:p>
      <w:pPr>
        <w:spacing w:after="0" w:line="229"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On April 1, 2019, we adopted ASU 2016-02, which provides new accounting guidance requiring lessees to recognize most leases as assets and liabilities on the balance sheet and disclose key information about leasing arrangements. The new standard</w:t>
      </w:r>
    </w:p>
    <w:p>
      <w:pPr>
        <w:spacing w:after="0" w:line="1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00"/>
          </w:cols>
          <w:pgMar w:left="240" w:top="580" w:right="259" w:bottom="1440" w:gutter="0" w:footer="0" w:header="0"/>
        </w:sectPr>
      </w:pPr>
    </w:p>
    <w:bookmarkStart w:id="8" w:name="page9"/>
    <w:bookmarkEnd w:id="8"/>
    <w:p>
      <w:pPr>
        <w:ind w:right="460"/>
        <w:spacing w:after="0" w:line="312" w:lineRule="auto"/>
        <w:rPr>
          <w:sz w:val="20"/>
          <w:szCs w:val="20"/>
          <w:color w:val="auto"/>
        </w:rPr>
      </w:pPr>
      <w:r>
        <w:rPr>
          <w:rFonts w:ascii="Arial" w:cs="Arial" w:eastAsia="Arial" w:hAnsi="Arial"/>
          <w:sz w:val="16"/>
          <w:szCs w:val="16"/>
          <w:color w:val="auto"/>
        </w:rPr>
        <w:t>establishes a ROU model that requires a lessee to recognize a ROU asset and lease liability on the balance sheet for all leases with a term longer than 12 months. Leases will be classified as finance or operating, with classification affecting the pattern and expense recognition in the income statement. We adopted this ASU using the modified retrospective method. See Note 11 to the condensed consolidated financial statements for further details.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 Revenue</w:t>
      </w:r>
    </w:p>
    <w:p>
      <w:pPr>
        <w:spacing w:after="0" w:line="229"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Our revenue arrangements generally consist of a single performance obligation to transfer promised goods or services. We disaggregate revenues from contracts with customers by operating segments as well as types of product sold. Reporting by operating segment is pertinent to understanding our revenues, as it aligns to how we review the financial performance of our operations. Types of products sold within each operating segment help us to further evaluate the financial performance of our segments.</w:t>
      </w:r>
    </w:p>
    <w:p>
      <w:pPr>
        <w:spacing w:after="0" w:line="187"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tables disaggregate external customer net sales by major revenue stream for the three and six months ended September 29, 2019 and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September 30, 2018:</w:t>
      </w:r>
    </w:p>
    <w:p>
      <w:pPr>
        <w:sectPr>
          <w:pgSz w:w="11900" w:h="16838" w:orient="portrait"/>
          <w:cols w:equalWidth="0" w:num="1">
            <w:col w:w="11420"/>
          </w:cols>
          <w:pgMar w:left="240" w:top="584"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(In thousands)</w:t>
      </w:r>
    </w:p>
    <w:p>
      <w:pPr>
        <w:spacing w:after="0" w:line="50" w:lineRule="exact"/>
        <w:rPr>
          <w:sz w:val="20"/>
          <w:szCs w:val="20"/>
          <w:color w:val="auto"/>
        </w:rPr>
      </w:pPr>
    </w:p>
    <w:p>
      <w:pPr>
        <w:ind w:left="40" w:right="1280"/>
        <w:spacing w:after="0"/>
        <w:rPr>
          <w:sz w:val="20"/>
          <w:szCs w:val="20"/>
          <w:color w:val="auto"/>
        </w:rPr>
      </w:pPr>
      <w:r>
        <w:rPr>
          <w:rFonts w:ascii="Arial" w:cs="Arial" w:eastAsia="Arial" w:hAnsi="Arial"/>
          <w:sz w:val="18"/>
          <w:szCs w:val="18"/>
          <w:color w:val="auto"/>
        </w:rPr>
        <w:t xml:space="preserve">Bulk / Distributed specialty products </w:t>
      </w:r>
      <w:r>
        <w:rPr>
          <w:rFonts w:ascii="Arial" w:cs="Arial" w:eastAsia="Arial" w:hAnsi="Arial"/>
          <w:sz w:val="25"/>
          <w:szCs w:val="25"/>
          <w:color w:val="auto"/>
          <w:vertAlign w:val="superscript"/>
        </w:rPr>
        <w:t>(1)</w:t>
      </w:r>
      <w:r>
        <w:rPr>
          <w:rFonts w:ascii="Arial" w:cs="Arial" w:eastAsia="Arial" w:hAnsi="Arial"/>
          <w:sz w:val="18"/>
          <w:szCs w:val="18"/>
          <w:color w:val="auto"/>
        </w:rPr>
        <w:t xml:space="preserve"> Manufactured, blended or repackaged products </w:t>
      </w:r>
      <w:r>
        <w:rPr>
          <w:rFonts w:ascii="Arial" w:cs="Arial" w:eastAsia="Arial" w:hAnsi="Arial"/>
          <w:sz w:val="25"/>
          <w:szCs w:val="25"/>
          <w:color w:val="auto"/>
          <w:vertAlign w:val="superscript"/>
        </w:rPr>
        <w:t>(2)</w:t>
      </w:r>
      <w:r>
        <w:rPr>
          <w:rFonts w:ascii="Arial" w:cs="Arial" w:eastAsia="Arial" w:hAnsi="Arial"/>
          <w:sz w:val="18"/>
          <w:szCs w:val="18"/>
          <w:color w:val="auto"/>
        </w:rPr>
        <w:t xml:space="preserve"> Other</w:t>
      </w:r>
    </w:p>
    <w:p>
      <w:pPr>
        <w:spacing w:after="0" w:line="69" w:lineRule="exact"/>
        <w:rPr>
          <w:sz w:val="20"/>
          <w:szCs w:val="20"/>
          <w:color w:val="auto"/>
        </w:rPr>
      </w:pPr>
    </w:p>
    <w:p>
      <w:pPr>
        <w:ind w:left="40"/>
        <w:spacing w:after="0"/>
        <w:rPr>
          <w:sz w:val="20"/>
          <w:szCs w:val="20"/>
          <w:color w:val="auto"/>
        </w:rPr>
      </w:pPr>
      <w:r>
        <w:rPr>
          <w:rFonts w:ascii="Arial" w:cs="Arial" w:eastAsia="Arial" w:hAnsi="Arial"/>
          <w:sz w:val="18"/>
          <w:szCs w:val="18"/>
          <w:color w:val="auto"/>
        </w:rPr>
        <w:t>Total external customer sales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(In thousands)</w:t>
      </w:r>
    </w:p>
    <w:p>
      <w:pPr>
        <w:spacing w:after="0" w:line="50" w:lineRule="exact"/>
        <w:rPr>
          <w:sz w:val="20"/>
          <w:szCs w:val="20"/>
          <w:color w:val="auto"/>
        </w:rPr>
      </w:pPr>
    </w:p>
    <w:p>
      <w:pPr>
        <w:ind w:left="40" w:right="1280"/>
        <w:spacing w:after="0"/>
        <w:rPr>
          <w:sz w:val="20"/>
          <w:szCs w:val="20"/>
          <w:color w:val="auto"/>
        </w:rPr>
      </w:pPr>
      <w:r>
        <w:rPr>
          <w:rFonts w:ascii="Arial" w:cs="Arial" w:eastAsia="Arial" w:hAnsi="Arial"/>
          <w:sz w:val="18"/>
          <w:szCs w:val="18"/>
          <w:color w:val="auto"/>
        </w:rPr>
        <w:t xml:space="preserve">Bulk / Distributed specialty products </w:t>
      </w:r>
      <w:r>
        <w:rPr>
          <w:rFonts w:ascii="Arial" w:cs="Arial" w:eastAsia="Arial" w:hAnsi="Arial"/>
          <w:sz w:val="25"/>
          <w:szCs w:val="25"/>
          <w:color w:val="auto"/>
          <w:vertAlign w:val="superscript"/>
        </w:rPr>
        <w:t>(1)</w:t>
      </w:r>
      <w:r>
        <w:rPr>
          <w:rFonts w:ascii="Arial" w:cs="Arial" w:eastAsia="Arial" w:hAnsi="Arial"/>
          <w:sz w:val="18"/>
          <w:szCs w:val="18"/>
          <w:color w:val="auto"/>
        </w:rPr>
        <w:t xml:space="preserve"> Manufactured, blended or repackaged products </w:t>
      </w:r>
      <w:r>
        <w:rPr>
          <w:rFonts w:ascii="Arial" w:cs="Arial" w:eastAsia="Arial" w:hAnsi="Arial"/>
          <w:sz w:val="25"/>
          <w:szCs w:val="25"/>
          <w:color w:val="auto"/>
          <w:vertAlign w:val="superscript"/>
        </w:rPr>
        <w:t>(2)</w:t>
      </w:r>
      <w:r>
        <w:rPr>
          <w:rFonts w:ascii="Arial" w:cs="Arial" w:eastAsia="Arial" w:hAnsi="Arial"/>
          <w:sz w:val="18"/>
          <w:szCs w:val="18"/>
          <w:color w:val="auto"/>
        </w:rPr>
        <w:t xml:space="preserve"> Other</w:t>
      </w:r>
    </w:p>
    <w:p>
      <w:pPr>
        <w:spacing w:after="0" w:line="69" w:lineRule="exact"/>
        <w:rPr>
          <w:sz w:val="20"/>
          <w:szCs w:val="20"/>
          <w:color w:val="auto"/>
        </w:rPr>
      </w:pPr>
    </w:p>
    <w:p>
      <w:pPr>
        <w:ind w:left="40"/>
        <w:spacing w:after="0"/>
        <w:rPr>
          <w:sz w:val="20"/>
          <w:szCs w:val="20"/>
          <w:color w:val="auto"/>
        </w:rPr>
      </w:pPr>
      <w:r>
        <w:rPr>
          <w:rFonts w:ascii="Arial" w:cs="Arial" w:eastAsia="Arial" w:hAnsi="Arial"/>
          <w:sz w:val="18"/>
          <w:szCs w:val="18"/>
          <w:color w:val="auto"/>
        </w:rPr>
        <w:t>Total external customer sales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(In thousands)</w:t>
      </w:r>
    </w:p>
    <w:p>
      <w:pPr>
        <w:spacing w:after="0" w:line="50" w:lineRule="exact"/>
        <w:rPr>
          <w:sz w:val="20"/>
          <w:szCs w:val="20"/>
          <w:color w:val="auto"/>
        </w:rPr>
      </w:pPr>
    </w:p>
    <w:p>
      <w:pPr>
        <w:ind w:left="40" w:right="1280"/>
        <w:spacing w:after="0"/>
        <w:rPr>
          <w:sz w:val="20"/>
          <w:szCs w:val="20"/>
          <w:color w:val="auto"/>
        </w:rPr>
      </w:pPr>
      <w:r>
        <w:rPr>
          <w:rFonts w:ascii="Arial" w:cs="Arial" w:eastAsia="Arial" w:hAnsi="Arial"/>
          <w:sz w:val="18"/>
          <w:szCs w:val="18"/>
          <w:color w:val="auto"/>
        </w:rPr>
        <w:t xml:space="preserve">Bulk / Distributed specialty products </w:t>
      </w:r>
      <w:r>
        <w:rPr>
          <w:rFonts w:ascii="Arial" w:cs="Arial" w:eastAsia="Arial" w:hAnsi="Arial"/>
          <w:sz w:val="25"/>
          <w:szCs w:val="25"/>
          <w:color w:val="auto"/>
          <w:vertAlign w:val="superscript"/>
        </w:rPr>
        <w:t>(1)</w:t>
      </w:r>
      <w:r>
        <w:rPr>
          <w:rFonts w:ascii="Arial" w:cs="Arial" w:eastAsia="Arial" w:hAnsi="Arial"/>
          <w:sz w:val="18"/>
          <w:szCs w:val="18"/>
          <w:color w:val="auto"/>
        </w:rPr>
        <w:t xml:space="preserve"> Manufactured, blended or repackaged products </w:t>
      </w:r>
      <w:r>
        <w:rPr>
          <w:rFonts w:ascii="Arial" w:cs="Arial" w:eastAsia="Arial" w:hAnsi="Arial"/>
          <w:sz w:val="25"/>
          <w:szCs w:val="25"/>
          <w:color w:val="auto"/>
          <w:vertAlign w:val="superscript"/>
        </w:rPr>
        <w:t>(2)</w:t>
      </w:r>
      <w:r>
        <w:rPr>
          <w:rFonts w:ascii="Arial" w:cs="Arial" w:eastAsia="Arial" w:hAnsi="Arial"/>
          <w:sz w:val="18"/>
          <w:szCs w:val="18"/>
          <w:color w:val="auto"/>
        </w:rPr>
        <w:t xml:space="preserve"> Other</w:t>
      </w:r>
    </w:p>
    <w:p>
      <w:pPr>
        <w:spacing w:after="0" w:line="69" w:lineRule="exact"/>
        <w:rPr>
          <w:sz w:val="20"/>
          <w:szCs w:val="20"/>
          <w:color w:val="auto"/>
        </w:rPr>
      </w:pPr>
    </w:p>
    <w:p>
      <w:pPr>
        <w:ind w:left="40"/>
        <w:spacing w:after="0"/>
        <w:rPr>
          <w:sz w:val="20"/>
          <w:szCs w:val="20"/>
          <w:color w:val="auto"/>
        </w:rPr>
      </w:pPr>
      <w:r>
        <w:rPr>
          <w:rFonts w:ascii="Arial" w:cs="Arial" w:eastAsia="Arial" w:hAnsi="Arial"/>
          <w:sz w:val="18"/>
          <w:szCs w:val="18"/>
          <w:color w:val="auto"/>
        </w:rPr>
        <w:t>Total external customer sales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(In thousands)</w:t>
      </w:r>
    </w:p>
    <w:p>
      <w:pPr>
        <w:spacing w:after="0" w:line="50" w:lineRule="exact"/>
        <w:rPr>
          <w:sz w:val="20"/>
          <w:szCs w:val="20"/>
          <w:color w:val="auto"/>
        </w:rPr>
      </w:pPr>
    </w:p>
    <w:p>
      <w:pPr>
        <w:ind w:left="40" w:right="1280"/>
        <w:spacing w:after="0"/>
        <w:rPr>
          <w:sz w:val="20"/>
          <w:szCs w:val="20"/>
          <w:color w:val="auto"/>
        </w:rPr>
      </w:pPr>
      <w:r>
        <w:rPr>
          <w:rFonts w:ascii="Arial" w:cs="Arial" w:eastAsia="Arial" w:hAnsi="Arial"/>
          <w:sz w:val="18"/>
          <w:szCs w:val="18"/>
          <w:color w:val="auto"/>
        </w:rPr>
        <w:t xml:space="preserve">Bulk / Distributed specialty products </w:t>
      </w:r>
      <w:r>
        <w:rPr>
          <w:rFonts w:ascii="Arial" w:cs="Arial" w:eastAsia="Arial" w:hAnsi="Arial"/>
          <w:sz w:val="25"/>
          <w:szCs w:val="25"/>
          <w:color w:val="auto"/>
          <w:vertAlign w:val="superscript"/>
        </w:rPr>
        <w:t>(1)</w:t>
      </w:r>
      <w:r>
        <w:rPr>
          <w:rFonts w:ascii="Arial" w:cs="Arial" w:eastAsia="Arial" w:hAnsi="Arial"/>
          <w:sz w:val="18"/>
          <w:szCs w:val="18"/>
          <w:color w:val="auto"/>
        </w:rPr>
        <w:t xml:space="preserve"> Manufactured, blended or repackaged products </w:t>
      </w:r>
      <w:r>
        <w:rPr>
          <w:rFonts w:ascii="Arial" w:cs="Arial" w:eastAsia="Arial" w:hAnsi="Arial"/>
          <w:sz w:val="25"/>
          <w:szCs w:val="25"/>
          <w:color w:val="auto"/>
          <w:vertAlign w:val="superscript"/>
        </w:rPr>
        <w:t>(2)</w:t>
      </w:r>
      <w:r>
        <w:rPr>
          <w:rFonts w:ascii="Arial" w:cs="Arial" w:eastAsia="Arial" w:hAnsi="Arial"/>
          <w:sz w:val="18"/>
          <w:szCs w:val="18"/>
          <w:color w:val="auto"/>
        </w:rPr>
        <w:t xml:space="preserve"> Other</w:t>
      </w:r>
    </w:p>
    <w:p>
      <w:pPr>
        <w:spacing w:after="0" w:line="69" w:lineRule="exact"/>
        <w:rPr>
          <w:sz w:val="20"/>
          <w:szCs w:val="20"/>
          <w:color w:val="auto"/>
        </w:rPr>
      </w:pPr>
    </w:p>
    <w:p>
      <w:pPr>
        <w:ind w:left="40"/>
        <w:spacing w:after="0"/>
        <w:rPr>
          <w:sz w:val="20"/>
          <w:szCs w:val="20"/>
          <w:color w:val="auto"/>
        </w:rPr>
      </w:pPr>
      <w:r>
        <w:rPr>
          <w:rFonts w:ascii="Arial" w:cs="Arial" w:eastAsia="Arial" w:hAnsi="Arial"/>
          <w:sz w:val="18"/>
          <w:szCs w:val="18"/>
          <w:color w:val="auto"/>
        </w:rPr>
        <w:t>Total external customer sales</w:t>
      </w:r>
    </w:p>
    <w:p>
      <w:pPr>
        <w:spacing w:after="0" w:line="20" w:lineRule="exact"/>
        <w:rPr>
          <w:sz w:val="20"/>
          <w:szCs w:val="20"/>
          <w:color w:val="auto"/>
        </w:rPr>
      </w:pPr>
      <w:r>
        <w:rPr>
          <w:sz w:val="20"/>
          <w:szCs w:val="20"/>
          <w:color w:val="auto"/>
        </w:rPr>
        <w:br w:type="column"/>
      </w:r>
    </w:p>
    <w:p>
      <w:pPr>
        <w:spacing w:after="0" w:line="133" w:lineRule="exact"/>
        <w:rPr>
          <w:sz w:val="20"/>
          <w:szCs w:val="20"/>
          <w:color w:val="auto"/>
        </w:rPr>
      </w:pPr>
    </w:p>
    <w:p>
      <w:pPr>
        <w:ind w:left="1340"/>
        <w:spacing w:after="0"/>
        <w:rPr>
          <w:sz w:val="20"/>
          <w:szCs w:val="20"/>
          <w:color w:val="auto"/>
        </w:rPr>
      </w:pPr>
      <w:r>
        <w:rPr>
          <w:rFonts w:ascii="Arial" w:cs="Arial" w:eastAsia="Arial" w:hAnsi="Arial"/>
          <w:sz w:val="18"/>
          <w:szCs w:val="18"/>
          <w:b w:val="1"/>
          <w:bCs w:val="1"/>
          <w:color w:val="auto"/>
        </w:rPr>
        <w:t>Three months ended September 29,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34290</wp:posOffset>
            </wp:positionV>
            <wp:extent cx="368744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3">
                      <a:extLst>
                        <a:ext uri="{28A0092B-C50C-407E-A947-70E740481C1C}"/>
                      </a:extLst>
                    </a:blip>
                    <a:srcRect/>
                    <a:stretch>
                      <a:fillRect/>
                    </a:stretch>
                  </pic:blipFill>
                  <pic:spPr bwMode="auto">
                    <a:xfrm>
                      <a:off x="0" y="0"/>
                      <a:ext cx="3687445" cy="8890"/>
                    </a:xfrm>
                    <a:prstGeom prst="rect">
                      <a:avLst/>
                    </a:prstGeom>
                    <a:noFill/>
                  </pic:spPr>
                </pic:pic>
              </a:graphicData>
            </a:graphic>
          </wp:anchor>
        </w:drawing>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5"/>
              </w:rPr>
              <w:t>Water</w:t>
            </w:r>
          </w:p>
        </w:tc>
        <w:tc>
          <w:tcPr>
            <w:tcW w:w="180" w:type="dxa"/>
            <w:vAlign w:val="bottom"/>
          </w:tcPr>
          <w:p>
            <w:pPr>
              <w:spacing w:after="0"/>
              <w:rPr>
                <w:sz w:val="18"/>
                <w:szCs w:val="18"/>
                <w:color w:val="auto"/>
              </w:rPr>
            </w:pPr>
          </w:p>
        </w:tc>
        <w:tc>
          <w:tcPr>
            <w:tcW w:w="130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3"/>
              </w:rPr>
              <w:t>Health and</w:t>
            </w: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34"/>
        </w:trPr>
        <w:tc>
          <w:tcPr>
            <w:tcW w:w="200" w:type="dxa"/>
            <w:vAlign w:val="bottom"/>
          </w:tcPr>
          <w:p>
            <w:pPr>
              <w:spacing w:after="0"/>
              <w:rPr>
                <w:sz w:val="20"/>
                <w:szCs w:val="20"/>
                <w:color w:val="auto"/>
              </w:rPr>
            </w:pPr>
          </w:p>
        </w:tc>
        <w:tc>
          <w:tcPr>
            <w:tcW w:w="1300" w:type="dxa"/>
            <w:vAlign w:val="bottom"/>
            <w:gridSpan w:val="2"/>
          </w:tcPr>
          <w:p>
            <w:pPr>
              <w:ind w:left="100"/>
              <w:spacing w:after="0"/>
              <w:rPr>
                <w:sz w:val="20"/>
                <w:szCs w:val="20"/>
                <w:color w:val="auto"/>
              </w:rPr>
            </w:pPr>
            <w:r>
              <w:rPr>
                <w:rFonts w:ascii="Arial" w:cs="Arial" w:eastAsia="Arial" w:hAnsi="Arial"/>
                <w:sz w:val="18"/>
                <w:szCs w:val="18"/>
                <w:b w:val="1"/>
                <w:bCs w:val="1"/>
                <w:color w:val="auto"/>
              </w:rPr>
              <w:t>Industrial</w:t>
            </w:r>
          </w:p>
        </w:tc>
        <w:tc>
          <w:tcPr>
            <w:tcW w:w="200" w:type="dxa"/>
            <w:vAlign w:val="bottom"/>
          </w:tcPr>
          <w:p>
            <w:pPr>
              <w:spacing w:after="0"/>
              <w:rPr>
                <w:sz w:val="20"/>
                <w:szCs w:val="20"/>
                <w:color w:val="auto"/>
              </w:rPr>
            </w:pPr>
          </w:p>
        </w:tc>
        <w:tc>
          <w:tcPr>
            <w:tcW w:w="126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1"/>
              </w:rPr>
              <w:t>Treatment</w:t>
            </w:r>
          </w:p>
        </w:tc>
        <w:tc>
          <w:tcPr>
            <w:tcW w:w="180" w:type="dxa"/>
            <w:vAlign w:val="bottom"/>
          </w:tcPr>
          <w:p>
            <w:pPr>
              <w:spacing w:after="0"/>
              <w:rPr>
                <w:sz w:val="20"/>
                <w:szCs w:val="20"/>
                <w:color w:val="auto"/>
              </w:rPr>
            </w:pPr>
          </w:p>
        </w:tc>
        <w:tc>
          <w:tcPr>
            <w:tcW w:w="130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5"/>
              </w:rPr>
              <w:t>Nutrition</w:t>
            </w:r>
          </w:p>
        </w:tc>
        <w:tc>
          <w:tcPr>
            <w:tcW w:w="300" w:type="dxa"/>
            <w:vAlign w:val="bottom"/>
          </w:tcPr>
          <w:p>
            <w:pPr>
              <w:spacing w:after="0"/>
              <w:rPr>
                <w:sz w:val="20"/>
                <w:szCs w:val="20"/>
                <w:color w:val="auto"/>
              </w:rPr>
            </w:pPr>
          </w:p>
        </w:tc>
        <w:tc>
          <w:tcPr>
            <w:tcW w:w="1060" w:type="dxa"/>
            <w:vAlign w:val="bottom"/>
          </w:tcPr>
          <w:p>
            <w:pPr>
              <w:jc w:val="right"/>
              <w:ind w:right="390"/>
              <w:spacing w:after="0"/>
              <w:rPr>
                <w:sz w:val="20"/>
                <w:szCs w:val="20"/>
                <w:color w:val="auto"/>
              </w:rPr>
            </w:pPr>
            <w:r>
              <w:rPr>
                <w:rFonts w:ascii="Arial" w:cs="Arial" w:eastAsia="Arial" w:hAnsi="Arial"/>
                <w:sz w:val="18"/>
                <w:szCs w:val="18"/>
                <w:b w:val="1"/>
                <w:bCs w:val="1"/>
                <w:color w:val="auto"/>
              </w:rPr>
              <w:t>Total</w:t>
            </w:r>
          </w:p>
        </w:tc>
      </w:tr>
      <w:tr>
        <w:trPr>
          <w:trHeight w:val="27"/>
        </w:trPr>
        <w:tc>
          <w:tcPr>
            <w:tcW w:w="2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37"/>
        </w:trPr>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11,700</w:t>
            </w:r>
          </w:p>
        </w:tc>
        <w:tc>
          <w:tcPr>
            <w:tcW w:w="120" w:type="dxa"/>
            <w:vAlign w:val="bottom"/>
          </w:tcPr>
          <w:p>
            <w:pPr>
              <w:spacing w:after="0"/>
              <w:rPr>
                <w:sz w:val="20"/>
                <w:szCs w:val="20"/>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4,971</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22,892</w:t>
            </w:r>
          </w:p>
        </w:tc>
        <w:tc>
          <w:tcPr>
            <w:tcW w:w="120" w:type="dxa"/>
            <w:vAlign w:val="bottom"/>
          </w:tcPr>
          <w:p>
            <w:pPr>
              <w:spacing w:after="0"/>
              <w:rPr>
                <w:sz w:val="20"/>
                <w:szCs w:val="20"/>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39,563</w:t>
            </w:r>
          </w:p>
        </w:tc>
      </w:tr>
      <w:tr>
        <w:trPr>
          <w:trHeight w:val="270"/>
        </w:trPr>
        <w:tc>
          <w:tcPr>
            <w:tcW w:w="200" w:type="dxa"/>
            <w:vAlign w:val="bottom"/>
          </w:tcPr>
          <w:p>
            <w:pPr>
              <w:spacing w:after="0"/>
              <w:rPr>
                <w:sz w:val="23"/>
                <w:szCs w:val="23"/>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55,506</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40,487</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3,189</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99,182</w:t>
            </w:r>
          </w:p>
        </w:tc>
      </w:tr>
      <w:tr>
        <w:trPr>
          <w:trHeight w:val="270"/>
        </w:trPr>
        <w:tc>
          <w:tcPr>
            <w:tcW w:w="200" w:type="dxa"/>
            <w:vAlign w:val="bottom"/>
          </w:tcPr>
          <w:p>
            <w:pPr>
              <w:spacing w:after="0"/>
              <w:rPr>
                <w:sz w:val="23"/>
                <w:szCs w:val="23"/>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884</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410</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1,298</w:t>
            </w:r>
          </w:p>
        </w:tc>
      </w:tr>
      <w:tr>
        <w:trPr>
          <w:trHeight w:val="27"/>
        </w:trPr>
        <w:tc>
          <w:tcPr>
            <w:tcW w:w="2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37"/>
        </w:trPr>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68,090</w:t>
            </w:r>
          </w:p>
        </w:tc>
        <w:tc>
          <w:tcPr>
            <w:tcW w:w="120" w:type="dxa"/>
            <w:vAlign w:val="bottom"/>
          </w:tcPr>
          <w:p>
            <w:pPr>
              <w:spacing w:after="0"/>
              <w:rPr>
                <w:sz w:val="20"/>
                <w:szCs w:val="20"/>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45,868</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26,085</w:t>
            </w:r>
          </w:p>
        </w:tc>
        <w:tc>
          <w:tcPr>
            <w:tcW w:w="120" w:type="dxa"/>
            <w:vAlign w:val="bottom"/>
          </w:tcPr>
          <w:p>
            <w:pPr>
              <w:spacing w:after="0"/>
              <w:rPr>
                <w:sz w:val="20"/>
                <w:szCs w:val="20"/>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140,043</w:t>
            </w:r>
          </w:p>
        </w:tc>
      </w:tr>
      <w:tr>
        <w:trPr>
          <w:trHeight w:val="27"/>
        </w:trPr>
        <w:tc>
          <w:tcPr>
            <w:tcW w:w="2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0"/>
        </w:trPr>
        <w:tc>
          <w:tcPr>
            <w:tcW w:w="2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-3562985</wp:posOffset>
            </wp:positionH>
            <wp:positionV relativeFrom="paragraph">
              <wp:posOffset>-728345</wp:posOffset>
            </wp:positionV>
            <wp:extent cx="7246620" cy="18034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4">
                      <a:extLst>
                        <a:ext uri="{28A0092B-C50C-407E-A947-70E740481C1C}"/>
                      </a:extLst>
                    </a:blip>
                    <a:srcRect/>
                    <a:stretch>
                      <a:fillRect/>
                    </a:stretch>
                  </pic:blipFill>
                  <pic:spPr bwMode="auto">
                    <a:xfrm>
                      <a:off x="0" y="0"/>
                      <a:ext cx="7246620" cy="180340"/>
                    </a:xfrm>
                    <a:prstGeom prst="rect">
                      <a:avLst/>
                    </a:prstGeom>
                    <a:noFill/>
                  </pic:spPr>
                </pic:pic>
              </a:graphicData>
            </a:graphic>
          </wp:anchor>
        </w:drawing>
        <w:drawing>
          <wp:anchor simplePos="0" relativeHeight="251657728" behindDoc="1" locked="0" layoutInCell="0" allowOverlap="1">
            <wp:simplePos x="0" y="0"/>
            <wp:positionH relativeFrom="column">
              <wp:posOffset>-3562985</wp:posOffset>
            </wp:positionH>
            <wp:positionV relativeFrom="paragraph">
              <wp:posOffset>-376555</wp:posOffset>
            </wp:positionV>
            <wp:extent cx="7246620" cy="1714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5">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313" w:lineRule="exact"/>
        <w:rPr>
          <w:sz w:val="20"/>
          <w:szCs w:val="20"/>
          <w:color w:val="auto"/>
        </w:rPr>
      </w:pPr>
    </w:p>
    <w:p>
      <w:pPr>
        <w:ind w:left="1340"/>
        <w:spacing w:after="0"/>
        <w:rPr>
          <w:sz w:val="20"/>
          <w:szCs w:val="20"/>
          <w:color w:val="auto"/>
        </w:rPr>
      </w:pPr>
      <w:r>
        <w:rPr>
          <w:rFonts w:ascii="Arial" w:cs="Arial" w:eastAsia="Arial" w:hAnsi="Arial"/>
          <w:sz w:val="18"/>
          <w:szCs w:val="18"/>
          <w:b w:val="1"/>
          <w:bCs w:val="1"/>
          <w:color w:val="auto"/>
        </w:rPr>
        <w:t>Three months ended September 30,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34290</wp:posOffset>
            </wp:positionV>
            <wp:extent cx="3687445"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6">
                      <a:extLst>
                        <a:ext uri="{28A0092B-C50C-407E-A947-70E740481C1C}"/>
                      </a:extLst>
                    </a:blip>
                    <a:srcRect/>
                    <a:stretch>
                      <a:fillRect/>
                    </a:stretch>
                  </pic:blipFill>
                  <pic:spPr bwMode="auto">
                    <a:xfrm>
                      <a:off x="0" y="0"/>
                      <a:ext cx="3687445" cy="8890"/>
                    </a:xfrm>
                    <a:prstGeom prst="rect">
                      <a:avLst/>
                    </a:prstGeom>
                    <a:noFill/>
                  </pic:spPr>
                </pic:pic>
              </a:graphicData>
            </a:graphic>
          </wp:anchor>
        </w:drawing>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5"/>
              </w:rPr>
              <w:t>Water</w:t>
            </w:r>
          </w:p>
        </w:tc>
        <w:tc>
          <w:tcPr>
            <w:tcW w:w="180" w:type="dxa"/>
            <w:vAlign w:val="bottom"/>
          </w:tcPr>
          <w:p>
            <w:pPr>
              <w:spacing w:after="0"/>
              <w:rPr>
                <w:sz w:val="18"/>
                <w:szCs w:val="18"/>
                <w:color w:val="auto"/>
              </w:rPr>
            </w:pPr>
          </w:p>
        </w:tc>
        <w:tc>
          <w:tcPr>
            <w:tcW w:w="130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3"/>
              </w:rPr>
              <w:t>Health and</w:t>
            </w: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34"/>
        </w:trPr>
        <w:tc>
          <w:tcPr>
            <w:tcW w:w="200" w:type="dxa"/>
            <w:vAlign w:val="bottom"/>
          </w:tcPr>
          <w:p>
            <w:pPr>
              <w:spacing w:after="0"/>
              <w:rPr>
                <w:sz w:val="20"/>
                <w:szCs w:val="20"/>
                <w:color w:val="auto"/>
              </w:rPr>
            </w:pPr>
          </w:p>
        </w:tc>
        <w:tc>
          <w:tcPr>
            <w:tcW w:w="1300" w:type="dxa"/>
            <w:vAlign w:val="bottom"/>
            <w:gridSpan w:val="2"/>
          </w:tcPr>
          <w:p>
            <w:pPr>
              <w:ind w:left="100"/>
              <w:spacing w:after="0"/>
              <w:rPr>
                <w:sz w:val="20"/>
                <w:szCs w:val="20"/>
                <w:color w:val="auto"/>
              </w:rPr>
            </w:pPr>
            <w:r>
              <w:rPr>
                <w:rFonts w:ascii="Arial" w:cs="Arial" w:eastAsia="Arial" w:hAnsi="Arial"/>
                <w:sz w:val="18"/>
                <w:szCs w:val="18"/>
                <w:b w:val="1"/>
                <w:bCs w:val="1"/>
                <w:color w:val="auto"/>
              </w:rPr>
              <w:t>Industrial</w:t>
            </w:r>
          </w:p>
        </w:tc>
        <w:tc>
          <w:tcPr>
            <w:tcW w:w="200" w:type="dxa"/>
            <w:vAlign w:val="bottom"/>
          </w:tcPr>
          <w:p>
            <w:pPr>
              <w:spacing w:after="0"/>
              <w:rPr>
                <w:sz w:val="20"/>
                <w:szCs w:val="20"/>
                <w:color w:val="auto"/>
              </w:rPr>
            </w:pPr>
          </w:p>
        </w:tc>
        <w:tc>
          <w:tcPr>
            <w:tcW w:w="126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1"/>
              </w:rPr>
              <w:t>Treatment</w:t>
            </w:r>
          </w:p>
        </w:tc>
        <w:tc>
          <w:tcPr>
            <w:tcW w:w="180" w:type="dxa"/>
            <w:vAlign w:val="bottom"/>
          </w:tcPr>
          <w:p>
            <w:pPr>
              <w:spacing w:after="0"/>
              <w:rPr>
                <w:sz w:val="20"/>
                <w:szCs w:val="20"/>
                <w:color w:val="auto"/>
              </w:rPr>
            </w:pPr>
          </w:p>
        </w:tc>
        <w:tc>
          <w:tcPr>
            <w:tcW w:w="130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5"/>
              </w:rPr>
              <w:t>Nutrition</w:t>
            </w:r>
          </w:p>
        </w:tc>
        <w:tc>
          <w:tcPr>
            <w:tcW w:w="300" w:type="dxa"/>
            <w:vAlign w:val="bottom"/>
          </w:tcPr>
          <w:p>
            <w:pPr>
              <w:spacing w:after="0"/>
              <w:rPr>
                <w:sz w:val="20"/>
                <w:szCs w:val="20"/>
                <w:color w:val="auto"/>
              </w:rPr>
            </w:pPr>
          </w:p>
        </w:tc>
        <w:tc>
          <w:tcPr>
            <w:tcW w:w="1060" w:type="dxa"/>
            <w:vAlign w:val="bottom"/>
          </w:tcPr>
          <w:p>
            <w:pPr>
              <w:jc w:val="right"/>
              <w:ind w:right="390"/>
              <w:spacing w:after="0"/>
              <w:rPr>
                <w:sz w:val="20"/>
                <w:szCs w:val="20"/>
                <w:color w:val="auto"/>
              </w:rPr>
            </w:pPr>
            <w:r>
              <w:rPr>
                <w:rFonts w:ascii="Arial" w:cs="Arial" w:eastAsia="Arial" w:hAnsi="Arial"/>
                <w:sz w:val="18"/>
                <w:szCs w:val="18"/>
                <w:b w:val="1"/>
                <w:bCs w:val="1"/>
                <w:color w:val="auto"/>
              </w:rPr>
              <w:t>Total</w:t>
            </w:r>
          </w:p>
        </w:tc>
      </w:tr>
      <w:tr>
        <w:trPr>
          <w:trHeight w:val="27"/>
        </w:trPr>
        <w:tc>
          <w:tcPr>
            <w:tcW w:w="2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37"/>
        </w:trPr>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15,307</w:t>
            </w:r>
          </w:p>
        </w:tc>
        <w:tc>
          <w:tcPr>
            <w:tcW w:w="120" w:type="dxa"/>
            <w:vAlign w:val="bottom"/>
          </w:tcPr>
          <w:p>
            <w:pPr>
              <w:spacing w:after="0"/>
              <w:rPr>
                <w:sz w:val="20"/>
                <w:szCs w:val="20"/>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5,982</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29,624</w:t>
            </w:r>
          </w:p>
        </w:tc>
        <w:tc>
          <w:tcPr>
            <w:tcW w:w="120" w:type="dxa"/>
            <w:vAlign w:val="bottom"/>
          </w:tcPr>
          <w:p>
            <w:pPr>
              <w:spacing w:after="0"/>
              <w:rPr>
                <w:sz w:val="20"/>
                <w:szCs w:val="20"/>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50,913</w:t>
            </w:r>
          </w:p>
        </w:tc>
      </w:tr>
      <w:tr>
        <w:trPr>
          <w:trHeight w:val="270"/>
        </w:trPr>
        <w:tc>
          <w:tcPr>
            <w:tcW w:w="200" w:type="dxa"/>
            <w:vAlign w:val="bottom"/>
          </w:tcPr>
          <w:p>
            <w:pPr>
              <w:spacing w:after="0"/>
              <w:rPr>
                <w:sz w:val="23"/>
                <w:szCs w:val="23"/>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53,204</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36,305</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3,499</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93,008</w:t>
            </w:r>
          </w:p>
        </w:tc>
      </w:tr>
      <w:tr>
        <w:trPr>
          <w:trHeight w:val="270"/>
        </w:trPr>
        <w:tc>
          <w:tcPr>
            <w:tcW w:w="200" w:type="dxa"/>
            <w:vAlign w:val="bottom"/>
          </w:tcPr>
          <w:p>
            <w:pPr>
              <w:spacing w:after="0"/>
              <w:rPr>
                <w:sz w:val="23"/>
                <w:szCs w:val="23"/>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891</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426</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86</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1,403</w:t>
            </w:r>
          </w:p>
        </w:tc>
      </w:tr>
      <w:tr>
        <w:trPr>
          <w:trHeight w:val="27"/>
        </w:trPr>
        <w:tc>
          <w:tcPr>
            <w:tcW w:w="2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37"/>
        </w:trPr>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69,402</w:t>
            </w:r>
          </w:p>
        </w:tc>
        <w:tc>
          <w:tcPr>
            <w:tcW w:w="120" w:type="dxa"/>
            <w:vAlign w:val="bottom"/>
          </w:tcPr>
          <w:p>
            <w:pPr>
              <w:spacing w:after="0"/>
              <w:rPr>
                <w:sz w:val="20"/>
                <w:szCs w:val="20"/>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42,713</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33,209</w:t>
            </w:r>
          </w:p>
        </w:tc>
        <w:tc>
          <w:tcPr>
            <w:tcW w:w="120" w:type="dxa"/>
            <w:vAlign w:val="bottom"/>
          </w:tcPr>
          <w:p>
            <w:pPr>
              <w:spacing w:after="0"/>
              <w:rPr>
                <w:sz w:val="20"/>
                <w:szCs w:val="20"/>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145,324</w:t>
            </w:r>
          </w:p>
        </w:tc>
      </w:tr>
      <w:tr>
        <w:trPr>
          <w:trHeight w:val="27"/>
        </w:trPr>
        <w:tc>
          <w:tcPr>
            <w:tcW w:w="2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0"/>
        </w:trPr>
        <w:tc>
          <w:tcPr>
            <w:tcW w:w="2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-3562985</wp:posOffset>
            </wp:positionH>
            <wp:positionV relativeFrom="paragraph">
              <wp:posOffset>-728345</wp:posOffset>
            </wp:positionV>
            <wp:extent cx="7246620" cy="18034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7">
                      <a:extLst>
                        <a:ext uri="{28A0092B-C50C-407E-A947-70E740481C1C}"/>
                      </a:extLst>
                    </a:blip>
                    <a:srcRect/>
                    <a:stretch>
                      <a:fillRect/>
                    </a:stretch>
                  </pic:blipFill>
                  <pic:spPr bwMode="auto">
                    <a:xfrm>
                      <a:off x="0" y="0"/>
                      <a:ext cx="7246620" cy="180340"/>
                    </a:xfrm>
                    <a:prstGeom prst="rect">
                      <a:avLst/>
                    </a:prstGeom>
                    <a:noFill/>
                  </pic:spPr>
                </pic:pic>
              </a:graphicData>
            </a:graphic>
          </wp:anchor>
        </w:drawing>
        <w:drawing>
          <wp:anchor simplePos="0" relativeHeight="251657728" behindDoc="1" locked="0" layoutInCell="0" allowOverlap="1">
            <wp:simplePos x="0" y="0"/>
            <wp:positionH relativeFrom="column">
              <wp:posOffset>-3562985</wp:posOffset>
            </wp:positionH>
            <wp:positionV relativeFrom="paragraph">
              <wp:posOffset>-376555</wp:posOffset>
            </wp:positionV>
            <wp:extent cx="7246620" cy="17145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8">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313" w:lineRule="exact"/>
        <w:rPr>
          <w:sz w:val="20"/>
          <w:szCs w:val="20"/>
          <w:color w:val="auto"/>
        </w:rPr>
      </w:pPr>
    </w:p>
    <w:p>
      <w:pPr>
        <w:ind w:left="1460"/>
        <w:spacing w:after="0"/>
        <w:rPr>
          <w:sz w:val="20"/>
          <w:szCs w:val="20"/>
          <w:color w:val="auto"/>
        </w:rPr>
      </w:pPr>
      <w:r>
        <w:rPr>
          <w:rFonts w:ascii="Arial" w:cs="Arial" w:eastAsia="Arial" w:hAnsi="Arial"/>
          <w:sz w:val="18"/>
          <w:szCs w:val="18"/>
          <w:b w:val="1"/>
          <w:bCs w:val="1"/>
          <w:color w:val="auto"/>
        </w:rPr>
        <w:t>Six months ended September 29,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34290</wp:posOffset>
            </wp:positionV>
            <wp:extent cx="3687445"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9">
                      <a:extLst>
                        <a:ext uri="{28A0092B-C50C-407E-A947-70E740481C1C}"/>
                      </a:extLst>
                    </a:blip>
                    <a:srcRect/>
                    <a:stretch>
                      <a:fillRect/>
                    </a:stretch>
                  </pic:blipFill>
                  <pic:spPr bwMode="auto">
                    <a:xfrm>
                      <a:off x="0" y="0"/>
                      <a:ext cx="3687445" cy="8890"/>
                    </a:xfrm>
                    <a:prstGeom prst="rect">
                      <a:avLst/>
                    </a:prstGeom>
                    <a:noFill/>
                  </pic:spPr>
                </pic:pic>
              </a:graphicData>
            </a:graphic>
          </wp:anchor>
        </w:drawing>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5"/>
              </w:rPr>
              <w:t>Water</w:t>
            </w:r>
          </w:p>
        </w:tc>
        <w:tc>
          <w:tcPr>
            <w:tcW w:w="180" w:type="dxa"/>
            <w:vAlign w:val="bottom"/>
          </w:tcPr>
          <w:p>
            <w:pPr>
              <w:spacing w:after="0"/>
              <w:rPr>
                <w:sz w:val="18"/>
                <w:szCs w:val="18"/>
                <w:color w:val="auto"/>
              </w:rPr>
            </w:pPr>
          </w:p>
        </w:tc>
        <w:tc>
          <w:tcPr>
            <w:tcW w:w="130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3"/>
              </w:rPr>
              <w:t>Health and</w:t>
            </w: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34"/>
        </w:trPr>
        <w:tc>
          <w:tcPr>
            <w:tcW w:w="200" w:type="dxa"/>
            <w:vAlign w:val="bottom"/>
          </w:tcPr>
          <w:p>
            <w:pPr>
              <w:spacing w:after="0"/>
              <w:rPr>
                <w:sz w:val="20"/>
                <w:szCs w:val="20"/>
                <w:color w:val="auto"/>
              </w:rPr>
            </w:pPr>
          </w:p>
        </w:tc>
        <w:tc>
          <w:tcPr>
            <w:tcW w:w="1300" w:type="dxa"/>
            <w:vAlign w:val="bottom"/>
            <w:gridSpan w:val="2"/>
          </w:tcPr>
          <w:p>
            <w:pPr>
              <w:ind w:left="100"/>
              <w:spacing w:after="0"/>
              <w:rPr>
                <w:sz w:val="20"/>
                <w:szCs w:val="20"/>
                <w:color w:val="auto"/>
              </w:rPr>
            </w:pPr>
            <w:r>
              <w:rPr>
                <w:rFonts w:ascii="Arial" w:cs="Arial" w:eastAsia="Arial" w:hAnsi="Arial"/>
                <w:sz w:val="18"/>
                <w:szCs w:val="18"/>
                <w:b w:val="1"/>
                <w:bCs w:val="1"/>
                <w:color w:val="auto"/>
              </w:rPr>
              <w:t>Industrial</w:t>
            </w:r>
          </w:p>
        </w:tc>
        <w:tc>
          <w:tcPr>
            <w:tcW w:w="200" w:type="dxa"/>
            <w:vAlign w:val="bottom"/>
          </w:tcPr>
          <w:p>
            <w:pPr>
              <w:spacing w:after="0"/>
              <w:rPr>
                <w:sz w:val="20"/>
                <w:szCs w:val="20"/>
                <w:color w:val="auto"/>
              </w:rPr>
            </w:pPr>
          </w:p>
        </w:tc>
        <w:tc>
          <w:tcPr>
            <w:tcW w:w="126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1"/>
              </w:rPr>
              <w:t>Treatment</w:t>
            </w:r>
          </w:p>
        </w:tc>
        <w:tc>
          <w:tcPr>
            <w:tcW w:w="180" w:type="dxa"/>
            <w:vAlign w:val="bottom"/>
          </w:tcPr>
          <w:p>
            <w:pPr>
              <w:spacing w:after="0"/>
              <w:rPr>
                <w:sz w:val="20"/>
                <w:szCs w:val="20"/>
                <w:color w:val="auto"/>
              </w:rPr>
            </w:pPr>
          </w:p>
        </w:tc>
        <w:tc>
          <w:tcPr>
            <w:tcW w:w="130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5"/>
              </w:rPr>
              <w:t>Nutrition</w:t>
            </w:r>
          </w:p>
        </w:tc>
        <w:tc>
          <w:tcPr>
            <w:tcW w:w="300" w:type="dxa"/>
            <w:vAlign w:val="bottom"/>
          </w:tcPr>
          <w:p>
            <w:pPr>
              <w:spacing w:after="0"/>
              <w:rPr>
                <w:sz w:val="20"/>
                <w:szCs w:val="20"/>
                <w:color w:val="auto"/>
              </w:rPr>
            </w:pPr>
          </w:p>
        </w:tc>
        <w:tc>
          <w:tcPr>
            <w:tcW w:w="1060" w:type="dxa"/>
            <w:vAlign w:val="bottom"/>
          </w:tcPr>
          <w:p>
            <w:pPr>
              <w:jc w:val="right"/>
              <w:ind w:right="390"/>
              <w:spacing w:after="0"/>
              <w:rPr>
                <w:sz w:val="20"/>
                <w:szCs w:val="20"/>
                <w:color w:val="auto"/>
              </w:rPr>
            </w:pPr>
            <w:r>
              <w:rPr>
                <w:rFonts w:ascii="Arial" w:cs="Arial" w:eastAsia="Arial" w:hAnsi="Arial"/>
                <w:sz w:val="18"/>
                <w:szCs w:val="18"/>
                <w:b w:val="1"/>
                <w:bCs w:val="1"/>
                <w:color w:val="auto"/>
              </w:rPr>
              <w:t>Total</w:t>
            </w:r>
          </w:p>
        </w:tc>
      </w:tr>
      <w:tr>
        <w:trPr>
          <w:trHeight w:val="27"/>
        </w:trPr>
        <w:tc>
          <w:tcPr>
            <w:tcW w:w="2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37"/>
        </w:trPr>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26,790</w:t>
            </w:r>
          </w:p>
        </w:tc>
        <w:tc>
          <w:tcPr>
            <w:tcW w:w="120" w:type="dxa"/>
            <w:vAlign w:val="bottom"/>
          </w:tcPr>
          <w:p>
            <w:pPr>
              <w:spacing w:after="0"/>
              <w:rPr>
                <w:sz w:val="20"/>
                <w:szCs w:val="20"/>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9,679</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47,495</w:t>
            </w:r>
          </w:p>
        </w:tc>
        <w:tc>
          <w:tcPr>
            <w:tcW w:w="120" w:type="dxa"/>
            <w:vAlign w:val="bottom"/>
          </w:tcPr>
          <w:p>
            <w:pPr>
              <w:spacing w:after="0"/>
              <w:rPr>
                <w:sz w:val="20"/>
                <w:szCs w:val="20"/>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83,964</w:t>
            </w:r>
          </w:p>
        </w:tc>
      </w:tr>
      <w:tr>
        <w:trPr>
          <w:trHeight w:val="270"/>
        </w:trPr>
        <w:tc>
          <w:tcPr>
            <w:tcW w:w="200" w:type="dxa"/>
            <w:vAlign w:val="bottom"/>
          </w:tcPr>
          <w:p>
            <w:pPr>
              <w:spacing w:after="0"/>
              <w:rPr>
                <w:sz w:val="23"/>
                <w:szCs w:val="23"/>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114,900</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78,637</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7,333</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200,870</w:t>
            </w:r>
          </w:p>
        </w:tc>
      </w:tr>
      <w:tr>
        <w:trPr>
          <w:trHeight w:val="270"/>
        </w:trPr>
        <w:tc>
          <w:tcPr>
            <w:tcW w:w="200" w:type="dxa"/>
            <w:vAlign w:val="bottom"/>
          </w:tcPr>
          <w:p>
            <w:pPr>
              <w:spacing w:after="0"/>
              <w:rPr>
                <w:sz w:val="23"/>
                <w:szCs w:val="23"/>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1,725</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804</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16</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2,545</w:t>
            </w:r>
          </w:p>
        </w:tc>
      </w:tr>
      <w:tr>
        <w:trPr>
          <w:trHeight w:val="27"/>
        </w:trPr>
        <w:tc>
          <w:tcPr>
            <w:tcW w:w="2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37"/>
        </w:trPr>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143,415</w:t>
            </w:r>
          </w:p>
        </w:tc>
        <w:tc>
          <w:tcPr>
            <w:tcW w:w="120" w:type="dxa"/>
            <w:vAlign w:val="bottom"/>
          </w:tcPr>
          <w:p>
            <w:pPr>
              <w:spacing w:after="0"/>
              <w:rPr>
                <w:sz w:val="20"/>
                <w:szCs w:val="20"/>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89,120</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54,844</w:t>
            </w:r>
          </w:p>
        </w:tc>
        <w:tc>
          <w:tcPr>
            <w:tcW w:w="120" w:type="dxa"/>
            <w:vAlign w:val="bottom"/>
          </w:tcPr>
          <w:p>
            <w:pPr>
              <w:spacing w:after="0"/>
              <w:rPr>
                <w:sz w:val="20"/>
                <w:szCs w:val="20"/>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287,379</w:t>
            </w:r>
          </w:p>
        </w:tc>
      </w:tr>
      <w:tr>
        <w:trPr>
          <w:trHeight w:val="27"/>
        </w:trPr>
        <w:tc>
          <w:tcPr>
            <w:tcW w:w="2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0"/>
        </w:trPr>
        <w:tc>
          <w:tcPr>
            <w:tcW w:w="2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-3562985</wp:posOffset>
            </wp:positionH>
            <wp:positionV relativeFrom="paragraph">
              <wp:posOffset>-728345</wp:posOffset>
            </wp:positionV>
            <wp:extent cx="7246620" cy="18034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0">
                      <a:extLst>
                        <a:ext uri="{28A0092B-C50C-407E-A947-70E740481C1C}"/>
                      </a:extLst>
                    </a:blip>
                    <a:srcRect/>
                    <a:stretch>
                      <a:fillRect/>
                    </a:stretch>
                  </pic:blipFill>
                  <pic:spPr bwMode="auto">
                    <a:xfrm>
                      <a:off x="0" y="0"/>
                      <a:ext cx="7246620" cy="180340"/>
                    </a:xfrm>
                    <a:prstGeom prst="rect">
                      <a:avLst/>
                    </a:prstGeom>
                    <a:noFill/>
                  </pic:spPr>
                </pic:pic>
              </a:graphicData>
            </a:graphic>
          </wp:anchor>
        </w:drawing>
        <w:drawing>
          <wp:anchor simplePos="0" relativeHeight="251657728" behindDoc="1" locked="0" layoutInCell="0" allowOverlap="1">
            <wp:simplePos x="0" y="0"/>
            <wp:positionH relativeFrom="column">
              <wp:posOffset>-3562985</wp:posOffset>
            </wp:positionH>
            <wp:positionV relativeFrom="paragraph">
              <wp:posOffset>-376555</wp:posOffset>
            </wp:positionV>
            <wp:extent cx="7246620" cy="17145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1">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313" w:lineRule="exact"/>
        <w:rPr>
          <w:sz w:val="20"/>
          <w:szCs w:val="20"/>
          <w:color w:val="auto"/>
        </w:rPr>
      </w:pPr>
    </w:p>
    <w:p>
      <w:pPr>
        <w:ind w:left="1460"/>
        <w:spacing w:after="0"/>
        <w:rPr>
          <w:sz w:val="20"/>
          <w:szCs w:val="20"/>
          <w:color w:val="auto"/>
        </w:rPr>
      </w:pPr>
      <w:r>
        <w:rPr>
          <w:rFonts w:ascii="Arial" w:cs="Arial" w:eastAsia="Arial" w:hAnsi="Arial"/>
          <w:sz w:val="18"/>
          <w:szCs w:val="18"/>
          <w:b w:val="1"/>
          <w:bCs w:val="1"/>
          <w:color w:val="auto"/>
        </w:rPr>
        <w:t>Six months ended September 30,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34290</wp:posOffset>
            </wp:positionV>
            <wp:extent cx="3687445"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2">
                      <a:extLst>
                        <a:ext uri="{28A0092B-C50C-407E-A947-70E740481C1C}"/>
                      </a:extLst>
                    </a:blip>
                    <a:srcRect/>
                    <a:stretch>
                      <a:fillRect/>
                    </a:stretch>
                  </pic:blipFill>
                  <pic:spPr bwMode="auto">
                    <a:xfrm>
                      <a:off x="0" y="0"/>
                      <a:ext cx="3687445" cy="8890"/>
                    </a:xfrm>
                    <a:prstGeom prst="rect">
                      <a:avLst/>
                    </a:prstGeom>
                    <a:noFill/>
                  </pic:spPr>
                </pic:pic>
              </a:graphicData>
            </a:graphic>
          </wp:anchor>
        </w:drawing>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5"/>
              </w:rPr>
              <w:t>Water</w:t>
            </w:r>
          </w:p>
        </w:tc>
        <w:tc>
          <w:tcPr>
            <w:tcW w:w="180" w:type="dxa"/>
            <w:vAlign w:val="bottom"/>
          </w:tcPr>
          <w:p>
            <w:pPr>
              <w:spacing w:after="0"/>
              <w:rPr>
                <w:sz w:val="18"/>
                <w:szCs w:val="18"/>
                <w:color w:val="auto"/>
              </w:rPr>
            </w:pPr>
          </w:p>
        </w:tc>
        <w:tc>
          <w:tcPr>
            <w:tcW w:w="130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3"/>
              </w:rPr>
              <w:t>Health and</w:t>
            </w: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34"/>
        </w:trPr>
        <w:tc>
          <w:tcPr>
            <w:tcW w:w="200" w:type="dxa"/>
            <w:vAlign w:val="bottom"/>
          </w:tcPr>
          <w:p>
            <w:pPr>
              <w:spacing w:after="0"/>
              <w:rPr>
                <w:sz w:val="20"/>
                <w:szCs w:val="20"/>
                <w:color w:val="auto"/>
              </w:rPr>
            </w:pPr>
          </w:p>
        </w:tc>
        <w:tc>
          <w:tcPr>
            <w:tcW w:w="1300" w:type="dxa"/>
            <w:vAlign w:val="bottom"/>
            <w:gridSpan w:val="2"/>
          </w:tcPr>
          <w:p>
            <w:pPr>
              <w:ind w:left="100"/>
              <w:spacing w:after="0"/>
              <w:rPr>
                <w:sz w:val="20"/>
                <w:szCs w:val="20"/>
                <w:color w:val="auto"/>
              </w:rPr>
            </w:pPr>
            <w:r>
              <w:rPr>
                <w:rFonts w:ascii="Arial" w:cs="Arial" w:eastAsia="Arial" w:hAnsi="Arial"/>
                <w:sz w:val="18"/>
                <w:szCs w:val="18"/>
                <w:b w:val="1"/>
                <w:bCs w:val="1"/>
                <w:color w:val="auto"/>
              </w:rPr>
              <w:t>Industrial</w:t>
            </w:r>
          </w:p>
        </w:tc>
        <w:tc>
          <w:tcPr>
            <w:tcW w:w="200" w:type="dxa"/>
            <w:vAlign w:val="bottom"/>
          </w:tcPr>
          <w:p>
            <w:pPr>
              <w:spacing w:after="0"/>
              <w:rPr>
                <w:sz w:val="20"/>
                <w:szCs w:val="20"/>
                <w:color w:val="auto"/>
              </w:rPr>
            </w:pPr>
          </w:p>
        </w:tc>
        <w:tc>
          <w:tcPr>
            <w:tcW w:w="126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1"/>
              </w:rPr>
              <w:t>Treatment</w:t>
            </w:r>
          </w:p>
        </w:tc>
        <w:tc>
          <w:tcPr>
            <w:tcW w:w="180" w:type="dxa"/>
            <w:vAlign w:val="bottom"/>
          </w:tcPr>
          <w:p>
            <w:pPr>
              <w:spacing w:after="0"/>
              <w:rPr>
                <w:sz w:val="20"/>
                <w:szCs w:val="20"/>
                <w:color w:val="auto"/>
              </w:rPr>
            </w:pPr>
          </w:p>
        </w:tc>
        <w:tc>
          <w:tcPr>
            <w:tcW w:w="130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5"/>
              </w:rPr>
              <w:t>Nutrition</w:t>
            </w:r>
          </w:p>
        </w:tc>
        <w:tc>
          <w:tcPr>
            <w:tcW w:w="300" w:type="dxa"/>
            <w:vAlign w:val="bottom"/>
          </w:tcPr>
          <w:p>
            <w:pPr>
              <w:spacing w:after="0"/>
              <w:rPr>
                <w:sz w:val="20"/>
                <w:szCs w:val="20"/>
                <w:color w:val="auto"/>
              </w:rPr>
            </w:pPr>
          </w:p>
        </w:tc>
        <w:tc>
          <w:tcPr>
            <w:tcW w:w="1060" w:type="dxa"/>
            <w:vAlign w:val="bottom"/>
          </w:tcPr>
          <w:p>
            <w:pPr>
              <w:jc w:val="right"/>
              <w:ind w:right="390"/>
              <w:spacing w:after="0"/>
              <w:rPr>
                <w:sz w:val="20"/>
                <w:szCs w:val="20"/>
                <w:color w:val="auto"/>
              </w:rPr>
            </w:pPr>
            <w:r>
              <w:rPr>
                <w:rFonts w:ascii="Arial" w:cs="Arial" w:eastAsia="Arial" w:hAnsi="Arial"/>
                <w:sz w:val="18"/>
                <w:szCs w:val="18"/>
                <w:b w:val="1"/>
                <w:bCs w:val="1"/>
                <w:color w:val="auto"/>
              </w:rPr>
              <w:t>Total</w:t>
            </w:r>
          </w:p>
        </w:tc>
      </w:tr>
      <w:tr>
        <w:trPr>
          <w:trHeight w:val="27"/>
        </w:trPr>
        <w:tc>
          <w:tcPr>
            <w:tcW w:w="2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37"/>
        </w:trPr>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30,243</w:t>
            </w:r>
          </w:p>
        </w:tc>
        <w:tc>
          <w:tcPr>
            <w:tcW w:w="120" w:type="dxa"/>
            <w:vAlign w:val="bottom"/>
          </w:tcPr>
          <w:p>
            <w:pPr>
              <w:spacing w:after="0"/>
              <w:rPr>
                <w:sz w:val="20"/>
                <w:szCs w:val="20"/>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11,804</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60,301</w:t>
            </w:r>
          </w:p>
        </w:tc>
        <w:tc>
          <w:tcPr>
            <w:tcW w:w="120" w:type="dxa"/>
            <w:vAlign w:val="bottom"/>
          </w:tcPr>
          <w:p>
            <w:pPr>
              <w:spacing w:after="0"/>
              <w:rPr>
                <w:sz w:val="20"/>
                <w:szCs w:val="20"/>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102,348</w:t>
            </w:r>
          </w:p>
        </w:tc>
      </w:tr>
      <w:tr>
        <w:trPr>
          <w:trHeight w:val="270"/>
        </w:trPr>
        <w:tc>
          <w:tcPr>
            <w:tcW w:w="200" w:type="dxa"/>
            <w:vAlign w:val="bottom"/>
          </w:tcPr>
          <w:p>
            <w:pPr>
              <w:spacing w:after="0"/>
              <w:rPr>
                <w:sz w:val="23"/>
                <w:szCs w:val="23"/>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111,236</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70,964</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7,684</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189,884</w:t>
            </w:r>
          </w:p>
        </w:tc>
      </w:tr>
      <w:tr>
        <w:trPr>
          <w:trHeight w:val="270"/>
        </w:trPr>
        <w:tc>
          <w:tcPr>
            <w:tcW w:w="200" w:type="dxa"/>
            <w:vAlign w:val="bottom"/>
          </w:tcPr>
          <w:p>
            <w:pPr>
              <w:spacing w:after="0"/>
              <w:rPr>
                <w:sz w:val="23"/>
                <w:szCs w:val="23"/>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1,941</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814</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137</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2,892</w:t>
            </w:r>
          </w:p>
        </w:tc>
      </w:tr>
      <w:tr>
        <w:trPr>
          <w:trHeight w:val="27"/>
        </w:trPr>
        <w:tc>
          <w:tcPr>
            <w:tcW w:w="2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37"/>
        </w:trPr>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143,420</w:t>
            </w:r>
          </w:p>
        </w:tc>
        <w:tc>
          <w:tcPr>
            <w:tcW w:w="120" w:type="dxa"/>
            <w:vAlign w:val="bottom"/>
          </w:tcPr>
          <w:p>
            <w:pPr>
              <w:spacing w:after="0"/>
              <w:rPr>
                <w:sz w:val="20"/>
                <w:szCs w:val="20"/>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83,582</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68,122</w:t>
            </w:r>
          </w:p>
        </w:tc>
        <w:tc>
          <w:tcPr>
            <w:tcW w:w="120" w:type="dxa"/>
            <w:vAlign w:val="bottom"/>
          </w:tcPr>
          <w:p>
            <w:pPr>
              <w:spacing w:after="0"/>
              <w:rPr>
                <w:sz w:val="20"/>
                <w:szCs w:val="20"/>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295,124</w:t>
            </w:r>
          </w:p>
        </w:tc>
      </w:tr>
      <w:tr>
        <w:trPr>
          <w:trHeight w:val="27"/>
        </w:trPr>
        <w:tc>
          <w:tcPr>
            <w:tcW w:w="2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0"/>
        </w:trPr>
        <w:tc>
          <w:tcPr>
            <w:tcW w:w="2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-3562985</wp:posOffset>
            </wp:positionH>
            <wp:positionV relativeFrom="paragraph">
              <wp:posOffset>-728345</wp:posOffset>
            </wp:positionV>
            <wp:extent cx="7246620" cy="18034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3">
                      <a:extLst>
                        <a:ext uri="{28A0092B-C50C-407E-A947-70E740481C1C}"/>
                      </a:extLst>
                    </a:blip>
                    <a:srcRect/>
                    <a:stretch>
                      <a:fillRect/>
                    </a:stretch>
                  </pic:blipFill>
                  <pic:spPr bwMode="auto">
                    <a:xfrm>
                      <a:off x="0" y="0"/>
                      <a:ext cx="7246620" cy="180340"/>
                    </a:xfrm>
                    <a:prstGeom prst="rect">
                      <a:avLst/>
                    </a:prstGeom>
                    <a:noFill/>
                  </pic:spPr>
                </pic:pic>
              </a:graphicData>
            </a:graphic>
          </wp:anchor>
        </w:drawing>
        <w:drawing>
          <wp:anchor simplePos="0" relativeHeight="251657728" behindDoc="1" locked="0" layoutInCell="0" allowOverlap="1">
            <wp:simplePos x="0" y="0"/>
            <wp:positionH relativeFrom="column">
              <wp:posOffset>-3562985</wp:posOffset>
            </wp:positionH>
            <wp:positionV relativeFrom="paragraph">
              <wp:posOffset>-376555</wp:posOffset>
            </wp:positionV>
            <wp:extent cx="7246620" cy="17145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4">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4900" w:space="720"/>
            <w:col w:w="5800"/>
          </w:cols>
          <w:pgMar w:left="240" w:top="584" w:right="239" w:bottom="1440" w:gutter="0" w:footer="0" w:header="0"/>
          <w:type w:val="continuous"/>
        </w:sectPr>
      </w:pPr>
    </w:p>
    <w:p>
      <w:pPr>
        <w:spacing w:after="0" w:line="6" w:lineRule="exact"/>
        <w:rPr>
          <w:sz w:val="20"/>
          <w:szCs w:val="20"/>
          <w:color w:val="auto"/>
        </w:rPr>
      </w:pPr>
    </w:p>
    <w:p>
      <w:pPr>
        <w:ind w:left="660" w:right="400" w:hanging="328"/>
        <w:spacing w:after="0" w:line="252" w:lineRule="auto"/>
        <w:tabs>
          <w:tab w:leader="none" w:pos="660" w:val="left"/>
        </w:tabs>
        <w:numPr>
          <w:ilvl w:val="0"/>
          <w:numId w:val="1"/>
        </w:numPr>
        <w:rPr>
          <w:rFonts w:ascii="Arial" w:cs="Arial" w:eastAsia="Arial" w:hAnsi="Arial"/>
          <w:sz w:val="16"/>
          <w:szCs w:val="16"/>
          <w:color w:val="auto"/>
        </w:rPr>
      </w:pPr>
      <w:r>
        <w:rPr>
          <w:rFonts w:ascii="Arial" w:cs="Arial" w:eastAsia="Arial" w:hAnsi="Arial"/>
          <w:sz w:val="16"/>
          <w:szCs w:val="16"/>
          <w:color w:val="auto"/>
        </w:rPr>
        <w:t>For our Industrial and Water Treatment segments, this line includes our bulk products that we do not modify in any way, but receive, store, and ship from our facilities, or direct ship to our customers in large quantities. For our Health and Nutrition segment, this line includes our non-manufactured distributed specialty products, which may be sold out of one of our facilities or direct shipped to our customers.</w:t>
      </w:r>
    </w:p>
    <w:p>
      <w:pPr>
        <w:spacing w:after="0" w:line="1" w:lineRule="exact"/>
        <w:rPr>
          <w:rFonts w:ascii="Arial" w:cs="Arial" w:eastAsia="Arial" w:hAnsi="Arial"/>
          <w:sz w:val="16"/>
          <w:szCs w:val="16"/>
          <w:color w:val="auto"/>
        </w:rPr>
      </w:pPr>
    </w:p>
    <w:p>
      <w:pPr>
        <w:ind w:left="660" w:right="420" w:hanging="328"/>
        <w:spacing w:after="0" w:line="257" w:lineRule="auto"/>
        <w:tabs>
          <w:tab w:leader="none" w:pos="660" w:val="left"/>
        </w:tabs>
        <w:numPr>
          <w:ilvl w:val="0"/>
          <w:numId w:val="1"/>
        </w:numPr>
        <w:rPr>
          <w:rFonts w:ascii="Arial" w:cs="Arial" w:eastAsia="Arial" w:hAnsi="Arial"/>
          <w:sz w:val="16"/>
          <w:szCs w:val="16"/>
          <w:color w:val="auto"/>
        </w:rPr>
      </w:pPr>
      <w:r>
        <w:rPr>
          <w:rFonts w:ascii="Arial" w:cs="Arial" w:eastAsia="Arial" w:hAnsi="Arial"/>
          <w:sz w:val="16"/>
          <w:szCs w:val="16"/>
          <w:color w:val="auto"/>
        </w:rPr>
        <w:t>For our Industrial and Water Treatment segments, this line includes our non-bulk specialty products that we either manufacture, blend, repackage, resell in their original form, or direct ship to our customers in smaller quantities, and services we provide for our</w:t>
      </w:r>
    </w:p>
    <w:p>
      <w:pPr>
        <w:sectPr>
          <w:pgSz w:w="11900" w:h="16838" w:orient="portrait"/>
          <w:cols w:equalWidth="0" w:num="1">
            <w:col w:w="11420"/>
          </w:cols>
          <w:pgMar w:left="240" w:top="584" w:right="239" w:bottom="1440" w:gutter="0" w:footer="0" w:header="0"/>
          <w:type w:val="continuous"/>
        </w:sect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w:t>
      </w:r>
    </w:p>
    <w:p>
      <w:pPr>
        <w:sectPr>
          <w:pgSz w:w="11900" w:h="16838" w:orient="portrait"/>
          <w:cols w:equalWidth="0" w:num="1">
            <w:col w:w="11420"/>
          </w:cols>
          <w:pgMar w:left="240" w:top="584" w:right="239" w:bottom="1440" w:gutter="0" w:footer="0" w:header="0"/>
          <w:type w:val="continuous"/>
        </w:sectPr>
      </w:pPr>
    </w:p>
    <w:bookmarkStart w:id="9" w:name="page10"/>
    <w:bookmarkEnd w:id="9"/>
    <w:p>
      <w:pPr>
        <w:ind w:left="660"/>
        <w:spacing w:after="0"/>
        <w:rPr>
          <w:sz w:val="20"/>
          <w:szCs w:val="20"/>
          <w:color w:val="auto"/>
        </w:rPr>
      </w:pPr>
      <w:r>
        <w:rPr>
          <w:rFonts w:ascii="Arial" w:cs="Arial" w:eastAsia="Arial" w:hAnsi="Arial"/>
          <w:sz w:val="15"/>
          <w:szCs w:val="15"/>
          <w:color w:val="auto"/>
        </w:rPr>
        <w:t>customers. For our Health and Nutrition segment, this line includes products manufactured, processed or repackaged in our facility and/or with our equipment.</w:t>
      </w:r>
    </w:p>
    <w:p>
      <w:pPr>
        <w:spacing w:after="0" w:line="269"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color w:val="auto"/>
        </w:rPr>
        <w:t>Net sales include products and shipping charges, net of estimates for product returns and any related sales rebates. Revenue is measured as the amount of consideration we expect to receive in exchange for transferring products. All revenue is recognized when we satisfy our performance obligations under the contract. Our criteria for recording revenue is consistent between our operating segments and types of products sold. We recognize revenue upon transfer of control of the promised products to the customer, with revenue recognized at the point in time the customer obtains control of the products. In arrangements where product is shipped directly from the vendor to our customer, we act as the principal in the transaction as we direct the other party to provide the product to our customer on our behalf, take inventory risk, establish the selling price, and are exposed to credit risk for the collection of the invoiced amount. If there were circumstances where we were to manufacture products for customers that were unique to their specifications and we would be prohibited by contract to use the product for any alternate use, we would recognize revenue over time if all criteria were met. We have made a policy election to treat shipping costs for FOB shipping point sales as fulfillment costs. As such, we recognize revenue for all shipping charges, if applicable, at the same time we recognize revenue on the products delivered. We estimate product returns based on historical return rates. Using probability assessments, we estimate sales rebates expected to be paid over the term of the contract. The majority of our contracts have a single performance obligation and are short term in nature. Sales taxes that are collected from customers and remitted to governmental authorities are accounted for on a net basis and therefore are excluded from net sales. We offer certain customers cash discounts and volume rebates as sales incentives. The discounts and volume rebates are recorded as a reduction in sales at the time revenue is recognized in an amount estimated based on historical experience and contractual obligations. We periodically review the assumptions underlying our estimates of discounts and volume rebates and adjust revenues accordingly.</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 Earnings per Share</w:t>
      </w:r>
    </w:p>
    <w:p>
      <w:pPr>
        <w:spacing w:after="0" w:line="229" w:lineRule="exact"/>
        <w:rPr>
          <w:sz w:val="20"/>
          <w:szCs w:val="20"/>
          <w:color w:val="auto"/>
        </w:rPr>
      </w:pPr>
    </w:p>
    <w:p>
      <w:pPr>
        <w:ind w:right="420"/>
        <w:spacing w:after="0" w:line="264" w:lineRule="auto"/>
        <w:rPr>
          <w:sz w:val="20"/>
          <w:szCs w:val="20"/>
          <w:color w:val="auto"/>
        </w:rPr>
      </w:pPr>
      <w:r>
        <w:rPr>
          <w:rFonts w:ascii="Arial" w:cs="Arial" w:eastAsia="Arial" w:hAnsi="Arial"/>
          <w:sz w:val="18"/>
          <w:szCs w:val="18"/>
          <w:color w:val="auto"/>
        </w:rPr>
        <w:t>Basic earnings per share (“EPS”) are computed by dividing net earnings by the weighted-average number of common shares outstanding. Diluted EPS includes the dilutive impact of incremental shares assumed to be issued as performance units and restricted stock. Basic and diluted EPS were calculated using the following:</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700" w:type="dxa"/>
            <w:vAlign w:val="bottom"/>
          </w:tcPr>
          <w:p>
            <w:pPr>
              <w:spacing w:after="0"/>
              <w:rPr>
                <w:sz w:val="20"/>
                <w:szCs w:val="20"/>
                <w:color w:val="auto"/>
              </w:rPr>
            </w:pPr>
          </w:p>
        </w:tc>
        <w:tc>
          <w:tcPr>
            <w:tcW w:w="3460" w:type="dxa"/>
            <w:vAlign w:val="bottom"/>
            <w:gridSpan w:val="4"/>
          </w:tcPr>
          <w:p>
            <w:pPr>
              <w:ind w:left="880"/>
              <w:spacing w:after="0"/>
              <w:rPr>
                <w:sz w:val="20"/>
                <w:szCs w:val="20"/>
                <w:color w:val="auto"/>
              </w:rPr>
            </w:pPr>
            <w:r>
              <w:rPr>
                <w:rFonts w:ascii="Arial" w:cs="Arial" w:eastAsia="Arial" w:hAnsi="Arial"/>
                <w:sz w:val="18"/>
                <w:szCs w:val="18"/>
                <w:b w:val="1"/>
                <w:bCs w:val="1"/>
                <w:color w:val="auto"/>
              </w:rPr>
              <w:t>Three Months Ended</w:t>
            </w:r>
          </w:p>
        </w:tc>
        <w:tc>
          <w:tcPr>
            <w:tcW w:w="3260" w:type="dxa"/>
            <w:vAlign w:val="bottom"/>
            <w:gridSpan w:val="3"/>
          </w:tcPr>
          <w:p>
            <w:pPr>
              <w:jc w:val="right"/>
              <w:ind w:right="830"/>
              <w:spacing w:after="0"/>
              <w:rPr>
                <w:sz w:val="20"/>
                <w:szCs w:val="20"/>
                <w:color w:val="auto"/>
              </w:rPr>
            </w:pPr>
            <w:r>
              <w:rPr>
                <w:rFonts w:ascii="Arial" w:cs="Arial" w:eastAsia="Arial" w:hAnsi="Arial"/>
                <w:sz w:val="18"/>
                <w:szCs w:val="18"/>
                <w:b w:val="1"/>
                <w:bCs w:val="1"/>
                <w:color w:val="auto"/>
              </w:rPr>
              <w:t>Six Months Ended</w:t>
            </w:r>
          </w:p>
        </w:tc>
      </w:tr>
      <w:tr>
        <w:trPr>
          <w:trHeight w:val="27"/>
        </w:trPr>
        <w:tc>
          <w:tcPr>
            <w:tcW w:w="4700" w:type="dxa"/>
            <w:vAlign w:val="bottom"/>
          </w:tcPr>
          <w:p>
            <w:pPr>
              <w:spacing w:after="0"/>
              <w:rPr>
                <w:sz w:val="2"/>
                <w:szCs w:val="2"/>
                <w:color w:val="auto"/>
              </w:rPr>
            </w:pPr>
          </w:p>
        </w:tc>
        <w:tc>
          <w:tcPr>
            <w:tcW w:w="1740" w:type="dxa"/>
            <w:vAlign w:val="bottom"/>
            <w:tcBorders>
              <w:bottom w:val="single" w:sz="8" w:color="auto"/>
            </w:tcBorders>
            <w:gridSpan w:val="2"/>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80" w:type="dxa"/>
            <w:vAlign w:val="bottom"/>
            <w:tcBorders>
              <w:bottom w:val="single" w:sz="8" w:color="auto"/>
            </w:tcBorders>
            <w:gridSpan w:val="2"/>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218"/>
        </w:trPr>
        <w:tc>
          <w:tcPr>
            <w:tcW w:w="4700" w:type="dxa"/>
            <w:vAlign w:val="bottom"/>
          </w:tcPr>
          <w:p>
            <w:pPr>
              <w:spacing w:after="0"/>
              <w:rPr>
                <w:sz w:val="18"/>
                <w:szCs w:val="18"/>
                <w:color w:val="auto"/>
              </w:rPr>
            </w:pPr>
          </w:p>
        </w:tc>
        <w:tc>
          <w:tcPr>
            <w:tcW w:w="1740" w:type="dxa"/>
            <w:vAlign w:val="bottom"/>
            <w:gridSpan w:val="2"/>
          </w:tcPr>
          <w:p>
            <w:pPr>
              <w:ind w:left="240"/>
              <w:spacing w:after="0"/>
              <w:rPr>
                <w:sz w:val="20"/>
                <w:szCs w:val="20"/>
                <w:color w:val="auto"/>
              </w:rPr>
            </w:pPr>
            <w:r>
              <w:rPr>
                <w:rFonts w:ascii="Arial" w:cs="Arial" w:eastAsia="Arial" w:hAnsi="Arial"/>
                <w:sz w:val="18"/>
                <w:szCs w:val="18"/>
                <w:b w:val="1"/>
                <w:bCs w:val="1"/>
                <w:color w:val="auto"/>
              </w:rPr>
              <w:t>September 29,</w:t>
            </w:r>
          </w:p>
        </w:tc>
        <w:tc>
          <w:tcPr>
            <w:tcW w:w="1720" w:type="dxa"/>
            <w:vAlign w:val="bottom"/>
            <w:gridSpan w:val="2"/>
          </w:tcPr>
          <w:p>
            <w:pPr>
              <w:ind w:left="220"/>
              <w:spacing w:after="0"/>
              <w:rPr>
                <w:sz w:val="20"/>
                <w:szCs w:val="20"/>
                <w:color w:val="auto"/>
              </w:rPr>
            </w:pPr>
            <w:r>
              <w:rPr>
                <w:rFonts w:ascii="Arial" w:cs="Arial" w:eastAsia="Arial" w:hAnsi="Arial"/>
                <w:sz w:val="18"/>
                <w:szCs w:val="18"/>
                <w:b w:val="1"/>
                <w:bCs w:val="1"/>
                <w:color w:val="auto"/>
              </w:rPr>
              <w:t>September 30,</w:t>
            </w:r>
          </w:p>
        </w:tc>
        <w:tc>
          <w:tcPr>
            <w:tcW w:w="1680" w:type="dxa"/>
            <w:vAlign w:val="bottom"/>
            <w:gridSpan w:val="2"/>
          </w:tcPr>
          <w:p>
            <w:pPr>
              <w:ind w:left="220"/>
              <w:spacing w:after="0"/>
              <w:rPr>
                <w:sz w:val="20"/>
                <w:szCs w:val="20"/>
                <w:color w:val="auto"/>
              </w:rPr>
            </w:pPr>
            <w:r>
              <w:rPr>
                <w:rFonts w:ascii="Arial" w:cs="Arial" w:eastAsia="Arial" w:hAnsi="Arial"/>
                <w:sz w:val="18"/>
                <w:szCs w:val="18"/>
                <w:b w:val="1"/>
                <w:bCs w:val="1"/>
                <w:color w:val="auto"/>
              </w:rPr>
              <w:t>September 29,</w:t>
            </w:r>
          </w:p>
        </w:tc>
        <w:tc>
          <w:tcPr>
            <w:tcW w:w="1580" w:type="dxa"/>
            <w:vAlign w:val="bottom"/>
          </w:tcPr>
          <w:p>
            <w:pPr>
              <w:jc w:val="right"/>
              <w:ind w:right="170"/>
              <w:spacing w:after="0"/>
              <w:rPr>
                <w:sz w:val="20"/>
                <w:szCs w:val="20"/>
                <w:color w:val="auto"/>
              </w:rPr>
            </w:pPr>
            <w:r>
              <w:rPr>
                <w:rFonts w:ascii="Arial" w:cs="Arial" w:eastAsia="Arial" w:hAnsi="Arial"/>
                <w:sz w:val="18"/>
                <w:szCs w:val="18"/>
                <w:b w:val="1"/>
                <w:bCs w:val="1"/>
                <w:color w:val="auto"/>
              </w:rPr>
              <w:t>September 30,</w:t>
            </w:r>
          </w:p>
        </w:tc>
      </w:tr>
      <w:tr>
        <w:trPr>
          <w:trHeight w:val="234"/>
        </w:trPr>
        <w:tc>
          <w:tcPr>
            <w:tcW w:w="4700" w:type="dxa"/>
            <w:vAlign w:val="bottom"/>
          </w:tcPr>
          <w:p>
            <w:pPr>
              <w:spacing w:after="0"/>
              <w:rPr>
                <w:sz w:val="20"/>
                <w:szCs w:val="20"/>
                <w:color w:val="auto"/>
              </w:rPr>
            </w:pPr>
          </w:p>
        </w:tc>
        <w:tc>
          <w:tcPr>
            <w:tcW w:w="1620" w:type="dxa"/>
            <w:vAlign w:val="bottom"/>
          </w:tcPr>
          <w:p>
            <w:pPr>
              <w:jc w:val="right"/>
              <w:ind w:right="530"/>
              <w:spacing w:after="0"/>
              <w:rPr>
                <w:sz w:val="20"/>
                <w:szCs w:val="20"/>
                <w:color w:val="auto"/>
              </w:rPr>
            </w:pPr>
            <w:r>
              <w:rPr>
                <w:rFonts w:ascii="Arial" w:cs="Arial" w:eastAsia="Arial" w:hAnsi="Arial"/>
                <w:sz w:val="18"/>
                <w:szCs w:val="18"/>
                <w:b w:val="1"/>
                <w:bCs w:val="1"/>
                <w:color w:val="auto"/>
              </w:rPr>
              <w:t>2019</w:t>
            </w:r>
          </w:p>
        </w:tc>
        <w:tc>
          <w:tcPr>
            <w:tcW w:w="120" w:type="dxa"/>
            <w:vAlign w:val="bottom"/>
          </w:tcPr>
          <w:p>
            <w:pPr>
              <w:spacing w:after="0"/>
              <w:rPr>
                <w:sz w:val="20"/>
                <w:szCs w:val="20"/>
                <w:color w:val="auto"/>
              </w:rPr>
            </w:pPr>
          </w:p>
        </w:tc>
        <w:tc>
          <w:tcPr>
            <w:tcW w:w="1600" w:type="dxa"/>
            <w:vAlign w:val="bottom"/>
          </w:tcPr>
          <w:p>
            <w:pPr>
              <w:jc w:val="right"/>
              <w:ind w:right="530"/>
              <w:spacing w:after="0"/>
              <w:rPr>
                <w:sz w:val="20"/>
                <w:szCs w:val="20"/>
                <w:color w:val="auto"/>
              </w:rPr>
            </w:pPr>
            <w:r>
              <w:rPr>
                <w:rFonts w:ascii="Arial" w:cs="Arial" w:eastAsia="Arial" w:hAnsi="Arial"/>
                <w:sz w:val="18"/>
                <w:szCs w:val="18"/>
                <w:b w:val="1"/>
                <w:bCs w:val="1"/>
                <w:color w:val="auto"/>
              </w:rPr>
              <w:t>2018</w:t>
            </w:r>
          </w:p>
        </w:tc>
        <w:tc>
          <w:tcPr>
            <w:tcW w:w="120" w:type="dxa"/>
            <w:vAlign w:val="bottom"/>
          </w:tcPr>
          <w:p>
            <w:pPr>
              <w:spacing w:after="0"/>
              <w:rPr>
                <w:sz w:val="20"/>
                <w:szCs w:val="20"/>
                <w:color w:val="auto"/>
              </w:rPr>
            </w:pPr>
          </w:p>
        </w:tc>
        <w:tc>
          <w:tcPr>
            <w:tcW w:w="1580" w:type="dxa"/>
            <w:vAlign w:val="bottom"/>
          </w:tcPr>
          <w:p>
            <w:pPr>
              <w:jc w:val="right"/>
              <w:ind w:right="53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0"/>
                <w:szCs w:val="20"/>
                <w:color w:val="auto"/>
              </w:rPr>
            </w:pPr>
          </w:p>
        </w:tc>
        <w:tc>
          <w:tcPr>
            <w:tcW w:w="1580" w:type="dxa"/>
            <w:vAlign w:val="bottom"/>
          </w:tcPr>
          <w:p>
            <w:pPr>
              <w:jc w:val="right"/>
              <w:ind w:right="510"/>
              <w:spacing w:after="0"/>
              <w:rPr>
                <w:sz w:val="20"/>
                <w:szCs w:val="20"/>
                <w:color w:val="auto"/>
              </w:rPr>
            </w:pPr>
            <w:r>
              <w:rPr>
                <w:rFonts w:ascii="Arial" w:cs="Arial" w:eastAsia="Arial" w:hAnsi="Arial"/>
                <w:sz w:val="18"/>
                <w:szCs w:val="18"/>
                <w:b w:val="1"/>
                <w:bCs w:val="1"/>
                <w:color w:val="auto"/>
              </w:rPr>
              <w:t>2018</w:t>
            </w:r>
          </w:p>
        </w:tc>
      </w:tr>
      <w:tr>
        <w:trPr>
          <w:trHeight w:val="27"/>
        </w:trPr>
        <w:tc>
          <w:tcPr>
            <w:tcW w:w="4700" w:type="dxa"/>
            <w:vAlign w:val="bottom"/>
            <w:tcBorders>
              <w:bottom w:val="single" w:sz="8" w:color="CCEEFF"/>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244"/>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Weighted-average common shares outstanding—basic</w:t>
            </w:r>
          </w:p>
        </w:tc>
        <w:tc>
          <w:tcPr>
            <w:tcW w:w="16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10,575,538</w:t>
            </w:r>
          </w:p>
        </w:tc>
        <w:tc>
          <w:tcPr>
            <w:tcW w:w="1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10,675,833</w:t>
            </w:r>
          </w:p>
        </w:tc>
        <w:tc>
          <w:tcPr>
            <w:tcW w:w="1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10,589,922</w:t>
            </w:r>
          </w:p>
        </w:tc>
        <w:tc>
          <w:tcPr>
            <w:tcW w:w="1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10,662,210</w:t>
            </w: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Dilutive impact of performance units and restricted stock</w:t>
            </w:r>
          </w:p>
        </w:tc>
        <w:tc>
          <w:tcPr>
            <w:tcW w:w="1620" w:type="dxa"/>
            <w:vAlign w:val="bottom"/>
          </w:tcPr>
          <w:p>
            <w:pPr>
              <w:jc w:val="right"/>
              <w:ind w:right="30"/>
              <w:spacing w:after="0"/>
              <w:rPr>
                <w:sz w:val="20"/>
                <w:szCs w:val="20"/>
                <w:color w:val="auto"/>
              </w:rPr>
            </w:pPr>
            <w:r>
              <w:rPr>
                <w:rFonts w:ascii="Arial" w:cs="Arial" w:eastAsia="Arial" w:hAnsi="Arial"/>
                <w:sz w:val="18"/>
                <w:szCs w:val="18"/>
                <w:color w:val="auto"/>
              </w:rPr>
              <w:t>57,579</w:t>
            </w:r>
          </w:p>
        </w:tc>
        <w:tc>
          <w:tcPr>
            <w:tcW w:w="120" w:type="dxa"/>
            <w:vAlign w:val="bottom"/>
          </w:tcPr>
          <w:p>
            <w:pPr>
              <w:spacing w:after="0"/>
              <w:rPr>
                <w:sz w:val="21"/>
                <w:szCs w:val="21"/>
                <w:color w:val="auto"/>
              </w:rPr>
            </w:pPr>
          </w:p>
        </w:tc>
        <w:tc>
          <w:tcPr>
            <w:tcW w:w="1600" w:type="dxa"/>
            <w:vAlign w:val="bottom"/>
          </w:tcPr>
          <w:p>
            <w:pPr>
              <w:jc w:val="right"/>
              <w:ind w:right="30"/>
              <w:spacing w:after="0"/>
              <w:rPr>
                <w:sz w:val="20"/>
                <w:szCs w:val="20"/>
                <w:color w:val="auto"/>
              </w:rPr>
            </w:pPr>
            <w:r>
              <w:rPr>
                <w:rFonts w:ascii="Arial" w:cs="Arial" w:eastAsia="Arial" w:hAnsi="Arial"/>
                <w:sz w:val="18"/>
                <w:szCs w:val="18"/>
                <w:color w:val="auto"/>
              </w:rPr>
              <w:t>43,226</w:t>
            </w:r>
          </w:p>
        </w:tc>
        <w:tc>
          <w:tcPr>
            <w:tcW w:w="120" w:type="dxa"/>
            <w:vAlign w:val="bottom"/>
          </w:tcPr>
          <w:p>
            <w:pPr>
              <w:spacing w:after="0"/>
              <w:rPr>
                <w:sz w:val="21"/>
                <w:szCs w:val="21"/>
                <w:color w:val="auto"/>
              </w:rPr>
            </w:pPr>
          </w:p>
        </w:tc>
        <w:tc>
          <w:tcPr>
            <w:tcW w:w="1580" w:type="dxa"/>
            <w:vAlign w:val="bottom"/>
          </w:tcPr>
          <w:p>
            <w:pPr>
              <w:jc w:val="right"/>
              <w:ind w:right="30"/>
              <w:spacing w:after="0"/>
              <w:rPr>
                <w:sz w:val="20"/>
                <w:szCs w:val="20"/>
                <w:color w:val="auto"/>
              </w:rPr>
            </w:pPr>
            <w:r>
              <w:rPr>
                <w:rFonts w:ascii="Arial" w:cs="Arial" w:eastAsia="Arial" w:hAnsi="Arial"/>
                <w:sz w:val="18"/>
                <w:szCs w:val="18"/>
                <w:color w:val="auto"/>
              </w:rPr>
              <w:t>73,942</w:t>
            </w:r>
          </w:p>
        </w:tc>
        <w:tc>
          <w:tcPr>
            <w:tcW w:w="100" w:type="dxa"/>
            <w:vAlign w:val="bottom"/>
          </w:tcPr>
          <w:p>
            <w:pPr>
              <w:spacing w:after="0"/>
              <w:rPr>
                <w:sz w:val="21"/>
                <w:szCs w:val="21"/>
                <w:color w:val="auto"/>
              </w:rPr>
            </w:pPr>
          </w:p>
        </w:tc>
        <w:tc>
          <w:tcPr>
            <w:tcW w:w="1580" w:type="dxa"/>
            <w:vAlign w:val="bottom"/>
          </w:tcPr>
          <w:p>
            <w:pPr>
              <w:jc w:val="right"/>
              <w:ind w:right="10"/>
              <w:spacing w:after="0"/>
              <w:rPr>
                <w:sz w:val="20"/>
                <w:szCs w:val="20"/>
                <w:color w:val="auto"/>
              </w:rPr>
            </w:pPr>
            <w:r>
              <w:rPr>
                <w:rFonts w:ascii="Arial" w:cs="Arial" w:eastAsia="Arial" w:hAnsi="Arial"/>
                <w:sz w:val="18"/>
                <w:szCs w:val="18"/>
                <w:color w:val="auto"/>
              </w:rPr>
              <w:t>52,171</w:t>
            </w:r>
          </w:p>
        </w:tc>
      </w:tr>
      <w:tr>
        <w:trPr>
          <w:trHeight w:val="27"/>
        </w:trPr>
        <w:tc>
          <w:tcPr>
            <w:tcW w:w="4700" w:type="dxa"/>
            <w:vAlign w:val="bottom"/>
            <w:tcBorders>
              <w:bottom w:val="single" w:sz="8" w:color="CCEEFF"/>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257"/>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Weighted-average common shares outstanding—diluted</w:t>
            </w:r>
          </w:p>
        </w:tc>
        <w:tc>
          <w:tcPr>
            <w:tcW w:w="16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10,633,117</w:t>
            </w:r>
          </w:p>
        </w:tc>
        <w:tc>
          <w:tcPr>
            <w:tcW w:w="120" w:type="dxa"/>
            <w:vAlign w:val="bottom"/>
            <w:tcBorders>
              <w:bottom w:val="single" w:sz="8" w:color="CCEEFF"/>
            </w:tcBorders>
            <w:shd w:val="clear" w:color="auto" w:fill="CCEEFF"/>
          </w:tcPr>
          <w:p>
            <w:pPr>
              <w:spacing w:after="0"/>
              <w:rPr>
                <w:sz w:val="22"/>
                <w:szCs w:val="22"/>
                <w:color w:val="auto"/>
              </w:rPr>
            </w:pPr>
          </w:p>
        </w:tc>
        <w:tc>
          <w:tcPr>
            <w:tcW w:w="16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10,719,059</w:t>
            </w:r>
          </w:p>
        </w:tc>
        <w:tc>
          <w:tcPr>
            <w:tcW w:w="120" w:type="dxa"/>
            <w:vAlign w:val="bottom"/>
            <w:tcBorders>
              <w:bottom w:val="single" w:sz="8" w:color="CCEEFF"/>
            </w:tcBorders>
            <w:shd w:val="clear" w:color="auto" w:fill="CCEEFF"/>
          </w:tcPr>
          <w:p>
            <w:pPr>
              <w:spacing w:after="0"/>
              <w:rPr>
                <w:sz w:val="22"/>
                <w:szCs w:val="22"/>
                <w:color w:val="auto"/>
              </w:rPr>
            </w:pPr>
          </w:p>
        </w:tc>
        <w:tc>
          <w:tcPr>
            <w:tcW w:w="15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10,663,864</w:t>
            </w:r>
          </w:p>
        </w:tc>
        <w:tc>
          <w:tcPr>
            <w:tcW w:w="100" w:type="dxa"/>
            <w:vAlign w:val="bottom"/>
            <w:tcBorders>
              <w:bottom w:val="single" w:sz="8" w:color="CCEEFF"/>
            </w:tcBorders>
            <w:shd w:val="clear" w:color="auto" w:fill="CCEEFF"/>
          </w:tcPr>
          <w:p>
            <w:pPr>
              <w:spacing w:after="0"/>
              <w:rPr>
                <w:sz w:val="22"/>
                <w:szCs w:val="22"/>
                <w:color w:val="auto"/>
              </w:rPr>
            </w:pPr>
          </w:p>
        </w:tc>
        <w:tc>
          <w:tcPr>
            <w:tcW w:w="15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10,714,381</w:t>
            </w:r>
          </w:p>
        </w:tc>
      </w:tr>
      <w:tr>
        <w:trPr>
          <w:trHeight w:val="20"/>
        </w:trPr>
        <w:tc>
          <w:tcPr>
            <w:tcW w:w="4700" w:type="dxa"/>
            <w:vAlign w:val="bottom"/>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For each of the three and six months ended September 29, 2019 and September 30, 2018, there were no shares excluded from the calculation of weighted-average common shares for diluted EPS.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 Derivative Instruments</w:t>
      </w:r>
    </w:p>
    <w:p>
      <w:pPr>
        <w:spacing w:after="0" w:line="229" w:lineRule="exact"/>
        <w:rPr>
          <w:sz w:val="20"/>
          <w:szCs w:val="20"/>
          <w:color w:val="auto"/>
        </w:rPr>
      </w:pPr>
    </w:p>
    <w:p>
      <w:pPr>
        <w:ind w:right="180"/>
        <w:spacing w:after="0" w:line="273" w:lineRule="auto"/>
        <w:rPr>
          <w:sz w:val="20"/>
          <w:szCs w:val="20"/>
          <w:color w:val="auto"/>
        </w:rPr>
      </w:pPr>
      <w:r>
        <w:rPr>
          <w:rFonts w:ascii="Arial" w:cs="Arial" w:eastAsia="Arial" w:hAnsi="Arial"/>
          <w:sz w:val="17"/>
          <w:szCs w:val="17"/>
          <w:color w:val="auto"/>
        </w:rPr>
        <w:t>We have an interest rate swap agreement to manage the risk associated with a portion of our variable-rate long-term debt. We do not utilize derivative instruments for speculative purposes. The interest rate swap involves the exchange of fixed-rate and variable-rate payments without the exchange of the underlying notional amount on which the interest payments are calculated. The swap agreement will terminate on December 23, 2020. The notional amount of the swap agreement is currently $20 million through December 23, 2020. We have designated this swap as a cash flow hedge and have determined that it qualifies for hedge accounting treatment. For so long as the hedge is effective, changes in fair value of the cash flow hedge are recorded in other comprehensive income (net of tax) until income or loss from the cash flows of the hedged item is realized.</w:t>
      </w:r>
    </w:p>
    <w:p>
      <w:pPr>
        <w:spacing w:after="0" w:line="205" w:lineRule="exact"/>
        <w:rPr>
          <w:sz w:val="20"/>
          <w:szCs w:val="20"/>
          <w:color w:val="auto"/>
        </w:rPr>
      </w:pPr>
    </w:p>
    <w:p>
      <w:pPr>
        <w:ind w:right="60"/>
        <w:spacing w:after="0" w:line="293" w:lineRule="auto"/>
        <w:rPr>
          <w:sz w:val="20"/>
          <w:szCs w:val="20"/>
          <w:color w:val="auto"/>
        </w:rPr>
      </w:pPr>
      <w:r>
        <w:rPr>
          <w:rFonts w:ascii="Arial" w:cs="Arial" w:eastAsia="Arial" w:hAnsi="Arial"/>
          <w:sz w:val="16"/>
          <w:szCs w:val="16"/>
          <w:color w:val="auto"/>
        </w:rPr>
        <w:t>For the three months ended September 29, 2019, we recorded $0.1 million in other comprehensive income related to unrealized losses (net of tax) on the cash flow hedge described above. For the six months ended September 29, 2019, we recorded $0.2 million in other comprehensive loss related to unrealized losses (net of tax) on the cash flow hedge. For both the three and six months ended September 30, 2018, we recorded a nominal amount in other comprehensive income related to unrealized gains (net of tax) on the cash flow hedge. Included in other long-term assets on our condensed consolidated balance sheet was $0.1 million as of September 29, 2019 and $0.4 million as of March 31, 2019 related to the cash flow hedge. Unrealized gains and losses will be reflected in net income when the related cash flows or hedged transactions occur and offset the related performance of the hedged item.</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616" w:right="239" w:bottom="1440" w:gutter="0" w:footer="0" w:header="0"/>
        </w:sectPr>
      </w:pPr>
    </w:p>
    <w:bookmarkStart w:id="10" w:name="page11"/>
    <w:bookmarkEnd w:id="10"/>
    <w:p>
      <w:pPr>
        <w:ind w:right="260"/>
        <w:spacing w:after="0" w:line="286" w:lineRule="auto"/>
        <w:rPr>
          <w:sz w:val="20"/>
          <w:szCs w:val="20"/>
          <w:color w:val="auto"/>
        </w:rPr>
      </w:pPr>
      <w:r>
        <w:rPr>
          <w:rFonts w:ascii="Arial" w:cs="Arial" w:eastAsia="Arial" w:hAnsi="Arial"/>
          <w:sz w:val="17"/>
          <w:szCs w:val="17"/>
          <w:color w:val="auto"/>
        </w:rPr>
        <w:t>By their nature, derivative instruments are subject to market risk. Derivative instruments are also subject to credit risk associated with counterparties to the derivative contracts. Credit risk associated with derivatives is measured based on the replacement cost should the counterparty with a contract in a gain position to us fail to perform under the terms of the contract. We do not anticipate nonperformance by the counterparty.</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 Fair Value Measurements</w:t>
      </w:r>
    </w:p>
    <w:p>
      <w:pPr>
        <w:spacing w:after="0" w:line="229" w:lineRule="exact"/>
        <w:rPr>
          <w:sz w:val="20"/>
          <w:szCs w:val="20"/>
          <w:color w:val="auto"/>
        </w:rPr>
      </w:pPr>
    </w:p>
    <w:p>
      <w:pPr>
        <w:ind w:right="200"/>
        <w:spacing w:after="0" w:line="342" w:lineRule="auto"/>
        <w:rPr>
          <w:sz w:val="20"/>
          <w:szCs w:val="20"/>
          <w:color w:val="auto"/>
        </w:rPr>
      </w:pPr>
      <w:r>
        <w:rPr>
          <w:rFonts w:ascii="Arial" w:cs="Arial" w:eastAsia="Arial" w:hAnsi="Arial"/>
          <w:sz w:val="16"/>
          <w:szCs w:val="16"/>
          <w:color w:val="auto"/>
        </w:rPr>
        <w:t>Our financial assets and liabilities are measured at fair value at the price that would be received to sell an asset or paid to transfer a liability in an orderly transaction between market participants at the measurement date (exit price). We classify the inputs used to measure fair value into the following hierarchy:</w:t>
      </w:r>
    </w:p>
    <w:p>
      <w:pPr>
        <w:spacing w:after="0" w:line="151" w:lineRule="exact"/>
        <w:rPr>
          <w:sz w:val="20"/>
          <w:szCs w:val="20"/>
          <w:color w:val="auto"/>
        </w:rPr>
      </w:pPr>
    </w:p>
    <w:p>
      <w:pPr>
        <w:ind w:left="1300"/>
        <w:spacing w:after="0"/>
        <w:tabs>
          <w:tab w:leader="none" w:pos="2140" w:val="left"/>
        </w:tabs>
        <w:rPr>
          <w:sz w:val="20"/>
          <w:szCs w:val="20"/>
          <w:color w:val="auto"/>
        </w:rPr>
      </w:pPr>
      <w:r>
        <w:rPr>
          <w:rFonts w:ascii="Arial" w:cs="Arial" w:eastAsia="Arial" w:hAnsi="Arial"/>
          <w:sz w:val="18"/>
          <w:szCs w:val="18"/>
          <w:color w:val="auto"/>
        </w:rPr>
        <w:t>Level 1:</w:t>
      </w:r>
      <w:r>
        <w:rPr>
          <w:sz w:val="20"/>
          <w:szCs w:val="20"/>
          <w:color w:val="auto"/>
        </w:rPr>
        <w:tab/>
      </w:r>
      <w:r>
        <w:rPr>
          <w:rFonts w:ascii="Arial" w:cs="Arial" w:eastAsia="Arial" w:hAnsi="Arial"/>
          <w:sz w:val="16"/>
          <w:szCs w:val="16"/>
          <w:color w:val="auto"/>
        </w:rPr>
        <w:t>Quoted prices in active markets for identical assets or liabilities.</w:t>
      </w:r>
    </w:p>
    <w:p>
      <w:pPr>
        <w:spacing w:after="0" w:line="63" w:lineRule="exact"/>
        <w:rPr>
          <w:sz w:val="20"/>
          <w:szCs w:val="20"/>
          <w:color w:val="auto"/>
        </w:rPr>
      </w:pPr>
    </w:p>
    <w:p>
      <w:pPr>
        <w:ind w:left="2160" w:right="340" w:hanging="864"/>
        <w:spacing w:after="0" w:line="264" w:lineRule="auto"/>
        <w:tabs>
          <w:tab w:leader="none" w:pos="2140" w:val="left"/>
        </w:tabs>
        <w:rPr>
          <w:sz w:val="20"/>
          <w:szCs w:val="20"/>
          <w:color w:val="auto"/>
        </w:rPr>
      </w:pPr>
      <w:r>
        <w:rPr>
          <w:rFonts w:ascii="Arial" w:cs="Arial" w:eastAsia="Arial" w:hAnsi="Arial"/>
          <w:sz w:val="18"/>
          <w:szCs w:val="18"/>
          <w:color w:val="auto"/>
        </w:rPr>
        <w:t>Level 2:</w:t>
      </w:r>
      <w:r>
        <w:rPr>
          <w:sz w:val="20"/>
          <w:szCs w:val="20"/>
          <w:color w:val="auto"/>
        </w:rPr>
        <w:tab/>
      </w:r>
      <w:r>
        <w:rPr>
          <w:rFonts w:ascii="Arial" w:cs="Arial" w:eastAsia="Arial" w:hAnsi="Arial"/>
          <w:sz w:val="18"/>
          <w:szCs w:val="18"/>
          <w:color w:val="auto"/>
        </w:rPr>
        <w:t>Quoted prices in active markets for similar assets or liabilities, or quoted prices for identical or similar assets or liabilities in markets that are not active, or inputs other than quoted prices that are observable or can be corroborated by observable market data for the asset or liability.</w:t>
      </w:r>
    </w:p>
    <w:p>
      <w:pPr>
        <w:spacing w:after="0" w:line="19" w:lineRule="exact"/>
        <w:rPr>
          <w:sz w:val="20"/>
          <w:szCs w:val="20"/>
          <w:color w:val="auto"/>
        </w:rPr>
      </w:pPr>
    </w:p>
    <w:p>
      <w:pPr>
        <w:ind w:left="2160" w:right="1000" w:hanging="864"/>
        <w:spacing w:after="0" w:line="264" w:lineRule="auto"/>
        <w:tabs>
          <w:tab w:leader="none" w:pos="2140" w:val="left"/>
        </w:tabs>
        <w:rPr>
          <w:sz w:val="20"/>
          <w:szCs w:val="20"/>
          <w:color w:val="auto"/>
        </w:rPr>
      </w:pPr>
      <w:r>
        <w:rPr>
          <w:rFonts w:ascii="Arial" w:cs="Arial" w:eastAsia="Arial" w:hAnsi="Arial"/>
          <w:sz w:val="18"/>
          <w:szCs w:val="18"/>
          <w:color w:val="auto"/>
        </w:rPr>
        <w:t>Level 3:</w:t>
      </w:r>
      <w:r>
        <w:rPr>
          <w:sz w:val="20"/>
          <w:szCs w:val="20"/>
          <w:color w:val="auto"/>
        </w:rPr>
        <w:tab/>
      </w:r>
      <w:r>
        <w:rPr>
          <w:rFonts w:ascii="Arial" w:cs="Arial" w:eastAsia="Arial" w:hAnsi="Arial"/>
          <w:sz w:val="18"/>
          <w:szCs w:val="18"/>
          <w:color w:val="auto"/>
        </w:rPr>
        <w:t>Unobservable inputs for the asset or liability that are supported by little or no market activity. These fair values are determined using pricing models for which the assumptions utilize management’s estimates or market participant assumptions.</w:t>
      </w:r>
    </w:p>
    <w:p>
      <w:pPr>
        <w:spacing w:after="0" w:line="222" w:lineRule="exact"/>
        <w:rPr>
          <w:sz w:val="20"/>
          <w:szCs w:val="20"/>
          <w:color w:val="auto"/>
        </w:rPr>
      </w:pPr>
    </w:p>
    <w:p>
      <w:pPr>
        <w:spacing w:after="0" w:line="279" w:lineRule="auto"/>
        <w:rPr>
          <w:sz w:val="20"/>
          <w:szCs w:val="20"/>
          <w:color w:val="auto"/>
        </w:rPr>
      </w:pPr>
      <w:r>
        <w:rPr>
          <w:rFonts w:ascii="Arial" w:cs="Arial" w:eastAsia="Arial" w:hAnsi="Arial"/>
          <w:sz w:val="17"/>
          <w:szCs w:val="17"/>
          <w:b w:val="1"/>
          <w:bCs w:val="1"/>
          <w:i w:val="1"/>
          <w:iCs w:val="1"/>
          <w:color w:val="auto"/>
        </w:rPr>
        <w:t xml:space="preserve">Assets and Liabilities Measured at Fair Value on a Recurring Basis. </w:t>
      </w:r>
      <w:r>
        <w:rPr>
          <w:rFonts w:ascii="Arial" w:cs="Arial" w:eastAsia="Arial" w:hAnsi="Arial"/>
          <w:sz w:val="17"/>
          <w:szCs w:val="17"/>
          <w:color w:val="auto"/>
        </w:rPr>
        <w:t>The fair value hierarchy requires the use of observable market data when available. In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instances where inputs used to measure fair value fall into different levels of the fair value hierarchy, the fair value measurement has been determined based on the lowest level input that is significant to the fair value measurement in its entirety. Our assessment of the significance of a particular item to the fair value measurement in its entirety requires judgment, including the consideration of inputs specific to the asset or liability.</w:t>
      </w:r>
    </w:p>
    <w:p>
      <w:pPr>
        <w:spacing w:after="0" w:line="185" w:lineRule="exact"/>
        <w:rPr>
          <w:sz w:val="20"/>
          <w:szCs w:val="20"/>
          <w:color w:val="auto"/>
        </w:rPr>
      </w:pPr>
    </w:p>
    <w:p>
      <w:pPr>
        <w:ind w:right="140"/>
        <w:spacing w:after="0" w:line="291" w:lineRule="auto"/>
        <w:rPr>
          <w:sz w:val="20"/>
          <w:szCs w:val="20"/>
          <w:color w:val="auto"/>
        </w:rPr>
      </w:pPr>
      <w:r>
        <w:rPr>
          <w:rFonts w:ascii="Arial" w:cs="Arial" w:eastAsia="Arial" w:hAnsi="Arial"/>
          <w:sz w:val="16"/>
          <w:szCs w:val="16"/>
          <w:color w:val="auto"/>
        </w:rPr>
        <w:t>Our financial assets that are measured at fair value on a recurring basis are an interest rate swap and assets held in a deferred compensation retirement plan. Both of these assets are classified as other long-term assets on our balance sheet, with the portion of the deferred compensation retirement plan assets expected to be paid within twelve months reclassified to current assets. The fair value of the interest rate swap is determined by the respective counterparties based on interest rate changes. Interest rate swaps are valued based on observable interest rate yield curves for similar instruments. The deferred compensation plan assets relate to contributions made to a non-qualified compensation plan on behalf of certain employees who are classified as “highly compensated employees” as determined by IRS guidelines. The assets are part of a rabbi trust and the funds are held in mutual funds. The fair value of the deferred compensation is based on the quoted market prices for the mutual funds at the end of the period.</w:t>
      </w:r>
    </w:p>
    <w:p>
      <w:pPr>
        <w:spacing w:after="0" w:line="181"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tables summarize the balances of assets measured at fair value on a recurring basis as of September 29, 2019 and March 31, 2019.</w:t>
      </w:r>
    </w:p>
    <w:p>
      <w:pPr>
        <w:spacing w:after="0" w:line="39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0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280" w:type="dxa"/>
            <w:vAlign w:val="bottom"/>
            <w:gridSpan w:val="6"/>
          </w:tcPr>
          <w:p>
            <w:pPr>
              <w:jc w:val="center"/>
              <w:ind w:left="610"/>
              <w:spacing w:after="0"/>
              <w:rPr>
                <w:sz w:val="20"/>
                <w:szCs w:val="20"/>
                <w:color w:val="auto"/>
              </w:rPr>
            </w:pPr>
            <w:r>
              <w:rPr>
                <w:rFonts w:ascii="Arial" w:cs="Arial" w:eastAsia="Arial" w:hAnsi="Arial"/>
                <w:sz w:val="18"/>
                <w:szCs w:val="18"/>
                <w:b w:val="1"/>
                <w:bCs w:val="1"/>
                <w:color w:val="auto"/>
                <w:w w:val="89"/>
              </w:rPr>
              <w:t>September 29, 2019</w:t>
            </w:r>
          </w:p>
        </w:tc>
        <w:tc>
          <w:tcPr>
            <w:tcW w:w="840" w:type="dxa"/>
            <w:vAlign w:val="bottom"/>
          </w:tcPr>
          <w:p>
            <w:pPr>
              <w:spacing w:after="0"/>
              <w:rPr>
                <w:sz w:val="20"/>
                <w:szCs w:val="20"/>
                <w:color w:val="auto"/>
              </w:rPr>
            </w:pPr>
          </w:p>
        </w:tc>
      </w:tr>
      <w:tr>
        <w:trPr>
          <w:trHeight w:val="27"/>
        </w:trPr>
        <w:tc>
          <w:tcPr>
            <w:tcW w:w="80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gridSpan w:val="3"/>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58"/>
        </w:trPr>
        <w:tc>
          <w:tcPr>
            <w:tcW w:w="800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(In thousands)</w:t>
            </w:r>
          </w:p>
        </w:tc>
        <w:tc>
          <w:tcPr>
            <w:tcW w:w="30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98"/>
              </w:rPr>
              <w:t>Level 1</w:t>
            </w: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b w:val="1"/>
                <w:bCs w:val="1"/>
                <w:color w:val="auto"/>
                <w:w w:val="91"/>
              </w:rPr>
              <w:t>Level 2</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ind w:left="60"/>
              <w:spacing w:after="0"/>
              <w:rPr>
                <w:sz w:val="20"/>
                <w:szCs w:val="20"/>
                <w:color w:val="auto"/>
              </w:rPr>
            </w:pPr>
            <w:r>
              <w:rPr>
                <w:rFonts w:ascii="Arial" w:cs="Arial" w:eastAsia="Arial" w:hAnsi="Arial"/>
                <w:sz w:val="18"/>
                <w:szCs w:val="18"/>
                <w:b w:val="1"/>
                <w:bCs w:val="1"/>
                <w:color w:val="auto"/>
              </w:rPr>
              <w:t>Level 3</w:t>
            </w:r>
          </w:p>
        </w:tc>
      </w:tr>
      <w:tr>
        <w:trPr>
          <w:trHeight w:val="250"/>
        </w:trPr>
        <w:tc>
          <w:tcPr>
            <w:tcW w:w="8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rate swap</w:t>
            </w:r>
          </w:p>
        </w:tc>
        <w:tc>
          <w:tcPr>
            <w:tcW w:w="3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ind w:left="560"/>
              <w:spacing w:after="0"/>
              <w:rPr>
                <w:sz w:val="20"/>
                <w:szCs w:val="20"/>
                <w:color w:val="auto"/>
              </w:rPr>
            </w:pPr>
            <w:r>
              <w:rPr>
                <w:rFonts w:ascii="Arial" w:cs="Arial" w:eastAsia="Arial" w:hAnsi="Arial"/>
                <w:sz w:val="18"/>
                <w:szCs w:val="18"/>
                <w:color w:val="auto"/>
              </w:rPr>
              <w:t>—</w:t>
            </w:r>
          </w:p>
        </w:tc>
      </w:tr>
      <w:tr>
        <w:trPr>
          <w:trHeight w:val="243"/>
        </w:trPr>
        <w:tc>
          <w:tcPr>
            <w:tcW w:w="8000" w:type="dxa"/>
            <w:vAlign w:val="bottom"/>
          </w:tcPr>
          <w:p>
            <w:pPr>
              <w:ind w:left="40"/>
              <w:spacing w:after="0"/>
              <w:rPr>
                <w:sz w:val="20"/>
                <w:szCs w:val="20"/>
                <w:color w:val="auto"/>
              </w:rPr>
            </w:pPr>
            <w:r>
              <w:rPr>
                <w:rFonts w:ascii="Arial" w:cs="Arial" w:eastAsia="Arial" w:hAnsi="Arial"/>
                <w:sz w:val="18"/>
                <w:szCs w:val="18"/>
                <w:color w:val="auto"/>
              </w:rPr>
              <w:t>Deferred compensation plan assets</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4,008</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40" w:type="dxa"/>
            <w:vAlign w:val="bottom"/>
            <w:gridSpan w:val="3"/>
          </w:tcPr>
          <w:p>
            <w:pPr>
              <w:jc w:val="right"/>
              <w:ind w:right="380"/>
              <w:spacing w:after="0"/>
              <w:rPr>
                <w:sz w:val="20"/>
                <w:szCs w:val="20"/>
                <w:color w:val="auto"/>
              </w:rPr>
            </w:pPr>
            <w:r>
              <w:rPr>
                <w:rFonts w:ascii="Arial" w:cs="Arial" w:eastAsia="Arial" w:hAnsi="Arial"/>
                <w:sz w:val="18"/>
                <w:szCs w:val="18"/>
                <w:color w:val="auto"/>
              </w:rPr>
              <w:t>—</w:t>
            </w:r>
          </w:p>
        </w:tc>
        <w:tc>
          <w:tcPr>
            <w:tcW w:w="840" w:type="dxa"/>
            <w:vAlign w:val="bottom"/>
          </w:tcPr>
          <w:p>
            <w:pPr>
              <w:ind w:left="560"/>
              <w:spacing w:after="0"/>
              <w:rPr>
                <w:sz w:val="20"/>
                <w:szCs w:val="20"/>
                <w:color w:val="auto"/>
              </w:rPr>
            </w:pPr>
            <w:r>
              <w:rPr>
                <w:rFonts w:ascii="Arial" w:cs="Arial" w:eastAsia="Arial" w:hAnsi="Arial"/>
                <w:sz w:val="18"/>
                <w:szCs w:val="18"/>
                <w:color w:val="auto"/>
              </w:rPr>
              <w:t>—</w:t>
            </w:r>
          </w:p>
        </w:tc>
      </w:tr>
      <w:tr>
        <w:trPr>
          <w:trHeight w:val="621"/>
        </w:trPr>
        <w:tc>
          <w:tcPr>
            <w:tcW w:w="80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420" w:type="dxa"/>
            <w:vAlign w:val="bottom"/>
            <w:gridSpan w:val="5"/>
          </w:tcPr>
          <w:p>
            <w:pPr>
              <w:jc w:val="center"/>
              <w:ind w:right="160"/>
              <w:spacing w:after="0"/>
              <w:rPr>
                <w:sz w:val="20"/>
                <w:szCs w:val="20"/>
                <w:color w:val="auto"/>
              </w:rPr>
            </w:pPr>
            <w:r>
              <w:rPr>
                <w:rFonts w:ascii="Arial" w:cs="Arial" w:eastAsia="Arial" w:hAnsi="Arial"/>
                <w:sz w:val="18"/>
                <w:szCs w:val="18"/>
                <w:b w:val="1"/>
                <w:bCs w:val="1"/>
                <w:color w:val="auto"/>
                <w:w w:val="92"/>
              </w:rPr>
              <w:t>March 31, 2019</w:t>
            </w:r>
          </w:p>
        </w:tc>
        <w:tc>
          <w:tcPr>
            <w:tcW w:w="840" w:type="dxa"/>
            <w:vAlign w:val="bottom"/>
          </w:tcPr>
          <w:p>
            <w:pPr>
              <w:spacing w:after="0"/>
              <w:rPr>
                <w:sz w:val="24"/>
                <w:szCs w:val="24"/>
                <w:color w:val="auto"/>
              </w:rPr>
            </w:pPr>
          </w:p>
        </w:tc>
      </w:tr>
      <w:tr>
        <w:trPr>
          <w:trHeight w:val="27"/>
        </w:trPr>
        <w:tc>
          <w:tcPr>
            <w:tcW w:w="80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gridSpan w:val="3"/>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58"/>
        </w:trPr>
        <w:tc>
          <w:tcPr>
            <w:tcW w:w="800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(In thousands)</w:t>
            </w:r>
          </w:p>
        </w:tc>
        <w:tc>
          <w:tcPr>
            <w:tcW w:w="30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98"/>
              </w:rPr>
              <w:t>Level 1</w:t>
            </w: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b w:val="1"/>
                <w:bCs w:val="1"/>
                <w:color w:val="auto"/>
                <w:w w:val="91"/>
              </w:rPr>
              <w:t>Level 2</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ind w:left="60"/>
              <w:spacing w:after="0"/>
              <w:rPr>
                <w:sz w:val="20"/>
                <w:szCs w:val="20"/>
                <w:color w:val="auto"/>
              </w:rPr>
            </w:pPr>
            <w:r>
              <w:rPr>
                <w:rFonts w:ascii="Arial" w:cs="Arial" w:eastAsia="Arial" w:hAnsi="Arial"/>
                <w:sz w:val="18"/>
                <w:szCs w:val="18"/>
                <w:b w:val="1"/>
                <w:bCs w:val="1"/>
                <w:color w:val="auto"/>
              </w:rPr>
              <w:t>Level 3</w:t>
            </w:r>
          </w:p>
        </w:tc>
      </w:tr>
      <w:tr>
        <w:trPr>
          <w:trHeight w:val="250"/>
        </w:trPr>
        <w:tc>
          <w:tcPr>
            <w:tcW w:w="8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rate swap</w:t>
            </w:r>
          </w:p>
        </w:tc>
        <w:tc>
          <w:tcPr>
            <w:tcW w:w="3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435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ind w:left="560"/>
              <w:spacing w:after="0"/>
              <w:rPr>
                <w:sz w:val="20"/>
                <w:szCs w:val="20"/>
                <w:color w:val="auto"/>
              </w:rPr>
            </w:pPr>
            <w:r>
              <w:rPr>
                <w:rFonts w:ascii="Arial" w:cs="Arial" w:eastAsia="Arial" w:hAnsi="Arial"/>
                <w:sz w:val="18"/>
                <w:szCs w:val="18"/>
                <w:color w:val="auto"/>
              </w:rPr>
              <w:t>—</w:t>
            </w:r>
          </w:p>
        </w:tc>
      </w:tr>
      <w:tr>
        <w:trPr>
          <w:trHeight w:val="243"/>
        </w:trPr>
        <w:tc>
          <w:tcPr>
            <w:tcW w:w="8000" w:type="dxa"/>
            <w:vAlign w:val="bottom"/>
          </w:tcPr>
          <w:p>
            <w:pPr>
              <w:ind w:left="40"/>
              <w:spacing w:after="0"/>
              <w:rPr>
                <w:sz w:val="20"/>
                <w:szCs w:val="20"/>
                <w:color w:val="auto"/>
              </w:rPr>
            </w:pPr>
            <w:r>
              <w:rPr>
                <w:rFonts w:ascii="Arial" w:cs="Arial" w:eastAsia="Arial" w:hAnsi="Arial"/>
                <w:sz w:val="18"/>
                <w:szCs w:val="18"/>
                <w:color w:val="auto"/>
              </w:rPr>
              <w:t>Deferred compensation plan assets</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2,637</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40" w:type="dxa"/>
            <w:vAlign w:val="bottom"/>
            <w:gridSpan w:val="3"/>
          </w:tcPr>
          <w:p>
            <w:pPr>
              <w:jc w:val="right"/>
              <w:ind w:right="380"/>
              <w:spacing w:after="0"/>
              <w:rPr>
                <w:sz w:val="20"/>
                <w:szCs w:val="20"/>
                <w:color w:val="auto"/>
              </w:rPr>
            </w:pPr>
            <w:r>
              <w:rPr>
                <w:rFonts w:ascii="Arial" w:cs="Arial" w:eastAsia="Arial" w:hAnsi="Arial"/>
                <w:sz w:val="18"/>
                <w:szCs w:val="18"/>
                <w:color w:val="auto"/>
              </w:rPr>
              <w:t>—</w:t>
            </w:r>
          </w:p>
        </w:tc>
        <w:tc>
          <w:tcPr>
            <w:tcW w:w="840" w:type="dxa"/>
            <w:vAlign w:val="bottom"/>
          </w:tcPr>
          <w:p>
            <w:pPr>
              <w:ind w:left="560"/>
              <w:spacing w:after="0"/>
              <w:rPr>
                <w:sz w:val="20"/>
                <w:szCs w:val="20"/>
                <w:color w:val="auto"/>
              </w:rPr>
            </w:pPr>
            <w:r>
              <w:rPr>
                <w:rFonts w:ascii="Arial" w:cs="Arial" w:eastAsia="Arial" w:hAnsi="Arial"/>
                <w:sz w:val="18"/>
                <w:szCs w:val="18"/>
                <w:color w:val="auto"/>
              </w:rPr>
              <w:t>—</w:t>
            </w: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Assets Held for Sale</w:t>
      </w:r>
    </w:p>
    <w:p>
      <w:pPr>
        <w:spacing w:after="0" w:line="229" w:lineRule="exact"/>
        <w:rPr>
          <w:sz w:val="20"/>
          <w:szCs w:val="20"/>
          <w:color w:val="auto"/>
        </w:rPr>
      </w:pPr>
    </w:p>
    <w:p>
      <w:pPr>
        <w:jc w:val="both"/>
        <w:ind w:right="80"/>
        <w:spacing w:after="0" w:line="302" w:lineRule="auto"/>
        <w:rPr>
          <w:sz w:val="20"/>
          <w:szCs w:val="20"/>
          <w:color w:val="auto"/>
        </w:rPr>
      </w:pPr>
      <w:r>
        <w:rPr>
          <w:rFonts w:ascii="Arial" w:cs="Arial" w:eastAsia="Arial" w:hAnsi="Arial"/>
          <w:sz w:val="16"/>
          <w:szCs w:val="16"/>
          <w:color w:val="auto"/>
        </w:rPr>
        <w:t>In fiscal 2019, management entered into a plan of action to dispose of an office building in St. Louis, Missouri currently utilized in the administration of our Industrial segment. The amount of office space in this facility is no longer needed due to current staffing levels, and management expects to relocate affected employees to leased space. The building is listed for sale at a price in excess of its current book value, and thus no impairment has been recognized. The $0.9 million net book value of this property is recorded as an asset held for sale within “Prepaid expenses and other current assets” on our balance sheet.</w:t>
      </w: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800" w:right="239" w:bottom="1440" w:gutter="0" w:footer="0" w:header="0"/>
        </w:sectPr>
      </w:pPr>
    </w:p>
    <w:bookmarkStart w:id="11" w:name="page12"/>
    <w:bookmarkEnd w:id="11"/>
    <w:tbl>
      <w:tblPr>
        <w:tblLayout w:type="fixed"/>
        <w:tblInd w:w="0" w:type="dxa"/>
        <w:tblCellMar>
          <w:top w:w="0" w:type="dxa"/>
          <w:left w:w="0" w:type="dxa"/>
          <w:bottom w:w="0" w:type="dxa"/>
          <w:right w:w="0" w:type="dxa"/>
        </w:tblCellMar>
      </w:tblPr>
      <w:tr>
        <w:trPr>
          <w:trHeight w:val="234"/>
        </w:trPr>
        <w:tc>
          <w:tcPr>
            <w:tcW w:w="8040" w:type="dxa"/>
            <w:vAlign w:val="bottom"/>
          </w:tcPr>
          <w:p>
            <w:pPr>
              <w:spacing w:after="0"/>
              <w:rPr>
                <w:sz w:val="20"/>
                <w:szCs w:val="20"/>
                <w:color w:val="auto"/>
              </w:rPr>
            </w:pPr>
            <w:r>
              <w:rPr>
                <w:rFonts w:ascii="Arial" w:cs="Arial" w:eastAsia="Arial" w:hAnsi="Arial"/>
                <w:sz w:val="18"/>
                <w:szCs w:val="18"/>
                <w:b w:val="1"/>
                <w:bCs w:val="1"/>
                <w:color w:val="auto"/>
              </w:rPr>
              <w:t>Note 7 – Inventories</w:t>
            </w:r>
          </w:p>
        </w:tc>
        <w:tc>
          <w:tcPr>
            <w:tcW w:w="16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40" w:type="dxa"/>
            <w:vAlign w:val="bottom"/>
          </w:tcPr>
          <w:p>
            <w:pPr>
              <w:spacing w:after="0"/>
              <w:rPr>
                <w:sz w:val="20"/>
                <w:szCs w:val="20"/>
                <w:color w:val="auto"/>
              </w:rPr>
            </w:pPr>
          </w:p>
        </w:tc>
      </w:tr>
      <w:tr>
        <w:trPr>
          <w:trHeight w:val="432"/>
        </w:trPr>
        <w:tc>
          <w:tcPr>
            <w:tcW w:w="8040" w:type="dxa"/>
            <w:vAlign w:val="bottom"/>
          </w:tcPr>
          <w:p>
            <w:pPr>
              <w:spacing w:after="0"/>
              <w:rPr>
                <w:sz w:val="20"/>
                <w:szCs w:val="20"/>
                <w:color w:val="auto"/>
              </w:rPr>
            </w:pPr>
            <w:r>
              <w:rPr>
                <w:rFonts w:ascii="Arial" w:cs="Arial" w:eastAsia="Arial" w:hAnsi="Arial"/>
                <w:sz w:val="18"/>
                <w:szCs w:val="18"/>
                <w:color w:val="auto"/>
              </w:rPr>
              <w:t>Inventories at September 29, 2019 and March 31, 2019 consisted of the following:</w:t>
            </w:r>
          </w:p>
        </w:tc>
        <w:tc>
          <w:tcPr>
            <w:tcW w:w="1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414"/>
        </w:trPr>
        <w:tc>
          <w:tcPr>
            <w:tcW w:w="80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20" w:type="dxa"/>
            <w:vAlign w:val="bottom"/>
            <w:gridSpan w:val="2"/>
          </w:tcPr>
          <w:p>
            <w:pPr>
              <w:ind w:left="40"/>
              <w:spacing w:after="0"/>
              <w:rPr>
                <w:sz w:val="20"/>
                <w:szCs w:val="20"/>
                <w:color w:val="auto"/>
              </w:rPr>
            </w:pPr>
            <w:r>
              <w:rPr>
                <w:rFonts w:ascii="Arial" w:cs="Arial" w:eastAsia="Arial" w:hAnsi="Arial"/>
                <w:sz w:val="18"/>
                <w:szCs w:val="18"/>
                <w:b w:val="1"/>
                <w:bCs w:val="1"/>
                <w:color w:val="auto"/>
              </w:rPr>
              <w:t>September 29,</w:t>
            </w:r>
          </w:p>
        </w:tc>
        <w:tc>
          <w:tcPr>
            <w:tcW w:w="240" w:type="dxa"/>
            <w:vAlign w:val="bottom"/>
          </w:tcPr>
          <w:p>
            <w:pPr>
              <w:spacing w:after="0"/>
              <w:rPr>
                <w:sz w:val="24"/>
                <w:szCs w:val="24"/>
                <w:color w:val="auto"/>
              </w:rPr>
            </w:pPr>
          </w:p>
        </w:tc>
        <w:tc>
          <w:tcPr>
            <w:tcW w:w="1340" w:type="dxa"/>
            <w:vAlign w:val="bottom"/>
          </w:tcPr>
          <w:p>
            <w:pPr>
              <w:jc w:val="right"/>
              <w:ind w:right="330"/>
              <w:spacing w:after="0"/>
              <w:rPr>
                <w:sz w:val="20"/>
                <w:szCs w:val="20"/>
                <w:color w:val="auto"/>
              </w:rPr>
            </w:pPr>
            <w:r>
              <w:rPr>
                <w:rFonts w:ascii="Arial" w:cs="Arial" w:eastAsia="Arial" w:hAnsi="Arial"/>
                <w:sz w:val="18"/>
                <w:szCs w:val="18"/>
                <w:b w:val="1"/>
                <w:bCs w:val="1"/>
                <w:color w:val="auto"/>
              </w:rPr>
              <w:t>March 31,</w:t>
            </w:r>
          </w:p>
        </w:tc>
      </w:tr>
      <w:tr>
        <w:trPr>
          <w:trHeight w:val="255"/>
        </w:trPr>
        <w:tc>
          <w:tcPr>
            <w:tcW w:w="804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(In thousands)</w:t>
            </w:r>
          </w:p>
        </w:tc>
        <w:tc>
          <w:tcPr>
            <w:tcW w:w="160" w:type="dxa"/>
            <w:vAlign w:val="bottom"/>
            <w:tcBorders>
              <w:bottom w:val="single" w:sz="8" w:color="auto"/>
            </w:tcBorders>
          </w:tcPr>
          <w:p>
            <w:pPr>
              <w:spacing w:after="0"/>
              <w:rPr>
                <w:sz w:val="22"/>
                <w:szCs w:val="22"/>
                <w:color w:val="auto"/>
              </w:rPr>
            </w:pPr>
          </w:p>
        </w:tc>
        <w:tc>
          <w:tcPr>
            <w:tcW w:w="142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2019</w:t>
            </w: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2019</w:t>
            </w:r>
          </w:p>
        </w:tc>
      </w:tr>
      <w:tr>
        <w:trPr>
          <w:trHeight w:val="250"/>
        </w:trPr>
        <w:tc>
          <w:tcPr>
            <w:tcW w:w="8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Inventory (FIFO basis)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65,523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65,526</w:t>
            </w:r>
          </w:p>
        </w:tc>
      </w:tr>
      <w:tr>
        <w:trPr>
          <w:trHeight w:val="243"/>
        </w:trPr>
        <w:tc>
          <w:tcPr>
            <w:tcW w:w="8040" w:type="dxa"/>
            <w:vAlign w:val="bottom"/>
          </w:tcPr>
          <w:p>
            <w:pPr>
              <w:ind w:left="40"/>
              <w:spacing w:after="0"/>
              <w:rPr>
                <w:sz w:val="20"/>
                <w:szCs w:val="20"/>
                <w:color w:val="auto"/>
              </w:rPr>
            </w:pPr>
            <w:r>
              <w:rPr>
                <w:rFonts w:ascii="Arial" w:cs="Arial" w:eastAsia="Arial" w:hAnsi="Arial"/>
                <w:sz w:val="18"/>
                <w:szCs w:val="18"/>
                <w:color w:val="auto"/>
              </w:rPr>
              <w:t>LIFO reserve</w:t>
            </w:r>
          </w:p>
        </w:tc>
        <w:tc>
          <w:tcPr>
            <w:tcW w:w="16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(4,719)</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(5,044)</w:t>
            </w:r>
          </w:p>
        </w:tc>
      </w:tr>
      <w:tr>
        <w:trPr>
          <w:trHeight w:val="27"/>
        </w:trPr>
        <w:tc>
          <w:tcPr>
            <w:tcW w:w="80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69"/>
        </w:trPr>
        <w:tc>
          <w:tcPr>
            <w:tcW w:w="8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inventory</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60,804</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60,482</w:t>
            </w:r>
          </w:p>
        </w:tc>
      </w:tr>
      <w:tr>
        <w:trPr>
          <w:trHeight w:val="20"/>
        </w:trPr>
        <w:tc>
          <w:tcPr>
            <w:tcW w:w="80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The first in, first out (“FIFO”) value of inventories accounted for under the last in, first out (“LIFO”) method was $47.5 million at September 29, 2019 and $45.2 million at March 31, 2019. The remainder of the inventory was valued and accounted for under the FIFO method.</w:t>
      </w:r>
    </w:p>
    <w:p>
      <w:pPr>
        <w:spacing w:after="0" w:line="170" w:lineRule="exact"/>
        <w:rPr>
          <w:sz w:val="20"/>
          <w:szCs w:val="20"/>
          <w:color w:val="auto"/>
        </w:rPr>
      </w:pPr>
    </w:p>
    <w:p>
      <w:pPr>
        <w:ind w:right="200"/>
        <w:spacing w:after="0" w:line="312" w:lineRule="auto"/>
        <w:rPr>
          <w:sz w:val="20"/>
          <w:szCs w:val="20"/>
          <w:color w:val="auto"/>
        </w:rPr>
      </w:pPr>
      <w:r>
        <w:rPr>
          <w:rFonts w:ascii="Arial" w:cs="Arial" w:eastAsia="Arial" w:hAnsi="Arial"/>
          <w:sz w:val="16"/>
          <w:szCs w:val="16"/>
          <w:color w:val="auto"/>
        </w:rPr>
        <w:t>The LIFO reserve decreased $0.3 million during the three months ended September 29, 2019 and increased $0.1 million during the three months ended September 30, 2018. During the six months ended September 29, 2019, the LIFO reserve decreased $0.3 million and increased $0.5 million during the six months ended September 30, 2018. The valuation of LIFO inventory for interim periods is based on our estimates of year-end inventory levels and costs.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 Goodwill and Intangible Assets</w:t>
      </w:r>
    </w:p>
    <w:p>
      <w:pPr>
        <w:spacing w:after="0" w:line="229" w:lineRule="exact"/>
        <w:rPr>
          <w:sz w:val="20"/>
          <w:szCs w:val="20"/>
          <w:color w:val="auto"/>
        </w:rPr>
      </w:pPr>
    </w:p>
    <w:p>
      <w:pPr>
        <w:ind w:right="300"/>
        <w:spacing w:after="0" w:line="308" w:lineRule="auto"/>
        <w:rPr>
          <w:sz w:val="20"/>
          <w:szCs w:val="20"/>
          <w:color w:val="auto"/>
        </w:rPr>
      </w:pPr>
      <w:r>
        <w:rPr>
          <w:rFonts w:ascii="Arial" w:cs="Arial" w:eastAsia="Arial" w:hAnsi="Arial"/>
          <w:sz w:val="17"/>
          <w:szCs w:val="17"/>
          <w:color w:val="auto"/>
        </w:rPr>
        <w:t>The carrying amount of goodwill was $58.4 million as of September 29, 2019 and March 31, 2019, of which $44.9 million was related to our Health and Nutrition segment, $7.0 million was related to our Water Treatment segment, and $6.5 million was related to our Industrial segment.</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A summary of our intangible assets as of September 29, 2019 and March 31, 2019 is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8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gridSpan w:val="3"/>
          </w:tcPr>
          <w:p>
            <w:pPr>
              <w:jc w:val="center"/>
              <w:ind w:right="120"/>
              <w:spacing w:after="0"/>
              <w:rPr>
                <w:sz w:val="20"/>
                <w:szCs w:val="20"/>
                <w:color w:val="auto"/>
              </w:rPr>
            </w:pPr>
            <w:r>
              <w:rPr>
                <w:rFonts w:ascii="Arial" w:cs="Arial" w:eastAsia="Arial" w:hAnsi="Arial"/>
                <w:sz w:val="14"/>
                <w:szCs w:val="14"/>
                <w:b w:val="1"/>
                <w:bCs w:val="1"/>
                <w:color w:val="auto"/>
                <w:w w:val="91"/>
              </w:rPr>
              <w:t>September 29, 2019</w:t>
            </w:r>
          </w:p>
        </w:tc>
        <w:tc>
          <w:tcPr>
            <w:tcW w:w="26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4"/>
                <w:szCs w:val="14"/>
                <w:b w:val="1"/>
                <w:bCs w:val="1"/>
                <w:color w:val="auto"/>
                <w:w w:val="96"/>
              </w:rPr>
              <w:t>March 31, 2019</w:t>
            </w:r>
          </w:p>
        </w:tc>
        <w:tc>
          <w:tcPr>
            <w:tcW w:w="26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382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(In thousands)</w:t>
            </w:r>
          </w:p>
        </w:tc>
        <w:tc>
          <w:tcPr>
            <w:tcW w:w="180" w:type="dxa"/>
            <w:vAlign w:val="bottom"/>
          </w:tcPr>
          <w:p>
            <w:pPr>
              <w:spacing w:after="0"/>
              <w:rPr>
                <w:sz w:val="13"/>
                <w:szCs w:val="13"/>
                <w:color w:val="auto"/>
              </w:rPr>
            </w:pPr>
          </w:p>
        </w:tc>
        <w:tc>
          <w:tcPr>
            <w:tcW w:w="960" w:type="dxa"/>
            <w:vAlign w:val="bottom"/>
            <w:gridSpan w:val="2"/>
          </w:tcPr>
          <w:p>
            <w:pPr>
              <w:jc w:val="center"/>
              <w:ind w:right="300"/>
              <w:spacing w:after="0" w:line="153" w:lineRule="exact"/>
              <w:rPr>
                <w:sz w:val="20"/>
                <w:szCs w:val="20"/>
                <w:color w:val="auto"/>
              </w:rPr>
            </w:pPr>
            <w:r>
              <w:rPr>
                <w:rFonts w:ascii="Arial" w:cs="Arial" w:eastAsia="Arial" w:hAnsi="Arial"/>
                <w:sz w:val="14"/>
                <w:szCs w:val="14"/>
                <w:b w:val="1"/>
                <w:bCs w:val="1"/>
                <w:color w:val="auto"/>
                <w:w w:val="83"/>
              </w:rPr>
              <w:t>Gross</w:t>
            </w:r>
          </w:p>
        </w:tc>
        <w:tc>
          <w:tcPr>
            <w:tcW w:w="180" w:type="dxa"/>
            <w:vAlign w:val="bottom"/>
          </w:tcPr>
          <w:p>
            <w:pPr>
              <w:spacing w:after="0"/>
              <w:rPr>
                <w:sz w:val="13"/>
                <w:szCs w:val="13"/>
                <w:color w:val="auto"/>
              </w:rPr>
            </w:pPr>
          </w:p>
        </w:tc>
        <w:tc>
          <w:tcPr>
            <w:tcW w:w="1260" w:type="dxa"/>
            <w:vAlign w:val="bottom"/>
            <w:gridSpan w:val="2"/>
          </w:tcPr>
          <w:p>
            <w:pPr>
              <w:jc w:val="center"/>
              <w:ind w:right="300"/>
              <w:spacing w:after="0" w:line="153" w:lineRule="exact"/>
              <w:rPr>
                <w:sz w:val="20"/>
                <w:szCs w:val="20"/>
                <w:color w:val="auto"/>
              </w:rPr>
            </w:pPr>
            <w:r>
              <w:rPr>
                <w:rFonts w:ascii="Arial" w:cs="Arial" w:eastAsia="Arial" w:hAnsi="Arial"/>
                <w:sz w:val="14"/>
                <w:szCs w:val="14"/>
                <w:b w:val="1"/>
                <w:bCs w:val="1"/>
                <w:color w:val="auto"/>
                <w:w w:val="90"/>
              </w:rPr>
              <w:t>Accumulated</w:t>
            </w:r>
          </w:p>
        </w:tc>
        <w:tc>
          <w:tcPr>
            <w:tcW w:w="260" w:type="dxa"/>
            <w:vAlign w:val="bottom"/>
          </w:tcPr>
          <w:p>
            <w:pPr>
              <w:spacing w:after="0"/>
              <w:rPr>
                <w:sz w:val="13"/>
                <w:szCs w:val="13"/>
                <w:color w:val="auto"/>
              </w:rPr>
            </w:pPr>
          </w:p>
        </w:tc>
        <w:tc>
          <w:tcPr>
            <w:tcW w:w="96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Net</w:t>
            </w:r>
          </w:p>
        </w:tc>
        <w:tc>
          <w:tcPr>
            <w:tcW w:w="180" w:type="dxa"/>
            <w:vAlign w:val="bottom"/>
          </w:tcPr>
          <w:p>
            <w:pPr>
              <w:spacing w:after="0"/>
              <w:rPr>
                <w:sz w:val="13"/>
                <w:szCs w:val="13"/>
                <w:color w:val="auto"/>
              </w:rPr>
            </w:pPr>
          </w:p>
        </w:tc>
        <w:tc>
          <w:tcPr>
            <w:tcW w:w="920" w:type="dxa"/>
            <w:vAlign w:val="bottom"/>
            <w:gridSpan w:val="2"/>
          </w:tcPr>
          <w:p>
            <w:pPr>
              <w:jc w:val="center"/>
              <w:ind w:right="320"/>
              <w:spacing w:after="0" w:line="153" w:lineRule="exact"/>
              <w:rPr>
                <w:sz w:val="20"/>
                <w:szCs w:val="20"/>
                <w:color w:val="auto"/>
              </w:rPr>
            </w:pPr>
            <w:r>
              <w:rPr>
                <w:rFonts w:ascii="Arial" w:cs="Arial" w:eastAsia="Arial" w:hAnsi="Arial"/>
                <w:sz w:val="14"/>
                <w:szCs w:val="14"/>
                <w:b w:val="1"/>
                <w:bCs w:val="1"/>
                <w:color w:val="auto"/>
                <w:w w:val="88"/>
              </w:rPr>
              <w:t>Gross</w:t>
            </w:r>
          </w:p>
        </w:tc>
        <w:tc>
          <w:tcPr>
            <w:tcW w:w="160" w:type="dxa"/>
            <w:vAlign w:val="bottom"/>
          </w:tcPr>
          <w:p>
            <w:pPr>
              <w:spacing w:after="0"/>
              <w:rPr>
                <w:sz w:val="13"/>
                <w:szCs w:val="13"/>
                <w:color w:val="auto"/>
              </w:rPr>
            </w:pPr>
          </w:p>
        </w:tc>
        <w:tc>
          <w:tcPr>
            <w:tcW w:w="1280" w:type="dxa"/>
            <w:vAlign w:val="bottom"/>
            <w:gridSpan w:val="2"/>
          </w:tcPr>
          <w:p>
            <w:pPr>
              <w:jc w:val="center"/>
              <w:ind w:right="260"/>
              <w:spacing w:after="0" w:line="153" w:lineRule="exact"/>
              <w:rPr>
                <w:sz w:val="20"/>
                <w:szCs w:val="20"/>
                <w:color w:val="auto"/>
              </w:rPr>
            </w:pPr>
            <w:r>
              <w:rPr>
                <w:rFonts w:ascii="Arial" w:cs="Arial" w:eastAsia="Arial" w:hAnsi="Arial"/>
                <w:sz w:val="14"/>
                <w:szCs w:val="14"/>
                <w:b w:val="1"/>
                <w:bCs w:val="1"/>
                <w:color w:val="auto"/>
                <w:w w:val="93"/>
              </w:rPr>
              <w:t>Accumulated</w:t>
            </w:r>
          </w:p>
        </w:tc>
        <w:tc>
          <w:tcPr>
            <w:tcW w:w="260" w:type="dxa"/>
            <w:vAlign w:val="bottom"/>
          </w:tcPr>
          <w:p>
            <w:pPr>
              <w:spacing w:after="0"/>
              <w:rPr>
                <w:sz w:val="13"/>
                <w:szCs w:val="13"/>
                <w:color w:val="auto"/>
              </w:rPr>
            </w:pPr>
          </w:p>
        </w:tc>
        <w:tc>
          <w:tcPr>
            <w:tcW w:w="740" w:type="dxa"/>
            <w:vAlign w:val="bottom"/>
            <w:vMerge w:val="restart"/>
          </w:tcPr>
          <w:p>
            <w:pPr>
              <w:jc w:val="right"/>
              <w:ind w:right="293"/>
              <w:spacing w:after="0"/>
              <w:rPr>
                <w:sz w:val="20"/>
                <w:szCs w:val="20"/>
                <w:color w:val="auto"/>
              </w:rPr>
            </w:pPr>
            <w:r>
              <w:rPr>
                <w:rFonts w:ascii="Arial" w:cs="Arial" w:eastAsia="Arial" w:hAnsi="Arial"/>
                <w:sz w:val="14"/>
                <w:szCs w:val="14"/>
                <w:b w:val="1"/>
                <w:bCs w:val="1"/>
                <w:color w:val="auto"/>
              </w:rPr>
              <w:t>Net</w:t>
            </w:r>
          </w:p>
        </w:tc>
        <w:tc>
          <w:tcPr>
            <w:tcW w:w="0" w:type="dxa"/>
            <w:vAlign w:val="bottom"/>
          </w:tcPr>
          <w:p>
            <w:pPr>
              <w:spacing w:after="0"/>
              <w:rPr>
                <w:sz w:val="1"/>
                <w:szCs w:val="1"/>
                <w:color w:val="auto"/>
              </w:rPr>
            </w:pPr>
          </w:p>
        </w:tc>
      </w:tr>
      <w:tr>
        <w:trPr>
          <w:trHeight w:val="192"/>
        </w:trPr>
        <w:tc>
          <w:tcPr>
            <w:tcW w:w="3820" w:type="dxa"/>
            <w:vAlign w:val="bottom"/>
            <w:vMerge w:val="continue"/>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4"/>
              </w:rPr>
              <w:t>Amount</w:t>
            </w:r>
          </w:p>
        </w:tc>
        <w:tc>
          <w:tcPr>
            <w:tcW w:w="180" w:type="dxa"/>
            <w:vAlign w:val="bottom"/>
          </w:tcPr>
          <w:p>
            <w:pPr>
              <w:spacing w:after="0"/>
              <w:rPr>
                <w:sz w:val="16"/>
                <w:szCs w:val="16"/>
                <w:color w:val="auto"/>
              </w:rPr>
            </w:pPr>
          </w:p>
        </w:tc>
        <w:tc>
          <w:tcPr>
            <w:tcW w:w="12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8"/>
              </w:rPr>
              <w:t>Amortization</w:t>
            </w:r>
          </w:p>
        </w:tc>
        <w:tc>
          <w:tcPr>
            <w:tcW w:w="260" w:type="dxa"/>
            <w:vAlign w:val="bottom"/>
          </w:tcPr>
          <w:p>
            <w:pPr>
              <w:spacing w:after="0"/>
              <w:rPr>
                <w:sz w:val="16"/>
                <w:szCs w:val="16"/>
                <w:color w:val="auto"/>
              </w:rPr>
            </w:pPr>
          </w:p>
        </w:tc>
        <w:tc>
          <w:tcPr>
            <w:tcW w:w="96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4"/>
              </w:rPr>
              <w:t>Amount</w:t>
            </w:r>
          </w:p>
        </w:tc>
        <w:tc>
          <w:tcPr>
            <w:tcW w:w="160" w:type="dxa"/>
            <w:vAlign w:val="bottom"/>
          </w:tcPr>
          <w:p>
            <w:pPr>
              <w:spacing w:after="0"/>
              <w:rPr>
                <w:sz w:val="16"/>
                <w:szCs w:val="16"/>
                <w:color w:val="auto"/>
              </w:rPr>
            </w:pPr>
          </w:p>
        </w:tc>
        <w:tc>
          <w:tcPr>
            <w:tcW w:w="12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5"/>
              </w:rPr>
              <w:t>Amortization</w:t>
            </w:r>
          </w:p>
        </w:tc>
        <w:tc>
          <w:tcPr>
            <w:tcW w:w="26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38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Finite-life intangible assets</w:t>
            </w: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84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114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spacing w:after="0"/>
              <w:rPr>
                <w:sz w:val="21"/>
                <w:szCs w:val="21"/>
                <w:color w:val="auto"/>
              </w:rPr>
            </w:pPr>
          </w:p>
        </w:tc>
        <w:tc>
          <w:tcPr>
            <w:tcW w:w="740" w:type="dxa"/>
            <w:vAlign w:val="bottom"/>
            <w:tcBorders>
              <w:top w:val="single" w:sz="8" w:color="auto"/>
              <w:bottom w:val="single" w:sz="8" w:color="CCEEFF"/>
            </w:tcBorders>
            <w:shd w:val="clear" w:color="auto" w:fill="CCEEFF"/>
          </w:tcPr>
          <w:p>
            <w:pPr>
              <w:spacing w:after="0"/>
              <w:rPr>
                <w:sz w:val="21"/>
                <w:szCs w:val="21"/>
                <w:color w:val="auto"/>
              </w:rPr>
            </w:pPr>
          </w:p>
        </w:tc>
        <w:tc>
          <w:tcPr>
            <w:tcW w:w="2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8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118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spacing w:after="0"/>
              <w:rPr>
                <w:sz w:val="21"/>
                <w:szCs w:val="21"/>
                <w:color w:val="auto"/>
              </w:rPr>
            </w:pPr>
          </w:p>
        </w:tc>
        <w:tc>
          <w:tcPr>
            <w:tcW w:w="74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820" w:type="dxa"/>
            <w:vAlign w:val="bottom"/>
          </w:tcPr>
          <w:p>
            <w:pPr>
              <w:ind w:left="380"/>
              <w:spacing w:after="0"/>
              <w:rPr>
                <w:sz w:val="20"/>
                <w:szCs w:val="20"/>
                <w:color w:val="auto"/>
              </w:rPr>
            </w:pPr>
            <w:r>
              <w:rPr>
                <w:rFonts w:ascii="Arial" w:cs="Arial" w:eastAsia="Arial" w:hAnsi="Arial"/>
                <w:sz w:val="18"/>
                <w:szCs w:val="18"/>
                <w:color w:val="auto"/>
              </w:rPr>
              <w:t>Customer relationships</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ind w:right="14"/>
              <w:spacing w:after="0"/>
              <w:rPr>
                <w:sz w:val="20"/>
                <w:szCs w:val="20"/>
                <w:color w:val="auto"/>
              </w:rPr>
            </w:pPr>
            <w:r>
              <w:rPr>
                <w:rFonts w:ascii="Arial" w:cs="Arial" w:eastAsia="Arial" w:hAnsi="Arial"/>
                <w:sz w:val="18"/>
                <w:szCs w:val="18"/>
                <w:color w:val="auto"/>
              </w:rPr>
              <w:t>78,383</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(19,155)</w:t>
            </w:r>
          </w:p>
        </w:tc>
        <w:tc>
          <w:tcPr>
            <w:tcW w:w="12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ind w:right="33"/>
              <w:spacing w:after="0"/>
              <w:rPr>
                <w:sz w:val="20"/>
                <w:szCs w:val="20"/>
                <w:color w:val="auto"/>
              </w:rPr>
            </w:pPr>
            <w:r>
              <w:rPr>
                <w:rFonts w:ascii="Arial" w:cs="Arial" w:eastAsia="Arial" w:hAnsi="Arial"/>
                <w:sz w:val="18"/>
                <w:szCs w:val="18"/>
                <w:color w:val="auto"/>
              </w:rPr>
              <w:t>59,228</w:t>
            </w:r>
          </w:p>
        </w:tc>
        <w:tc>
          <w:tcPr>
            <w:tcW w:w="2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ind w:right="34"/>
              <w:spacing w:after="0"/>
              <w:rPr>
                <w:sz w:val="20"/>
                <w:szCs w:val="20"/>
                <w:color w:val="auto"/>
              </w:rPr>
            </w:pPr>
            <w:r>
              <w:rPr>
                <w:rFonts w:ascii="Arial" w:cs="Arial" w:eastAsia="Arial" w:hAnsi="Arial"/>
                <w:sz w:val="18"/>
                <w:szCs w:val="18"/>
                <w:color w:val="auto"/>
              </w:rPr>
              <w:t>78,383</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(16,910)</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ind w:right="13"/>
              <w:spacing w:after="0"/>
              <w:rPr>
                <w:sz w:val="20"/>
                <w:szCs w:val="20"/>
                <w:color w:val="auto"/>
              </w:rPr>
            </w:pPr>
            <w:r>
              <w:rPr>
                <w:rFonts w:ascii="Arial" w:cs="Arial" w:eastAsia="Arial" w:hAnsi="Arial"/>
                <w:sz w:val="18"/>
                <w:szCs w:val="18"/>
                <w:color w:val="auto"/>
              </w:rPr>
              <w:t>61,473</w:t>
            </w:r>
          </w:p>
        </w:tc>
        <w:tc>
          <w:tcPr>
            <w:tcW w:w="0" w:type="dxa"/>
            <w:vAlign w:val="bottom"/>
          </w:tcPr>
          <w:p>
            <w:pPr>
              <w:spacing w:after="0"/>
              <w:rPr>
                <w:sz w:val="1"/>
                <w:szCs w:val="1"/>
                <w:color w:val="auto"/>
              </w:rPr>
            </w:pPr>
          </w:p>
        </w:tc>
      </w:tr>
      <w:tr>
        <w:trPr>
          <w:trHeight w:val="27"/>
        </w:trPr>
        <w:tc>
          <w:tcPr>
            <w:tcW w:w="38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7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8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Trademarks and trade names</w:t>
            </w: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6,045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(3,378)</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2,667</w:t>
            </w:r>
          </w:p>
        </w:tc>
        <w:tc>
          <w:tcPr>
            <w:tcW w:w="2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6,045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(3,115)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2,930</w:t>
            </w:r>
          </w:p>
        </w:tc>
        <w:tc>
          <w:tcPr>
            <w:tcW w:w="0" w:type="dxa"/>
            <w:vAlign w:val="bottom"/>
          </w:tcPr>
          <w:p>
            <w:pPr>
              <w:spacing w:after="0"/>
              <w:rPr>
                <w:sz w:val="1"/>
                <w:szCs w:val="1"/>
                <w:color w:val="auto"/>
              </w:rPr>
            </w:pPr>
          </w:p>
        </w:tc>
      </w:tr>
      <w:tr>
        <w:trPr>
          <w:trHeight w:val="243"/>
        </w:trPr>
        <w:tc>
          <w:tcPr>
            <w:tcW w:w="3820" w:type="dxa"/>
            <w:vAlign w:val="bottom"/>
          </w:tcPr>
          <w:p>
            <w:pPr>
              <w:ind w:left="380"/>
              <w:spacing w:after="0"/>
              <w:rPr>
                <w:sz w:val="20"/>
                <w:szCs w:val="20"/>
                <w:color w:val="auto"/>
              </w:rPr>
            </w:pPr>
            <w:r>
              <w:rPr>
                <w:rFonts w:ascii="Arial" w:cs="Arial" w:eastAsia="Arial" w:hAnsi="Arial"/>
                <w:sz w:val="18"/>
                <w:szCs w:val="18"/>
                <w:color w:val="auto"/>
              </w:rPr>
              <w:t>Other finite-life intangible assets</w:t>
            </w:r>
          </w:p>
        </w:tc>
        <w:tc>
          <w:tcPr>
            <w:tcW w:w="180" w:type="dxa"/>
            <w:vAlign w:val="bottom"/>
          </w:tcPr>
          <w:p>
            <w:pPr>
              <w:spacing w:after="0"/>
              <w:rPr>
                <w:sz w:val="21"/>
                <w:szCs w:val="21"/>
                <w:color w:val="auto"/>
              </w:rPr>
            </w:pPr>
          </w:p>
        </w:tc>
        <w:tc>
          <w:tcPr>
            <w:tcW w:w="840" w:type="dxa"/>
            <w:vAlign w:val="bottom"/>
          </w:tcPr>
          <w:p>
            <w:pPr>
              <w:jc w:val="right"/>
              <w:ind w:right="14"/>
              <w:spacing w:after="0"/>
              <w:rPr>
                <w:sz w:val="20"/>
                <w:szCs w:val="20"/>
                <w:color w:val="auto"/>
              </w:rPr>
            </w:pPr>
            <w:r>
              <w:rPr>
                <w:rFonts w:ascii="Arial" w:cs="Arial" w:eastAsia="Arial" w:hAnsi="Arial"/>
                <w:sz w:val="18"/>
                <w:szCs w:val="18"/>
                <w:color w:val="auto"/>
              </w:rPr>
              <w:t>3,648</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(3,581)</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40" w:type="dxa"/>
            <w:vAlign w:val="bottom"/>
          </w:tcPr>
          <w:p>
            <w:pPr>
              <w:jc w:val="right"/>
              <w:ind w:right="33"/>
              <w:spacing w:after="0"/>
              <w:rPr>
                <w:sz w:val="20"/>
                <w:szCs w:val="20"/>
                <w:color w:val="auto"/>
              </w:rPr>
            </w:pPr>
            <w:r>
              <w:rPr>
                <w:rFonts w:ascii="Arial" w:cs="Arial" w:eastAsia="Arial" w:hAnsi="Arial"/>
                <w:sz w:val="18"/>
                <w:szCs w:val="18"/>
                <w:color w:val="auto"/>
              </w:rPr>
              <w:t>67</w:t>
            </w: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20" w:type="dxa"/>
            <w:vAlign w:val="bottom"/>
          </w:tcPr>
          <w:p>
            <w:pPr>
              <w:jc w:val="right"/>
              <w:ind w:right="34"/>
              <w:spacing w:after="0"/>
              <w:rPr>
                <w:sz w:val="20"/>
                <w:szCs w:val="20"/>
                <w:color w:val="auto"/>
              </w:rPr>
            </w:pPr>
            <w:r>
              <w:rPr>
                <w:rFonts w:ascii="Arial" w:cs="Arial" w:eastAsia="Arial" w:hAnsi="Arial"/>
                <w:sz w:val="18"/>
                <w:szCs w:val="18"/>
                <w:color w:val="auto"/>
              </w:rPr>
              <w:t>3,648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(3,552)</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40" w:type="dxa"/>
            <w:vAlign w:val="bottom"/>
          </w:tcPr>
          <w:p>
            <w:pPr>
              <w:jc w:val="right"/>
              <w:ind w:right="13"/>
              <w:spacing w:after="0"/>
              <w:rPr>
                <w:sz w:val="20"/>
                <w:szCs w:val="20"/>
                <w:color w:val="auto"/>
              </w:rPr>
            </w:pPr>
            <w:r>
              <w:rPr>
                <w:rFonts w:ascii="Arial" w:cs="Arial" w:eastAsia="Arial" w:hAnsi="Arial"/>
                <w:sz w:val="18"/>
                <w:szCs w:val="18"/>
                <w:color w:val="auto"/>
              </w:rPr>
              <w:t>96</w:t>
            </w:r>
          </w:p>
        </w:tc>
        <w:tc>
          <w:tcPr>
            <w:tcW w:w="0" w:type="dxa"/>
            <w:vAlign w:val="bottom"/>
          </w:tcPr>
          <w:p>
            <w:pPr>
              <w:spacing w:after="0"/>
              <w:rPr>
                <w:sz w:val="1"/>
                <w:szCs w:val="1"/>
                <w:color w:val="auto"/>
              </w:rPr>
            </w:pPr>
          </w:p>
        </w:tc>
      </w:tr>
      <w:tr>
        <w:trPr>
          <w:trHeight w:val="27"/>
        </w:trPr>
        <w:tc>
          <w:tcPr>
            <w:tcW w:w="38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finite-life intangible assets</w:t>
            </w: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88,076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(26,114)</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61,962</w:t>
            </w:r>
          </w:p>
        </w:tc>
        <w:tc>
          <w:tcPr>
            <w:tcW w:w="2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88,076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(23,577)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64,499</w:t>
            </w:r>
          </w:p>
        </w:tc>
        <w:tc>
          <w:tcPr>
            <w:tcW w:w="0" w:type="dxa"/>
            <w:vAlign w:val="bottom"/>
          </w:tcPr>
          <w:p>
            <w:pPr>
              <w:spacing w:after="0"/>
              <w:rPr>
                <w:sz w:val="1"/>
                <w:szCs w:val="1"/>
                <w:color w:val="auto"/>
              </w:rPr>
            </w:pPr>
          </w:p>
        </w:tc>
      </w:tr>
      <w:tr>
        <w:trPr>
          <w:trHeight w:val="243"/>
        </w:trPr>
        <w:tc>
          <w:tcPr>
            <w:tcW w:w="3820" w:type="dxa"/>
            <w:vAlign w:val="bottom"/>
          </w:tcPr>
          <w:p>
            <w:pPr>
              <w:ind w:left="40"/>
              <w:spacing w:after="0"/>
              <w:rPr>
                <w:sz w:val="20"/>
                <w:szCs w:val="20"/>
                <w:color w:val="auto"/>
              </w:rPr>
            </w:pPr>
            <w:r>
              <w:rPr>
                <w:rFonts w:ascii="Arial" w:cs="Arial" w:eastAsia="Arial" w:hAnsi="Arial"/>
                <w:sz w:val="18"/>
                <w:szCs w:val="18"/>
                <w:color w:val="auto"/>
              </w:rPr>
              <w:t>Indefinite-life intangible assets</w:t>
            </w:r>
          </w:p>
        </w:tc>
        <w:tc>
          <w:tcPr>
            <w:tcW w:w="180" w:type="dxa"/>
            <w:vAlign w:val="bottom"/>
          </w:tcPr>
          <w:p>
            <w:pPr>
              <w:spacing w:after="0"/>
              <w:rPr>
                <w:sz w:val="21"/>
                <w:szCs w:val="21"/>
                <w:color w:val="auto"/>
              </w:rPr>
            </w:pPr>
          </w:p>
        </w:tc>
        <w:tc>
          <w:tcPr>
            <w:tcW w:w="840" w:type="dxa"/>
            <w:vAlign w:val="bottom"/>
          </w:tcPr>
          <w:p>
            <w:pPr>
              <w:jc w:val="right"/>
              <w:ind w:right="14"/>
              <w:spacing w:after="0"/>
              <w:rPr>
                <w:sz w:val="20"/>
                <w:szCs w:val="20"/>
                <w:color w:val="auto"/>
              </w:rPr>
            </w:pPr>
            <w:r>
              <w:rPr>
                <w:rFonts w:ascii="Arial" w:cs="Arial" w:eastAsia="Arial" w:hAnsi="Arial"/>
                <w:sz w:val="18"/>
                <w:szCs w:val="18"/>
                <w:color w:val="auto"/>
              </w:rPr>
              <w:t>1,227</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740" w:type="dxa"/>
            <w:vAlign w:val="bottom"/>
          </w:tcPr>
          <w:p>
            <w:pPr>
              <w:jc w:val="right"/>
              <w:ind w:right="33"/>
              <w:spacing w:after="0"/>
              <w:rPr>
                <w:sz w:val="20"/>
                <w:szCs w:val="20"/>
                <w:color w:val="auto"/>
              </w:rPr>
            </w:pPr>
            <w:r>
              <w:rPr>
                <w:rFonts w:ascii="Arial" w:cs="Arial" w:eastAsia="Arial" w:hAnsi="Arial"/>
                <w:sz w:val="18"/>
                <w:szCs w:val="18"/>
                <w:color w:val="auto"/>
              </w:rPr>
              <w:t>1,227</w:t>
            </w: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20" w:type="dxa"/>
            <w:vAlign w:val="bottom"/>
          </w:tcPr>
          <w:p>
            <w:pPr>
              <w:jc w:val="right"/>
              <w:ind w:right="34"/>
              <w:spacing w:after="0"/>
              <w:rPr>
                <w:sz w:val="20"/>
                <w:szCs w:val="20"/>
                <w:color w:val="auto"/>
              </w:rPr>
            </w:pPr>
            <w:r>
              <w:rPr>
                <w:rFonts w:ascii="Arial" w:cs="Arial" w:eastAsia="Arial" w:hAnsi="Arial"/>
                <w:sz w:val="18"/>
                <w:szCs w:val="18"/>
                <w:color w:val="auto"/>
              </w:rPr>
              <w:t>1,227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740" w:type="dxa"/>
            <w:vAlign w:val="bottom"/>
          </w:tcPr>
          <w:p>
            <w:pPr>
              <w:jc w:val="right"/>
              <w:ind w:right="13"/>
              <w:spacing w:after="0"/>
              <w:rPr>
                <w:sz w:val="20"/>
                <w:szCs w:val="20"/>
                <w:color w:val="auto"/>
              </w:rPr>
            </w:pPr>
            <w:r>
              <w:rPr>
                <w:rFonts w:ascii="Arial" w:cs="Arial" w:eastAsia="Arial" w:hAnsi="Arial"/>
                <w:sz w:val="18"/>
                <w:szCs w:val="18"/>
                <w:color w:val="auto"/>
              </w:rPr>
              <w:t>1,227</w:t>
            </w:r>
          </w:p>
        </w:tc>
        <w:tc>
          <w:tcPr>
            <w:tcW w:w="0" w:type="dxa"/>
            <w:vAlign w:val="bottom"/>
          </w:tcPr>
          <w:p>
            <w:pPr>
              <w:spacing w:after="0"/>
              <w:rPr>
                <w:sz w:val="1"/>
                <w:szCs w:val="1"/>
                <w:color w:val="auto"/>
              </w:rPr>
            </w:pPr>
          </w:p>
        </w:tc>
      </w:tr>
      <w:tr>
        <w:trPr>
          <w:trHeight w:val="27"/>
        </w:trPr>
        <w:tc>
          <w:tcPr>
            <w:tcW w:w="38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3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intangible assets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89,303</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(26,114)</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63,189</w:t>
            </w:r>
          </w:p>
        </w:tc>
        <w:tc>
          <w:tcPr>
            <w:tcW w:w="2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89,303</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(23,577)</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65,726</w:t>
            </w:r>
          </w:p>
        </w:tc>
        <w:tc>
          <w:tcPr>
            <w:tcW w:w="0" w:type="dxa"/>
            <w:vAlign w:val="bottom"/>
          </w:tcPr>
          <w:p>
            <w:pPr>
              <w:spacing w:after="0"/>
              <w:rPr>
                <w:sz w:val="1"/>
                <w:szCs w:val="1"/>
                <w:color w:val="auto"/>
              </w:rPr>
            </w:pPr>
          </w:p>
        </w:tc>
      </w:tr>
      <w:tr>
        <w:trPr>
          <w:trHeight w:val="20"/>
        </w:trPr>
        <w:tc>
          <w:tcPr>
            <w:tcW w:w="38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 Debt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Debt at September 29, 2019 and March 31, 2019 consisted of the following:</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300" w:type="dxa"/>
            <w:vAlign w:val="bottom"/>
          </w:tcPr>
          <w:p>
            <w:pPr>
              <w:spacing w:after="0"/>
              <w:rPr>
                <w:sz w:val="18"/>
                <w:szCs w:val="18"/>
                <w:color w:val="auto"/>
              </w:rPr>
            </w:pPr>
          </w:p>
        </w:tc>
        <w:tc>
          <w:tcPr>
            <w:tcW w:w="3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gridSpan w:val="2"/>
          </w:tcPr>
          <w:p>
            <w:pPr>
              <w:ind w:left="40"/>
              <w:spacing w:after="0"/>
              <w:rPr>
                <w:sz w:val="20"/>
                <w:szCs w:val="20"/>
                <w:color w:val="auto"/>
              </w:rPr>
            </w:pPr>
            <w:r>
              <w:rPr>
                <w:rFonts w:ascii="Arial" w:cs="Arial" w:eastAsia="Arial" w:hAnsi="Arial"/>
                <w:sz w:val="18"/>
                <w:szCs w:val="18"/>
                <w:b w:val="1"/>
                <w:bCs w:val="1"/>
                <w:color w:val="auto"/>
              </w:rPr>
              <w:t>September 29,</w:t>
            </w:r>
          </w:p>
        </w:tc>
        <w:tc>
          <w:tcPr>
            <w:tcW w:w="160" w:type="dxa"/>
            <w:vAlign w:val="bottom"/>
          </w:tcPr>
          <w:p>
            <w:pPr>
              <w:spacing w:after="0"/>
              <w:rPr>
                <w:sz w:val="18"/>
                <w:szCs w:val="18"/>
                <w:color w:val="auto"/>
              </w:rPr>
            </w:pPr>
          </w:p>
        </w:tc>
        <w:tc>
          <w:tcPr>
            <w:tcW w:w="1040" w:type="dxa"/>
            <w:vAlign w:val="bottom"/>
          </w:tcPr>
          <w:p>
            <w:pPr>
              <w:jc w:val="right"/>
              <w:ind w:right="130"/>
              <w:spacing w:after="0"/>
              <w:rPr>
                <w:sz w:val="20"/>
                <w:szCs w:val="20"/>
                <w:color w:val="auto"/>
              </w:rPr>
            </w:pPr>
            <w:r>
              <w:rPr>
                <w:rFonts w:ascii="Arial" w:cs="Arial" w:eastAsia="Arial" w:hAnsi="Arial"/>
                <w:sz w:val="18"/>
                <w:szCs w:val="18"/>
                <w:b w:val="1"/>
                <w:bCs w:val="1"/>
                <w:color w:val="auto"/>
                <w:w w:val="96"/>
              </w:rPr>
              <w:t>March 31,</w:t>
            </w:r>
          </w:p>
        </w:tc>
        <w:tc>
          <w:tcPr>
            <w:tcW w:w="0" w:type="dxa"/>
            <w:vAlign w:val="bottom"/>
          </w:tcPr>
          <w:p>
            <w:pPr>
              <w:spacing w:after="0"/>
              <w:rPr>
                <w:sz w:val="1"/>
                <w:szCs w:val="1"/>
                <w:color w:val="auto"/>
              </w:rPr>
            </w:pPr>
          </w:p>
        </w:tc>
      </w:tr>
      <w:tr>
        <w:trPr>
          <w:trHeight w:val="234"/>
        </w:trPr>
        <w:tc>
          <w:tcPr>
            <w:tcW w:w="4300" w:type="dxa"/>
            <w:vAlign w:val="bottom"/>
          </w:tcPr>
          <w:p>
            <w:pPr>
              <w:spacing w:after="0"/>
              <w:rPr>
                <w:sz w:val="20"/>
                <w:szCs w:val="20"/>
                <w:color w:val="auto"/>
              </w:rPr>
            </w:pPr>
          </w:p>
        </w:tc>
        <w:tc>
          <w:tcPr>
            <w:tcW w:w="38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80" w:type="dxa"/>
            <w:vAlign w:val="bottom"/>
          </w:tcPr>
          <w:p>
            <w:pPr>
              <w:jc w:val="right"/>
              <w:ind w:right="51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40" w:type="dxa"/>
            <w:vAlign w:val="bottom"/>
          </w:tcPr>
          <w:p>
            <w:pPr>
              <w:jc w:val="right"/>
              <w:ind w:right="330"/>
              <w:spacing w:after="0"/>
              <w:rPr>
                <w:sz w:val="20"/>
                <w:szCs w:val="20"/>
                <w:color w:val="auto"/>
              </w:rPr>
            </w:pPr>
            <w:r>
              <w:rPr>
                <w:rFonts w:ascii="Arial" w:cs="Arial" w:eastAsia="Arial" w:hAnsi="Arial"/>
                <w:sz w:val="18"/>
                <w:szCs w:val="18"/>
                <w:b w:val="1"/>
                <w:bCs w:val="1"/>
                <w:color w:val="auto"/>
              </w:rPr>
              <w:t>2019</w:t>
            </w:r>
          </w:p>
        </w:tc>
        <w:tc>
          <w:tcPr>
            <w:tcW w:w="0" w:type="dxa"/>
            <w:vAlign w:val="bottom"/>
          </w:tcPr>
          <w:p>
            <w:pPr>
              <w:spacing w:after="0"/>
              <w:rPr>
                <w:sz w:val="1"/>
                <w:szCs w:val="1"/>
                <w:color w:val="auto"/>
              </w:rPr>
            </w:pPr>
          </w:p>
        </w:tc>
      </w:tr>
      <w:tr>
        <w:trPr>
          <w:trHeight w:val="27"/>
        </w:trPr>
        <w:tc>
          <w:tcPr>
            <w:tcW w:w="4300" w:type="dxa"/>
            <w:vAlign w:val="bottom"/>
            <w:tcBorders>
              <w:bottom w:val="single" w:sz="8" w:color="CCEEFF"/>
            </w:tcBorders>
          </w:tcPr>
          <w:p>
            <w:pPr>
              <w:spacing w:after="0"/>
              <w:rPr>
                <w:sz w:val="2"/>
                <w:szCs w:val="2"/>
                <w:color w:val="auto"/>
              </w:rPr>
            </w:pPr>
          </w:p>
        </w:tc>
        <w:tc>
          <w:tcPr>
            <w:tcW w:w="38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30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(In thousands)</w:t>
            </w:r>
          </w:p>
        </w:tc>
        <w:tc>
          <w:tcPr>
            <w:tcW w:w="38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3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04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4300" w:type="dxa"/>
            <w:vAlign w:val="bottom"/>
          </w:tcPr>
          <w:p>
            <w:pPr>
              <w:ind w:left="40"/>
              <w:spacing w:after="0"/>
              <w:rPr>
                <w:sz w:val="20"/>
                <w:szCs w:val="20"/>
                <w:color w:val="auto"/>
              </w:rPr>
            </w:pPr>
            <w:r>
              <w:rPr>
                <w:rFonts w:ascii="Arial" w:cs="Arial" w:eastAsia="Arial" w:hAnsi="Arial"/>
                <w:sz w:val="18"/>
                <w:szCs w:val="18"/>
                <w:color w:val="auto"/>
              </w:rPr>
              <w:t>Senior secured revolving loan</w:t>
            </w:r>
          </w:p>
        </w:tc>
        <w:tc>
          <w:tcPr>
            <w:tcW w:w="39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80" w:type="dxa"/>
            <w:vAlign w:val="bottom"/>
          </w:tcPr>
          <w:p>
            <w:pPr>
              <w:jc w:val="right"/>
              <w:ind w:right="30"/>
              <w:spacing w:after="0"/>
              <w:rPr>
                <w:sz w:val="20"/>
                <w:szCs w:val="20"/>
                <w:color w:val="auto"/>
              </w:rPr>
            </w:pPr>
            <w:r>
              <w:rPr>
                <w:rFonts w:ascii="Arial" w:cs="Arial" w:eastAsia="Arial" w:hAnsi="Arial"/>
                <w:sz w:val="18"/>
                <w:szCs w:val="18"/>
                <w:color w:val="auto"/>
              </w:rPr>
              <w:t>75,000</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85,000</w:t>
            </w:r>
          </w:p>
        </w:tc>
        <w:tc>
          <w:tcPr>
            <w:tcW w:w="0" w:type="dxa"/>
            <w:vAlign w:val="bottom"/>
          </w:tcPr>
          <w:p>
            <w:pPr>
              <w:spacing w:after="0"/>
              <w:rPr>
                <w:sz w:val="1"/>
                <w:szCs w:val="1"/>
                <w:color w:val="auto"/>
              </w:rPr>
            </w:pPr>
          </w:p>
        </w:tc>
      </w:tr>
      <w:tr>
        <w:trPr>
          <w:trHeight w:val="27"/>
        </w:trPr>
        <w:tc>
          <w:tcPr>
            <w:tcW w:w="4300" w:type="dxa"/>
            <w:vAlign w:val="bottom"/>
          </w:tcPr>
          <w:p>
            <w:pPr>
              <w:spacing w:after="0"/>
              <w:rPr>
                <w:sz w:val="2"/>
                <w:szCs w:val="2"/>
                <w:color w:val="auto"/>
              </w:rPr>
            </w:pPr>
          </w:p>
        </w:tc>
        <w:tc>
          <w:tcPr>
            <w:tcW w:w="38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3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Less: unamortized debt issuance costs</w:t>
            </w:r>
          </w:p>
        </w:tc>
        <w:tc>
          <w:tcPr>
            <w:tcW w:w="38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(388)</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(435)</w:t>
            </w:r>
          </w:p>
        </w:tc>
        <w:tc>
          <w:tcPr>
            <w:tcW w:w="0" w:type="dxa"/>
            <w:vAlign w:val="bottom"/>
          </w:tcPr>
          <w:p>
            <w:pPr>
              <w:spacing w:after="0"/>
              <w:rPr>
                <w:sz w:val="1"/>
                <w:szCs w:val="1"/>
                <w:color w:val="auto"/>
              </w:rPr>
            </w:pPr>
          </w:p>
        </w:tc>
      </w:tr>
      <w:tr>
        <w:trPr>
          <w:trHeight w:val="237"/>
        </w:trPr>
        <w:tc>
          <w:tcPr>
            <w:tcW w:w="4300" w:type="dxa"/>
            <w:vAlign w:val="bottom"/>
          </w:tcPr>
          <w:p>
            <w:pPr>
              <w:ind w:left="180"/>
              <w:spacing w:after="0"/>
              <w:rPr>
                <w:sz w:val="20"/>
                <w:szCs w:val="20"/>
                <w:color w:val="auto"/>
              </w:rPr>
            </w:pPr>
            <w:r>
              <w:rPr>
                <w:rFonts w:ascii="Arial" w:cs="Arial" w:eastAsia="Arial" w:hAnsi="Arial"/>
                <w:sz w:val="18"/>
                <w:szCs w:val="18"/>
                <w:color w:val="auto"/>
              </w:rPr>
              <w:t>Total debt, net of debt issuance costs</w:t>
            </w:r>
          </w:p>
        </w:tc>
        <w:tc>
          <w:tcPr>
            <w:tcW w:w="38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3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74,612</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84,565</w:t>
            </w:r>
          </w:p>
        </w:tc>
        <w:tc>
          <w:tcPr>
            <w:tcW w:w="0" w:type="dxa"/>
            <w:vAlign w:val="bottom"/>
          </w:tcPr>
          <w:p>
            <w:pPr>
              <w:spacing w:after="0"/>
              <w:rPr>
                <w:sz w:val="1"/>
                <w:szCs w:val="1"/>
                <w:color w:val="auto"/>
              </w:rPr>
            </w:pPr>
          </w:p>
        </w:tc>
      </w:tr>
      <w:tr>
        <w:trPr>
          <w:trHeight w:val="27"/>
        </w:trPr>
        <w:tc>
          <w:tcPr>
            <w:tcW w:w="4300" w:type="dxa"/>
            <w:vAlign w:val="bottom"/>
          </w:tcPr>
          <w:p>
            <w:pPr>
              <w:spacing w:after="0"/>
              <w:rPr>
                <w:sz w:val="2"/>
                <w:szCs w:val="2"/>
                <w:color w:val="auto"/>
              </w:rPr>
            </w:pPr>
          </w:p>
        </w:tc>
        <w:tc>
          <w:tcPr>
            <w:tcW w:w="38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3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Less: current portion of long-term debt</w:t>
            </w:r>
          </w:p>
        </w:tc>
        <w:tc>
          <w:tcPr>
            <w:tcW w:w="38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(9,907)</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(9,907)</w:t>
            </w:r>
          </w:p>
        </w:tc>
        <w:tc>
          <w:tcPr>
            <w:tcW w:w="0" w:type="dxa"/>
            <w:vAlign w:val="bottom"/>
          </w:tcPr>
          <w:p>
            <w:pPr>
              <w:spacing w:after="0"/>
              <w:rPr>
                <w:sz w:val="1"/>
                <w:szCs w:val="1"/>
                <w:color w:val="auto"/>
              </w:rPr>
            </w:pPr>
          </w:p>
        </w:tc>
      </w:tr>
      <w:tr>
        <w:trPr>
          <w:trHeight w:val="257"/>
        </w:trPr>
        <w:tc>
          <w:tcPr>
            <w:tcW w:w="4300" w:type="dxa"/>
            <w:vAlign w:val="bottom"/>
          </w:tcPr>
          <w:p>
            <w:pPr>
              <w:ind w:left="40"/>
              <w:spacing w:after="0"/>
              <w:rPr>
                <w:sz w:val="20"/>
                <w:szCs w:val="20"/>
                <w:color w:val="auto"/>
              </w:rPr>
            </w:pPr>
            <w:r>
              <w:rPr>
                <w:rFonts w:ascii="Arial" w:cs="Arial" w:eastAsia="Arial" w:hAnsi="Arial"/>
                <w:sz w:val="18"/>
                <w:szCs w:val="18"/>
                <w:color w:val="auto"/>
              </w:rPr>
              <w:t>Total long-term debt</w:t>
            </w:r>
          </w:p>
        </w:tc>
        <w:tc>
          <w:tcPr>
            <w:tcW w:w="38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64,705</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74,658</w:t>
            </w:r>
          </w:p>
        </w:tc>
        <w:tc>
          <w:tcPr>
            <w:tcW w:w="0" w:type="dxa"/>
            <w:vAlign w:val="bottom"/>
          </w:tcPr>
          <w:p>
            <w:pPr>
              <w:spacing w:after="0"/>
              <w:rPr>
                <w:sz w:val="1"/>
                <w:szCs w:val="1"/>
                <w:color w:val="auto"/>
              </w:rPr>
            </w:pPr>
          </w:p>
        </w:tc>
      </w:tr>
      <w:tr>
        <w:trPr>
          <w:trHeight w:val="20"/>
        </w:trPr>
        <w:tc>
          <w:tcPr>
            <w:tcW w:w="4300" w:type="dxa"/>
            <w:vAlign w:val="bottom"/>
          </w:tcPr>
          <w:p>
            <w:pPr>
              <w:spacing w:after="0" w:line="20" w:lineRule="exact"/>
              <w:rPr>
                <w:sz w:val="1"/>
                <w:szCs w:val="1"/>
                <w:color w:val="auto"/>
              </w:rPr>
            </w:pPr>
          </w:p>
        </w:tc>
        <w:tc>
          <w:tcPr>
            <w:tcW w:w="3800" w:type="dxa"/>
            <w:vAlign w:val="bottom"/>
            <w:vMerge w:val="restart"/>
          </w:tcPr>
          <w:p>
            <w:pPr>
              <w:jc w:val="right"/>
              <w:ind w:right="2210"/>
              <w:spacing w:after="0"/>
              <w:rPr>
                <w:sz w:val="20"/>
                <w:szCs w:val="20"/>
                <w:color w:val="auto"/>
              </w:rPr>
            </w:pPr>
            <w:r>
              <w:rPr>
                <w:rFonts w:ascii="Arial" w:cs="Arial" w:eastAsia="Arial" w:hAnsi="Arial"/>
                <w:sz w:val="18"/>
                <w:szCs w:val="18"/>
                <w:color w:val="auto"/>
              </w:rPr>
              <w:t>10</w:t>
            </w:r>
          </w:p>
        </w:tc>
        <w:tc>
          <w:tcPr>
            <w:tcW w:w="1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2"/>
        </w:trPr>
        <w:tc>
          <w:tcPr>
            <w:tcW w:w="4300" w:type="dxa"/>
            <w:vAlign w:val="bottom"/>
          </w:tcPr>
          <w:p>
            <w:pPr>
              <w:spacing w:after="0"/>
              <w:rPr>
                <w:sz w:val="24"/>
                <w:szCs w:val="24"/>
                <w:color w:val="auto"/>
              </w:rPr>
            </w:pPr>
          </w:p>
        </w:tc>
        <w:tc>
          <w:tcPr>
            <w:tcW w:w="380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00"/>
          </w:cols>
          <w:pgMar w:left="240" w:top="796" w:right="359" w:bottom="1440" w:gutter="0" w:footer="0" w:header="0"/>
        </w:sectPr>
      </w:pPr>
    </w:p>
    <w:bookmarkStart w:id="12" w:name="page13"/>
    <w:bookmarkEnd w:id="12"/>
    <w:p>
      <w:pPr>
        <w:spacing w:after="0"/>
        <w:rPr>
          <w:sz w:val="20"/>
          <w:szCs w:val="20"/>
          <w:color w:val="auto"/>
        </w:rPr>
      </w:pPr>
      <w:r>
        <w:rPr>
          <w:rFonts w:ascii="Arial" w:cs="Arial" w:eastAsia="Arial" w:hAnsi="Arial"/>
          <w:sz w:val="18"/>
          <w:szCs w:val="18"/>
          <w:b w:val="1"/>
          <w:bCs w:val="1"/>
          <w:color w:val="auto"/>
        </w:rPr>
        <w:t>Note 10 – Income Taxes</w:t>
      </w:r>
    </w:p>
    <w:p>
      <w:pPr>
        <w:spacing w:after="0" w:line="229" w:lineRule="exact"/>
        <w:rPr>
          <w:sz w:val="20"/>
          <w:szCs w:val="20"/>
          <w:color w:val="auto"/>
        </w:rPr>
      </w:pPr>
    </w:p>
    <w:p>
      <w:pPr>
        <w:ind w:right="200"/>
        <w:spacing w:after="0" w:line="258" w:lineRule="auto"/>
        <w:rPr>
          <w:sz w:val="20"/>
          <w:szCs w:val="20"/>
          <w:color w:val="auto"/>
        </w:rPr>
      </w:pPr>
      <w:r>
        <w:rPr>
          <w:rFonts w:ascii="Arial" w:cs="Arial" w:eastAsia="Arial" w:hAnsi="Arial"/>
          <w:sz w:val="18"/>
          <w:szCs w:val="18"/>
          <w:color w:val="auto"/>
        </w:rPr>
        <w:t>We are subject to U.S. federal income tax as well as income tax of multiple state jurisdictions. The tax years prior to our fiscal year ended April 3, 2016 are closed to examination by the Internal Revenue Service, and with few exceptions, state and local</w:t>
      </w:r>
    </w:p>
    <w:p>
      <w:pPr>
        <w:spacing w:after="0" w:line="1" w:lineRule="exact"/>
        <w:rPr>
          <w:sz w:val="20"/>
          <w:szCs w:val="20"/>
          <w:color w:val="auto"/>
        </w:rPr>
      </w:pPr>
    </w:p>
    <w:p>
      <w:pPr>
        <w:ind w:right="920"/>
        <w:spacing w:after="0" w:line="323" w:lineRule="auto"/>
        <w:rPr>
          <w:sz w:val="20"/>
          <w:szCs w:val="20"/>
          <w:color w:val="auto"/>
        </w:rPr>
      </w:pPr>
      <w:r>
        <w:rPr>
          <w:rFonts w:ascii="Arial" w:cs="Arial" w:eastAsia="Arial" w:hAnsi="Arial"/>
          <w:sz w:val="16"/>
          <w:szCs w:val="16"/>
          <w:color w:val="auto"/>
        </w:rPr>
        <w:t>income tax jurisdictions. Our effective tax rate for the six months ended September 29, 2019 was 26.3% and was 27.0% for the six months ended September 30, 2018. The effective tax rate is impacted by projected levels of annual taxable income, permanent items, and state taxes.</w:t>
      </w:r>
    </w:p>
    <w:p>
      <w:pPr>
        <w:spacing w:after="0" w:line="139" w:lineRule="exact"/>
        <w:rPr>
          <w:sz w:val="20"/>
          <w:szCs w:val="20"/>
          <w:color w:val="auto"/>
        </w:rPr>
      </w:pPr>
    </w:p>
    <w:p>
      <w:pPr>
        <w:ind w:right="160"/>
        <w:spacing w:after="0" w:line="273" w:lineRule="auto"/>
        <w:rPr>
          <w:sz w:val="20"/>
          <w:szCs w:val="20"/>
          <w:color w:val="auto"/>
        </w:rPr>
      </w:pPr>
      <w:r>
        <w:rPr>
          <w:rFonts w:ascii="Arial" w:cs="Arial" w:eastAsia="Arial" w:hAnsi="Arial"/>
          <w:sz w:val="17"/>
          <w:szCs w:val="17"/>
          <w:color w:val="auto"/>
        </w:rPr>
        <w:t>As of March 31, 2019, our balance sheet included a long-term liability for uncertain tax positions of $0.1 million, which arose from tax positions taken by Stauber Performance Ingredients, Inc. (“Stauber”) on its tax returns for periods prior to our acquisition. Because the Stauber acquisition agreement provides us with indemnification by the prior owners for any tax liabilities relating to pre-acquisition tax returns, we have also recorded an offsetting, long-term receivable of $0.1 million as of March 31, 2019. As a result, any change in the unrecognized tax benefit will not impact our effective tax rate in future periods. As of September 29, 2019, the long-term liability for uncertain tax positions and the offsetting long-term receivable have been removed from our balance sheet, due to the expiration of examination periods for the relevant taxing authorities.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 Leases</w:t>
      </w:r>
    </w:p>
    <w:p>
      <w:pPr>
        <w:spacing w:after="0" w:line="225" w:lineRule="exact"/>
        <w:rPr>
          <w:sz w:val="20"/>
          <w:szCs w:val="20"/>
          <w:color w:val="auto"/>
        </w:rPr>
      </w:pPr>
    </w:p>
    <w:p>
      <w:pPr>
        <w:ind w:right="60"/>
        <w:spacing w:after="0" w:line="303" w:lineRule="auto"/>
        <w:rPr>
          <w:sz w:val="20"/>
          <w:szCs w:val="20"/>
          <w:color w:val="auto"/>
        </w:rPr>
      </w:pPr>
      <w:r>
        <w:rPr>
          <w:rFonts w:ascii="Arial" w:cs="Arial" w:eastAsia="Arial" w:hAnsi="Arial"/>
          <w:sz w:val="16"/>
          <w:szCs w:val="16"/>
          <w:b w:val="1"/>
          <w:bCs w:val="1"/>
          <w:color w:val="auto"/>
        </w:rPr>
        <w:t xml:space="preserve">Adoption of ASU 2016-02, Leases. </w:t>
      </w:r>
      <w:r>
        <w:rPr>
          <w:rFonts w:ascii="Arial" w:cs="Arial" w:eastAsia="Arial" w:hAnsi="Arial"/>
          <w:sz w:val="16"/>
          <w:szCs w:val="16"/>
          <w:color w:val="auto"/>
        </w:rPr>
        <w:t>On April 1, 2019, we adopted ASU 2016-02 using the modified retrospective method applied to existing leases in place</w:t>
      </w:r>
      <w:r>
        <w:rPr>
          <w:rFonts w:ascii="Arial" w:cs="Arial" w:eastAsia="Arial" w:hAnsi="Arial"/>
          <w:sz w:val="16"/>
          <w:szCs w:val="16"/>
          <w:b w:val="1"/>
          <w:bCs w:val="1"/>
          <w:color w:val="auto"/>
        </w:rPr>
        <w:t xml:space="preserve"> </w:t>
      </w:r>
      <w:r>
        <w:rPr>
          <w:rFonts w:ascii="Arial" w:cs="Arial" w:eastAsia="Arial" w:hAnsi="Arial"/>
          <w:sz w:val="16"/>
          <w:szCs w:val="16"/>
          <w:color w:val="auto"/>
        </w:rPr>
        <w:t>as of April 1, 2019. Leases entered into after April 1, 2019 are presented under the provisions of ASU 2016-02, while prior periods are not adjusted and continue to be reported in accordance with previous accounting guidance. Leases commencing or renewing after the adoption date are evaluated based on the guidance in ASU 2016-02 and may result in more finance leases being recognized even for the renewal of previously classified operating leases.</w:t>
      </w:r>
    </w:p>
    <w:p>
      <w:pPr>
        <w:spacing w:after="0" w:line="155"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We elected to adopt the ‘package of practical expedients’, which permitted us not to reassess under the new standard our prior conclusions about lease identification, lease classification and initial direct costs. We elected the short-term lease recognition exemption for all leases that qualified. This means, for those leases that qualified, we did not recognize right-of-use assets or lease liabilities, and this included not recognizing right-of-use assets or lease liabilities for existing short-term leases of those assets in transition. We also elected the practical expedient to not separate lease and non-lease components for all leases other than leases of real estate, and this included not separating lease and non-lease components for all leases other than leases of real estate in transition.</w:t>
      </w:r>
    </w:p>
    <w:p>
      <w:pPr>
        <w:spacing w:after="0" w:line="158"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We adopted ASU 2016-02 using the modified retrospective method, recognizing the cumulative effect of application as an adjustment to the opening balance sheet. The standard had a material impact on our condensed consolidated balance sheet, but did not have a material impact on our condensed consolidated statement of income or cash flows. The most significant impact was the recognition of the ROU asset and lease liabilities for operating leases, both of which were approximately $10.4 million upon adoption.</w:t>
      </w:r>
    </w:p>
    <w:p>
      <w:pPr>
        <w:spacing w:after="0" w:line="183" w:lineRule="exact"/>
        <w:rPr>
          <w:sz w:val="20"/>
          <w:szCs w:val="20"/>
          <w:color w:val="auto"/>
        </w:rPr>
      </w:pPr>
    </w:p>
    <w:p>
      <w:pPr>
        <w:jc w:val="both"/>
        <w:ind w:right="20"/>
        <w:spacing w:after="0" w:line="266" w:lineRule="auto"/>
        <w:rPr>
          <w:sz w:val="20"/>
          <w:szCs w:val="20"/>
          <w:color w:val="auto"/>
        </w:rPr>
      </w:pPr>
      <w:r>
        <w:rPr>
          <w:rFonts w:ascii="Arial" w:cs="Arial" w:eastAsia="Arial" w:hAnsi="Arial"/>
          <w:sz w:val="18"/>
          <w:szCs w:val="18"/>
          <w:b w:val="1"/>
          <w:bCs w:val="1"/>
          <w:color w:val="auto"/>
        </w:rPr>
        <w:t xml:space="preserve">Lease Obligations. </w:t>
      </w:r>
      <w:r>
        <w:rPr>
          <w:rFonts w:ascii="Arial" w:cs="Arial" w:eastAsia="Arial" w:hAnsi="Arial"/>
          <w:sz w:val="18"/>
          <w:szCs w:val="18"/>
          <w:color w:val="auto"/>
        </w:rPr>
        <w:t>As of September 29, 2019, we were obligated under operating lease agreements for certain manufacturing facilities, warehouse space, the</w:t>
      </w:r>
      <w:r>
        <w:rPr>
          <w:rFonts w:ascii="Arial" w:cs="Arial" w:eastAsia="Arial" w:hAnsi="Arial"/>
          <w:sz w:val="18"/>
          <w:szCs w:val="18"/>
          <w:b w:val="1"/>
          <w:bCs w:val="1"/>
          <w:color w:val="auto"/>
        </w:rPr>
        <w:t xml:space="preserve"> </w:t>
      </w:r>
      <w:r>
        <w:rPr>
          <w:rFonts w:ascii="Arial" w:cs="Arial" w:eastAsia="Arial" w:hAnsi="Arial"/>
          <w:sz w:val="18"/>
          <w:szCs w:val="18"/>
          <w:color w:val="auto"/>
        </w:rPr>
        <w:t>land on which some of our facilities sit, vehicles and information technology equipment. Our leases have remaining lease terms of 1 year to 25 years, some of which may include options to extend the lease for up to 10 years.</w:t>
      </w:r>
    </w:p>
    <w:p>
      <w:pPr>
        <w:spacing w:after="0" w:line="180" w:lineRule="exact"/>
        <w:rPr>
          <w:sz w:val="20"/>
          <w:szCs w:val="20"/>
          <w:color w:val="auto"/>
        </w:rPr>
      </w:pPr>
    </w:p>
    <w:p>
      <w:pPr>
        <w:ind w:right="920"/>
        <w:spacing w:after="0" w:line="277" w:lineRule="auto"/>
        <w:rPr>
          <w:sz w:val="20"/>
          <w:szCs w:val="20"/>
          <w:color w:val="auto"/>
        </w:rPr>
      </w:pPr>
      <w:r>
        <w:rPr>
          <w:rFonts w:ascii="Arial" w:cs="Arial" w:eastAsia="Arial" w:hAnsi="Arial"/>
          <w:sz w:val="18"/>
          <w:szCs w:val="18"/>
          <w:color w:val="auto"/>
        </w:rPr>
        <w:t>As of September 29, 2019, our operating lease components with initial or remaining terms in excess of one year were classified on the condensed consolidated balance sheet within right of use assets, short-term lease liability and long-term lease liability.</w:t>
      </w:r>
    </w:p>
    <w:p>
      <w:pPr>
        <w:spacing w:after="0" w:line="170"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Expense for leases less than 12 months for the three and six months ended September 29, 2019 was not material. Total lease expense for the three and six months ended September 29, 2019 was $0.7 million and $1.5 million, respectively.</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Other information related to our operating leases was as follows:</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460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(In thousands)</w:t>
            </w:r>
          </w:p>
        </w:tc>
        <w:tc>
          <w:tcPr>
            <w:tcW w:w="440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840" w:type="dxa"/>
            <w:vAlign w:val="bottom"/>
            <w:tcBorders>
              <w:bottom w:val="single" w:sz="8" w:color="auto"/>
            </w:tcBorders>
          </w:tcPr>
          <w:p>
            <w:pPr>
              <w:jc w:val="right"/>
              <w:ind w:right="272"/>
              <w:spacing w:after="0"/>
              <w:rPr>
                <w:sz w:val="20"/>
                <w:szCs w:val="20"/>
                <w:color w:val="auto"/>
              </w:rPr>
            </w:pPr>
            <w:r>
              <w:rPr>
                <w:rFonts w:ascii="Arial" w:cs="Arial" w:eastAsia="Arial" w:hAnsi="Arial"/>
                <w:sz w:val="16"/>
                <w:szCs w:val="16"/>
                <w:b w:val="1"/>
                <w:bCs w:val="1"/>
                <w:color w:val="auto"/>
                <w:w w:val="97"/>
              </w:rPr>
              <w:t>September 29, 2019</w:t>
            </w:r>
          </w:p>
        </w:tc>
      </w:tr>
      <w:tr>
        <w:trPr>
          <w:trHeight w:val="250"/>
        </w:trPr>
        <w:tc>
          <w:tcPr>
            <w:tcW w:w="4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Supplemental Cash Flow Information</w:t>
            </w:r>
          </w:p>
        </w:tc>
        <w:tc>
          <w:tcPr>
            <w:tcW w:w="44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shd w:val="clear" w:color="auto" w:fill="CCEEFF"/>
          </w:tcPr>
          <w:p>
            <w:pPr>
              <w:spacing w:after="0"/>
              <w:rPr>
                <w:sz w:val="21"/>
                <w:szCs w:val="21"/>
                <w:color w:val="auto"/>
              </w:rPr>
            </w:pPr>
          </w:p>
        </w:tc>
      </w:tr>
      <w:tr>
        <w:trPr>
          <w:trHeight w:val="243"/>
        </w:trPr>
        <w:tc>
          <w:tcPr>
            <w:tcW w:w="4600" w:type="dxa"/>
            <w:vAlign w:val="bottom"/>
          </w:tcPr>
          <w:p>
            <w:pPr>
              <w:ind w:left="180"/>
              <w:spacing w:after="0"/>
              <w:rPr>
                <w:sz w:val="20"/>
                <w:szCs w:val="20"/>
                <w:color w:val="auto"/>
              </w:rPr>
            </w:pPr>
            <w:r>
              <w:rPr>
                <w:rFonts w:ascii="Arial" w:cs="Arial" w:eastAsia="Arial" w:hAnsi="Arial"/>
                <w:sz w:val="18"/>
                <w:szCs w:val="18"/>
                <w:color w:val="auto"/>
              </w:rPr>
              <w:t>Operating cash flows from leases</w:t>
            </w:r>
          </w:p>
        </w:tc>
        <w:tc>
          <w:tcPr>
            <w:tcW w:w="46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840" w:type="dxa"/>
            <w:vAlign w:val="bottom"/>
          </w:tcPr>
          <w:p>
            <w:pPr>
              <w:jc w:val="right"/>
              <w:ind w:right="92"/>
              <w:spacing w:after="0"/>
              <w:rPr>
                <w:sz w:val="20"/>
                <w:szCs w:val="20"/>
                <w:color w:val="auto"/>
              </w:rPr>
            </w:pPr>
            <w:r>
              <w:rPr>
                <w:rFonts w:ascii="Arial" w:cs="Arial" w:eastAsia="Arial" w:hAnsi="Arial"/>
                <w:sz w:val="18"/>
                <w:szCs w:val="18"/>
                <w:color w:val="auto"/>
              </w:rPr>
              <w:t>106</w:t>
            </w:r>
          </w:p>
        </w:tc>
      </w:tr>
      <w:tr>
        <w:trPr>
          <w:trHeight w:val="27"/>
        </w:trPr>
        <w:tc>
          <w:tcPr>
            <w:tcW w:w="4600" w:type="dxa"/>
            <w:vAlign w:val="bottom"/>
          </w:tcPr>
          <w:p>
            <w:pPr>
              <w:spacing w:after="0"/>
              <w:rPr>
                <w:sz w:val="2"/>
                <w:szCs w:val="2"/>
                <w:color w:val="auto"/>
              </w:rPr>
            </w:pPr>
          </w:p>
        </w:tc>
        <w:tc>
          <w:tcPr>
            <w:tcW w:w="44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40" w:type="dxa"/>
            <w:vAlign w:val="bottom"/>
          </w:tcPr>
          <w:p>
            <w:pPr>
              <w:spacing w:after="0"/>
              <w:rPr>
                <w:sz w:val="2"/>
                <w:szCs w:val="2"/>
                <w:color w:val="auto"/>
              </w:rPr>
            </w:pPr>
          </w:p>
        </w:tc>
      </w:tr>
      <w:tr>
        <w:trPr>
          <w:trHeight w:val="250"/>
        </w:trPr>
        <w:tc>
          <w:tcPr>
            <w:tcW w:w="4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Lease Term and Discount Rate</w:t>
            </w:r>
          </w:p>
        </w:tc>
        <w:tc>
          <w:tcPr>
            <w:tcW w:w="44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shd w:val="clear" w:color="auto" w:fill="CCEEFF"/>
          </w:tcPr>
          <w:p>
            <w:pPr>
              <w:spacing w:after="0"/>
              <w:rPr>
                <w:sz w:val="21"/>
                <w:szCs w:val="21"/>
                <w:color w:val="auto"/>
              </w:rPr>
            </w:pPr>
          </w:p>
        </w:tc>
      </w:tr>
      <w:tr>
        <w:trPr>
          <w:trHeight w:val="243"/>
        </w:trPr>
        <w:tc>
          <w:tcPr>
            <w:tcW w:w="4600" w:type="dxa"/>
            <w:vAlign w:val="bottom"/>
          </w:tcPr>
          <w:p>
            <w:pPr>
              <w:ind w:left="180"/>
              <w:spacing w:after="0"/>
              <w:rPr>
                <w:sz w:val="20"/>
                <w:szCs w:val="20"/>
                <w:color w:val="auto"/>
              </w:rPr>
            </w:pPr>
            <w:r>
              <w:rPr>
                <w:rFonts w:ascii="Arial" w:cs="Arial" w:eastAsia="Arial" w:hAnsi="Arial"/>
                <w:sz w:val="18"/>
                <w:szCs w:val="18"/>
                <w:color w:val="auto"/>
              </w:rPr>
              <w:t>Weighted average remaining lease term (years)</w:t>
            </w:r>
          </w:p>
        </w:tc>
        <w:tc>
          <w:tcPr>
            <w:tcW w:w="44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840" w:type="dxa"/>
            <w:vAlign w:val="bottom"/>
          </w:tcPr>
          <w:p>
            <w:pPr>
              <w:jc w:val="right"/>
              <w:ind w:right="92"/>
              <w:spacing w:after="0"/>
              <w:rPr>
                <w:sz w:val="20"/>
                <w:szCs w:val="20"/>
                <w:color w:val="auto"/>
              </w:rPr>
            </w:pPr>
            <w:r>
              <w:rPr>
                <w:rFonts w:ascii="Arial" w:cs="Arial" w:eastAsia="Arial" w:hAnsi="Arial"/>
                <w:sz w:val="18"/>
                <w:szCs w:val="18"/>
                <w:color w:val="auto"/>
              </w:rPr>
              <w:t>9.07</w:t>
            </w:r>
          </w:p>
        </w:tc>
      </w:tr>
      <w:tr>
        <w:trPr>
          <w:trHeight w:val="27"/>
        </w:trPr>
        <w:tc>
          <w:tcPr>
            <w:tcW w:w="4600" w:type="dxa"/>
            <w:vAlign w:val="bottom"/>
          </w:tcPr>
          <w:p>
            <w:pPr>
              <w:spacing w:after="0"/>
              <w:rPr>
                <w:sz w:val="2"/>
                <w:szCs w:val="2"/>
                <w:color w:val="auto"/>
              </w:rPr>
            </w:pPr>
          </w:p>
        </w:tc>
        <w:tc>
          <w:tcPr>
            <w:tcW w:w="44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40" w:type="dxa"/>
            <w:vAlign w:val="bottom"/>
          </w:tcPr>
          <w:p>
            <w:pPr>
              <w:spacing w:after="0"/>
              <w:rPr>
                <w:sz w:val="2"/>
                <w:szCs w:val="2"/>
                <w:color w:val="auto"/>
              </w:rPr>
            </w:pPr>
          </w:p>
        </w:tc>
      </w:tr>
      <w:tr>
        <w:trPr>
          <w:trHeight w:val="250"/>
        </w:trPr>
        <w:tc>
          <w:tcPr>
            <w:tcW w:w="46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Weighted average discount rate</w:t>
            </w:r>
          </w:p>
        </w:tc>
        <w:tc>
          <w:tcPr>
            <w:tcW w:w="44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w:t>
            </w:r>
          </w:p>
        </w:tc>
      </w:tr>
      <w:tr>
        <w:trPr>
          <w:trHeight w:val="459"/>
        </w:trPr>
        <w:tc>
          <w:tcPr>
            <w:tcW w:w="4600" w:type="dxa"/>
            <w:vAlign w:val="bottom"/>
          </w:tcPr>
          <w:p>
            <w:pPr>
              <w:spacing w:after="0"/>
              <w:rPr>
                <w:sz w:val="24"/>
                <w:szCs w:val="24"/>
                <w:color w:val="auto"/>
              </w:rPr>
            </w:pPr>
          </w:p>
        </w:tc>
        <w:tc>
          <w:tcPr>
            <w:tcW w:w="4400" w:type="dxa"/>
            <w:vAlign w:val="bottom"/>
          </w:tcPr>
          <w:p>
            <w:pPr>
              <w:jc w:val="right"/>
              <w:ind w:right="3110"/>
              <w:spacing w:after="0"/>
              <w:rPr>
                <w:sz w:val="20"/>
                <w:szCs w:val="20"/>
                <w:color w:val="auto"/>
              </w:rPr>
            </w:pPr>
            <w:r>
              <w:rPr>
                <w:rFonts w:ascii="Arial" w:cs="Arial" w:eastAsia="Arial" w:hAnsi="Arial"/>
                <w:sz w:val="18"/>
                <w:szCs w:val="18"/>
                <w:color w:val="auto"/>
              </w:rPr>
              <w:t>11</w:t>
            </w:r>
          </w:p>
        </w:tc>
        <w:tc>
          <w:tcPr>
            <w:tcW w:w="240" w:type="dxa"/>
            <w:vAlign w:val="bottom"/>
          </w:tcPr>
          <w:p>
            <w:pPr>
              <w:spacing w:after="0"/>
              <w:rPr>
                <w:sz w:val="24"/>
                <w:szCs w:val="24"/>
                <w:color w:val="auto"/>
              </w:rPr>
            </w:pPr>
          </w:p>
        </w:tc>
        <w:tc>
          <w:tcPr>
            <w:tcW w:w="1840" w:type="dxa"/>
            <w:vAlign w:val="bottom"/>
          </w:tcPr>
          <w:p>
            <w:pPr>
              <w:spacing w:after="0"/>
              <w:rPr>
                <w:sz w:val="24"/>
                <w:szCs w:val="24"/>
                <w:color w:val="auto"/>
              </w:rPr>
            </w:pPr>
          </w:p>
        </w:tc>
      </w:tr>
    </w:tbl>
    <w:p>
      <w:pPr>
        <w:sectPr>
          <w:pgSz w:w="11900" w:h="16838" w:orient="portrait"/>
          <w:cols w:equalWidth="0" w:num="1">
            <w:col w:w="11400"/>
          </w:cols>
          <w:pgMar w:left="240" w:top="580" w:right="259" w:bottom="1440" w:gutter="0" w:footer="0" w:header="0"/>
        </w:sectPr>
      </w:pPr>
    </w:p>
    <w:bookmarkStart w:id="13" w:name="page14"/>
    <w:bookmarkEnd w:id="13"/>
    <w:p>
      <w:pPr>
        <w:spacing w:after="0"/>
        <w:rPr>
          <w:sz w:val="20"/>
          <w:szCs w:val="20"/>
          <w:color w:val="auto"/>
        </w:rPr>
      </w:pPr>
      <w:r>
        <w:rPr>
          <w:rFonts w:ascii="Arial" w:cs="Arial" w:eastAsia="Arial" w:hAnsi="Arial"/>
          <w:sz w:val="18"/>
          <w:szCs w:val="18"/>
          <w:color w:val="auto"/>
        </w:rPr>
        <w:t>Maturities of lease liabilities as of September 29, 2019 were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6299835</wp:posOffset>
            </wp:positionH>
            <wp:positionV relativeFrom="paragraph">
              <wp:posOffset>100330</wp:posOffset>
            </wp:positionV>
            <wp:extent cx="93472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5">
                      <a:extLst>
                        <a:ext uri="{28A0092B-C50C-407E-A947-70E740481C1C}"/>
                      </a:extLst>
                    </a:blip>
                    <a:srcRect/>
                    <a:stretch>
                      <a:fillRect/>
                    </a:stretch>
                  </pic:blipFill>
                  <pic:spPr bwMode="auto">
                    <a:xfrm>
                      <a:off x="0" y="0"/>
                      <a:ext cx="934720" cy="8890"/>
                    </a:xfrm>
                    <a:prstGeom prst="rect">
                      <a:avLst/>
                    </a:prstGeom>
                    <a:noFill/>
                  </pic:spPr>
                </pic:pic>
              </a:graphicData>
            </a:graphic>
          </wp:anchor>
        </w:drawing>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992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(In thousands)</w:t>
            </w:r>
          </w:p>
        </w:tc>
        <w:tc>
          <w:tcPr>
            <w:tcW w:w="12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51"/>
              <w:spacing w:after="0"/>
              <w:rPr>
                <w:sz w:val="20"/>
                <w:szCs w:val="20"/>
                <w:color w:val="auto"/>
              </w:rPr>
            </w:pPr>
            <w:r>
              <w:rPr>
                <w:rFonts w:ascii="Arial" w:cs="Arial" w:eastAsia="Arial" w:hAnsi="Arial"/>
                <w:sz w:val="16"/>
                <w:szCs w:val="16"/>
                <w:b w:val="1"/>
                <w:bCs w:val="1"/>
                <w:color w:val="auto"/>
                <w:w w:val="89"/>
              </w:rPr>
              <w:t>Operating Leases</w:t>
            </w:r>
          </w:p>
        </w:tc>
      </w:tr>
      <w:tr>
        <w:trPr>
          <w:trHeight w:val="250"/>
        </w:trPr>
        <w:tc>
          <w:tcPr>
            <w:tcW w:w="9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Remaining fiscal 2020</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1,921</w:t>
            </w:r>
          </w:p>
        </w:tc>
      </w:tr>
      <w:tr>
        <w:trPr>
          <w:trHeight w:val="243"/>
        </w:trPr>
        <w:tc>
          <w:tcPr>
            <w:tcW w:w="9920" w:type="dxa"/>
            <w:vAlign w:val="bottom"/>
          </w:tcPr>
          <w:p>
            <w:pPr>
              <w:ind w:left="40"/>
              <w:spacing w:after="0"/>
              <w:rPr>
                <w:sz w:val="20"/>
                <w:szCs w:val="20"/>
                <w:color w:val="auto"/>
              </w:rPr>
            </w:pPr>
            <w:r>
              <w:rPr>
                <w:rFonts w:ascii="Arial" w:cs="Arial" w:eastAsia="Arial" w:hAnsi="Arial"/>
                <w:sz w:val="18"/>
                <w:szCs w:val="18"/>
                <w:color w:val="auto"/>
              </w:rPr>
              <w:t>Fiscal 2021</w:t>
            </w:r>
          </w:p>
        </w:tc>
        <w:tc>
          <w:tcPr>
            <w:tcW w:w="120" w:type="dxa"/>
            <w:vAlign w:val="bottom"/>
          </w:tcPr>
          <w:p>
            <w:pPr>
              <w:spacing w:after="0"/>
              <w:rPr>
                <w:sz w:val="21"/>
                <w:szCs w:val="21"/>
                <w:color w:val="auto"/>
              </w:rPr>
            </w:pPr>
          </w:p>
        </w:tc>
        <w:tc>
          <w:tcPr>
            <w:tcW w:w="1360" w:type="dxa"/>
            <w:vAlign w:val="bottom"/>
          </w:tcPr>
          <w:p>
            <w:pPr>
              <w:jc w:val="right"/>
              <w:ind w:right="31"/>
              <w:spacing w:after="0"/>
              <w:rPr>
                <w:sz w:val="20"/>
                <w:szCs w:val="20"/>
                <w:color w:val="auto"/>
              </w:rPr>
            </w:pPr>
            <w:r>
              <w:rPr>
                <w:rFonts w:ascii="Arial" w:cs="Arial" w:eastAsia="Arial" w:hAnsi="Arial"/>
                <w:sz w:val="18"/>
                <w:szCs w:val="18"/>
                <w:color w:val="auto"/>
              </w:rPr>
              <w:t>1,472</w:t>
            </w:r>
          </w:p>
        </w:tc>
      </w:tr>
      <w:tr>
        <w:trPr>
          <w:trHeight w:val="27"/>
        </w:trPr>
        <w:tc>
          <w:tcPr>
            <w:tcW w:w="9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9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Fiscal 2022</w:t>
            </w: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1,300</w:t>
            </w:r>
          </w:p>
        </w:tc>
      </w:tr>
      <w:tr>
        <w:trPr>
          <w:trHeight w:val="243"/>
        </w:trPr>
        <w:tc>
          <w:tcPr>
            <w:tcW w:w="9920" w:type="dxa"/>
            <w:vAlign w:val="bottom"/>
          </w:tcPr>
          <w:p>
            <w:pPr>
              <w:ind w:left="40"/>
              <w:spacing w:after="0"/>
              <w:rPr>
                <w:sz w:val="20"/>
                <w:szCs w:val="20"/>
                <w:color w:val="auto"/>
              </w:rPr>
            </w:pPr>
            <w:r>
              <w:rPr>
                <w:rFonts w:ascii="Arial" w:cs="Arial" w:eastAsia="Arial" w:hAnsi="Arial"/>
                <w:sz w:val="18"/>
                <w:szCs w:val="18"/>
                <w:color w:val="auto"/>
              </w:rPr>
              <w:t>Fiscal 2023</w:t>
            </w:r>
          </w:p>
        </w:tc>
        <w:tc>
          <w:tcPr>
            <w:tcW w:w="120" w:type="dxa"/>
            <w:vAlign w:val="bottom"/>
          </w:tcPr>
          <w:p>
            <w:pPr>
              <w:spacing w:after="0"/>
              <w:rPr>
                <w:sz w:val="21"/>
                <w:szCs w:val="21"/>
                <w:color w:val="auto"/>
              </w:rPr>
            </w:pPr>
          </w:p>
        </w:tc>
        <w:tc>
          <w:tcPr>
            <w:tcW w:w="1360" w:type="dxa"/>
            <w:vAlign w:val="bottom"/>
          </w:tcPr>
          <w:p>
            <w:pPr>
              <w:jc w:val="right"/>
              <w:ind w:right="31"/>
              <w:spacing w:after="0"/>
              <w:rPr>
                <w:sz w:val="20"/>
                <w:szCs w:val="20"/>
                <w:color w:val="auto"/>
              </w:rPr>
            </w:pPr>
            <w:r>
              <w:rPr>
                <w:rFonts w:ascii="Arial" w:cs="Arial" w:eastAsia="Arial" w:hAnsi="Arial"/>
                <w:sz w:val="18"/>
                <w:szCs w:val="18"/>
                <w:color w:val="auto"/>
              </w:rPr>
              <w:t>1,148</w:t>
            </w:r>
          </w:p>
        </w:tc>
      </w:tr>
      <w:tr>
        <w:trPr>
          <w:trHeight w:val="27"/>
        </w:trPr>
        <w:tc>
          <w:tcPr>
            <w:tcW w:w="9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9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Fiscal 2024</w:t>
            </w: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1,117</w:t>
            </w:r>
          </w:p>
        </w:tc>
      </w:tr>
      <w:tr>
        <w:trPr>
          <w:trHeight w:val="243"/>
        </w:trPr>
        <w:tc>
          <w:tcPr>
            <w:tcW w:w="9920" w:type="dxa"/>
            <w:vAlign w:val="bottom"/>
          </w:tcPr>
          <w:p>
            <w:pPr>
              <w:ind w:left="40"/>
              <w:spacing w:after="0"/>
              <w:rPr>
                <w:sz w:val="20"/>
                <w:szCs w:val="20"/>
                <w:color w:val="auto"/>
              </w:rPr>
            </w:pPr>
            <w:r>
              <w:rPr>
                <w:rFonts w:ascii="Arial" w:cs="Arial" w:eastAsia="Arial" w:hAnsi="Arial"/>
                <w:sz w:val="18"/>
                <w:szCs w:val="18"/>
                <w:color w:val="auto"/>
              </w:rPr>
              <w:t>Thereafter</w:t>
            </w:r>
          </w:p>
        </w:tc>
        <w:tc>
          <w:tcPr>
            <w:tcW w:w="120" w:type="dxa"/>
            <w:vAlign w:val="bottom"/>
          </w:tcPr>
          <w:p>
            <w:pPr>
              <w:spacing w:after="0"/>
              <w:rPr>
                <w:sz w:val="21"/>
                <w:szCs w:val="21"/>
                <w:color w:val="auto"/>
              </w:rPr>
            </w:pPr>
          </w:p>
        </w:tc>
        <w:tc>
          <w:tcPr>
            <w:tcW w:w="1360" w:type="dxa"/>
            <w:vAlign w:val="bottom"/>
          </w:tcPr>
          <w:p>
            <w:pPr>
              <w:jc w:val="right"/>
              <w:ind w:right="31"/>
              <w:spacing w:after="0"/>
              <w:rPr>
                <w:sz w:val="20"/>
                <w:szCs w:val="20"/>
                <w:color w:val="auto"/>
              </w:rPr>
            </w:pPr>
            <w:r>
              <w:rPr>
                <w:rFonts w:ascii="Arial" w:cs="Arial" w:eastAsia="Arial" w:hAnsi="Arial"/>
                <w:sz w:val="18"/>
                <w:szCs w:val="18"/>
                <w:color w:val="auto"/>
              </w:rPr>
              <w:t>4,678</w:t>
            </w:r>
          </w:p>
        </w:tc>
      </w:tr>
      <w:tr>
        <w:trPr>
          <w:trHeight w:val="27"/>
        </w:trPr>
        <w:tc>
          <w:tcPr>
            <w:tcW w:w="99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44"/>
        </w:trPr>
        <w:tc>
          <w:tcPr>
            <w:tcW w:w="9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11,636</w:t>
            </w:r>
          </w:p>
        </w:tc>
      </w:tr>
      <w:tr>
        <w:trPr>
          <w:trHeight w:val="243"/>
        </w:trPr>
        <w:tc>
          <w:tcPr>
            <w:tcW w:w="9920" w:type="dxa"/>
            <w:vAlign w:val="bottom"/>
          </w:tcPr>
          <w:p>
            <w:pPr>
              <w:ind w:left="40"/>
              <w:spacing w:after="0"/>
              <w:rPr>
                <w:sz w:val="20"/>
                <w:szCs w:val="20"/>
                <w:color w:val="auto"/>
              </w:rPr>
            </w:pPr>
            <w:r>
              <w:rPr>
                <w:rFonts w:ascii="Arial" w:cs="Arial" w:eastAsia="Arial" w:hAnsi="Arial"/>
                <w:sz w:val="18"/>
                <w:szCs w:val="18"/>
                <w:color w:val="auto"/>
              </w:rPr>
              <w:t>Less: Interest</w:t>
            </w:r>
          </w:p>
        </w:tc>
        <w:tc>
          <w:tcPr>
            <w:tcW w:w="1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(2,099)</w:t>
            </w:r>
          </w:p>
        </w:tc>
      </w:tr>
      <w:tr>
        <w:trPr>
          <w:trHeight w:val="27"/>
        </w:trPr>
        <w:tc>
          <w:tcPr>
            <w:tcW w:w="99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57"/>
        </w:trPr>
        <w:tc>
          <w:tcPr>
            <w:tcW w:w="9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Present value of lease liabilities</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9,537</w:t>
            </w:r>
          </w:p>
        </w:tc>
      </w:tr>
      <w:tr>
        <w:trPr>
          <w:trHeight w:val="20"/>
        </w:trPr>
        <w:tc>
          <w:tcPr>
            <w:tcW w:w="99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As we have not restated prior year information for our adoption of ASC Topic 842, the following represents our future minimum lease payments for operating leases under ASC Topic 840 on March 31, 2019:</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994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(In thousands)</w:t>
            </w:r>
          </w:p>
        </w:tc>
        <w:tc>
          <w:tcPr>
            <w:tcW w:w="14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51"/>
              <w:spacing w:after="0"/>
              <w:rPr>
                <w:sz w:val="20"/>
                <w:szCs w:val="20"/>
                <w:color w:val="auto"/>
              </w:rPr>
            </w:pPr>
            <w:r>
              <w:rPr>
                <w:rFonts w:ascii="Arial" w:cs="Arial" w:eastAsia="Arial" w:hAnsi="Arial"/>
                <w:sz w:val="16"/>
                <w:szCs w:val="16"/>
                <w:b w:val="1"/>
                <w:bCs w:val="1"/>
                <w:color w:val="auto"/>
                <w:w w:val="87"/>
              </w:rPr>
              <w:t>Operating Leases</w:t>
            </w:r>
          </w:p>
        </w:tc>
      </w:tr>
      <w:tr>
        <w:trPr>
          <w:trHeight w:val="250"/>
        </w:trPr>
        <w:tc>
          <w:tcPr>
            <w:tcW w:w="9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Fiscal 2020</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2,198</w:t>
            </w:r>
          </w:p>
        </w:tc>
      </w:tr>
      <w:tr>
        <w:trPr>
          <w:trHeight w:val="243"/>
        </w:trPr>
        <w:tc>
          <w:tcPr>
            <w:tcW w:w="9940" w:type="dxa"/>
            <w:vAlign w:val="bottom"/>
          </w:tcPr>
          <w:p>
            <w:pPr>
              <w:ind w:left="40"/>
              <w:spacing w:after="0"/>
              <w:rPr>
                <w:sz w:val="20"/>
                <w:szCs w:val="20"/>
                <w:color w:val="auto"/>
              </w:rPr>
            </w:pPr>
            <w:r>
              <w:rPr>
                <w:rFonts w:ascii="Arial" w:cs="Arial" w:eastAsia="Arial" w:hAnsi="Arial"/>
                <w:sz w:val="18"/>
                <w:szCs w:val="18"/>
                <w:color w:val="auto"/>
              </w:rPr>
              <w:t>Fiscal 2021</w:t>
            </w:r>
          </w:p>
        </w:tc>
        <w:tc>
          <w:tcPr>
            <w:tcW w:w="140" w:type="dxa"/>
            <w:vAlign w:val="bottom"/>
          </w:tcPr>
          <w:p>
            <w:pPr>
              <w:spacing w:after="0"/>
              <w:rPr>
                <w:sz w:val="21"/>
                <w:szCs w:val="21"/>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1,783</w:t>
            </w:r>
          </w:p>
        </w:tc>
      </w:tr>
      <w:tr>
        <w:trPr>
          <w:trHeight w:val="27"/>
        </w:trPr>
        <w:tc>
          <w:tcPr>
            <w:tcW w:w="99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9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Fiscal 2022</w:t>
            </w: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1,407</w:t>
            </w:r>
          </w:p>
        </w:tc>
      </w:tr>
      <w:tr>
        <w:trPr>
          <w:trHeight w:val="243"/>
        </w:trPr>
        <w:tc>
          <w:tcPr>
            <w:tcW w:w="9940" w:type="dxa"/>
            <w:vAlign w:val="bottom"/>
          </w:tcPr>
          <w:p>
            <w:pPr>
              <w:ind w:left="40"/>
              <w:spacing w:after="0"/>
              <w:rPr>
                <w:sz w:val="20"/>
                <w:szCs w:val="20"/>
                <w:color w:val="auto"/>
              </w:rPr>
            </w:pPr>
            <w:r>
              <w:rPr>
                <w:rFonts w:ascii="Arial" w:cs="Arial" w:eastAsia="Arial" w:hAnsi="Arial"/>
                <w:sz w:val="18"/>
                <w:szCs w:val="18"/>
                <w:color w:val="auto"/>
              </w:rPr>
              <w:t>Fiscal 2023</w:t>
            </w:r>
          </w:p>
        </w:tc>
        <w:tc>
          <w:tcPr>
            <w:tcW w:w="140" w:type="dxa"/>
            <w:vAlign w:val="bottom"/>
          </w:tcPr>
          <w:p>
            <w:pPr>
              <w:spacing w:after="0"/>
              <w:rPr>
                <w:sz w:val="21"/>
                <w:szCs w:val="21"/>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1,352</w:t>
            </w:r>
          </w:p>
        </w:tc>
      </w:tr>
      <w:tr>
        <w:trPr>
          <w:trHeight w:val="27"/>
        </w:trPr>
        <w:tc>
          <w:tcPr>
            <w:tcW w:w="99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9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Fiscal 2024</w:t>
            </w: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1,183</w:t>
            </w:r>
          </w:p>
        </w:tc>
      </w:tr>
      <w:tr>
        <w:trPr>
          <w:trHeight w:val="243"/>
        </w:trPr>
        <w:tc>
          <w:tcPr>
            <w:tcW w:w="9940" w:type="dxa"/>
            <w:vAlign w:val="bottom"/>
          </w:tcPr>
          <w:p>
            <w:pPr>
              <w:ind w:left="40"/>
              <w:spacing w:after="0"/>
              <w:rPr>
                <w:sz w:val="20"/>
                <w:szCs w:val="20"/>
                <w:color w:val="auto"/>
              </w:rPr>
            </w:pPr>
            <w:r>
              <w:rPr>
                <w:rFonts w:ascii="Arial" w:cs="Arial" w:eastAsia="Arial" w:hAnsi="Arial"/>
                <w:sz w:val="18"/>
                <w:szCs w:val="18"/>
                <w:color w:val="auto"/>
              </w:rPr>
              <w:t>Thereafter</w:t>
            </w:r>
          </w:p>
        </w:tc>
        <w:tc>
          <w:tcPr>
            <w:tcW w:w="140" w:type="dxa"/>
            <w:vAlign w:val="bottom"/>
          </w:tcPr>
          <w:p>
            <w:pPr>
              <w:spacing w:after="0"/>
              <w:rPr>
                <w:sz w:val="21"/>
                <w:szCs w:val="21"/>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5,473</w:t>
            </w:r>
          </w:p>
        </w:tc>
      </w:tr>
      <w:tr>
        <w:trPr>
          <w:trHeight w:val="27"/>
        </w:trPr>
        <w:tc>
          <w:tcPr>
            <w:tcW w:w="99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57"/>
        </w:trPr>
        <w:tc>
          <w:tcPr>
            <w:tcW w:w="9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13,396</w:t>
            </w:r>
          </w:p>
        </w:tc>
      </w:tr>
      <w:tr>
        <w:trPr>
          <w:trHeight w:val="20"/>
        </w:trPr>
        <w:tc>
          <w:tcPr>
            <w:tcW w:w="99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 Share-Based Compensation</w:t>
      </w:r>
    </w:p>
    <w:p>
      <w:pPr>
        <w:spacing w:after="0" w:line="229" w:lineRule="exact"/>
        <w:rPr>
          <w:sz w:val="20"/>
          <w:szCs w:val="20"/>
          <w:color w:val="auto"/>
        </w:rPr>
      </w:pPr>
    </w:p>
    <w:p>
      <w:pPr>
        <w:ind w:right="80"/>
        <w:spacing w:after="0" w:line="272" w:lineRule="auto"/>
        <w:rPr>
          <w:sz w:val="20"/>
          <w:szCs w:val="20"/>
          <w:color w:val="auto"/>
        </w:rPr>
      </w:pPr>
      <w:r>
        <w:rPr>
          <w:rFonts w:ascii="Arial" w:cs="Arial" w:eastAsia="Arial" w:hAnsi="Arial"/>
          <w:sz w:val="17"/>
          <w:szCs w:val="17"/>
          <w:b w:val="1"/>
          <w:bCs w:val="1"/>
          <w:i w:val="1"/>
          <w:iCs w:val="1"/>
          <w:color w:val="auto"/>
        </w:rPr>
        <w:t>Performance-Based Restricted Stock Units</w:t>
      </w:r>
      <w:r>
        <w:rPr>
          <w:rFonts w:ascii="Arial" w:cs="Arial" w:eastAsia="Arial" w:hAnsi="Arial"/>
          <w:sz w:val="17"/>
          <w:szCs w:val="17"/>
          <w:i w:val="1"/>
          <w:i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Our Board of Directors (the “Board”) approved a performance-based equity compensation arrangement for our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executive officers during the first quarters of each of fiscal 2020 and fiscal 2019. These performance-based arrangements provide for the grant of performance-based restricted stock units that represent a possible future issuance of restricted shares of our common stock based on a pre-tax income target for the applicable fiscal year. The actual number of restricted shares to be issued to each executive officer is determined when our final financial information becomes available after the applicable fiscal year and will be between zero shares and 69,632 shares in the aggregate for fiscal 2020. The restricted shares issued, if any, will fully vest two years after the last day of the fiscal year on which the performance is based. We are recording the compensation expense for the outstanding performance share units and the converted restricted stock over the life of the awards.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represents the restricted stock activity for the six months ended September 29, 2019:</w:t>
      </w:r>
    </w:p>
    <w:p>
      <w:pPr>
        <w:spacing w:after="0" w:line="172" w:lineRule="exact"/>
        <w:rPr>
          <w:sz w:val="20"/>
          <w:szCs w:val="20"/>
          <w:color w:val="auto"/>
        </w:rPr>
      </w:pPr>
    </w:p>
    <w:tbl>
      <w:tblPr>
        <w:tblLayout w:type="fixed"/>
        <w:tblInd w:w="140" w:type="dxa"/>
        <w:tblCellMar>
          <w:top w:w="0" w:type="dxa"/>
          <w:left w:w="0" w:type="dxa"/>
          <w:bottom w:w="0" w:type="dxa"/>
          <w:right w:w="0" w:type="dxa"/>
        </w:tblCellMar>
      </w:tblPr>
      <w:tr>
        <w:trPr>
          <w:trHeight w:val="203"/>
        </w:trPr>
        <w:tc>
          <w:tcPr>
            <w:tcW w:w="80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80" w:type="dxa"/>
            <w:vAlign w:val="bottom"/>
          </w:tcPr>
          <w:p>
            <w:pPr>
              <w:jc w:val="center"/>
              <w:ind w:right="114"/>
              <w:spacing w:after="0"/>
              <w:rPr>
                <w:sz w:val="20"/>
                <w:szCs w:val="20"/>
                <w:color w:val="auto"/>
              </w:rPr>
            </w:pPr>
            <w:r>
              <w:rPr>
                <w:rFonts w:ascii="Arial" w:cs="Arial" w:eastAsia="Arial" w:hAnsi="Arial"/>
                <w:sz w:val="16"/>
                <w:szCs w:val="16"/>
                <w:b w:val="1"/>
                <w:bCs w:val="1"/>
                <w:color w:val="auto"/>
                <w:w w:val="93"/>
              </w:rPr>
              <w:t>Weighted-</w:t>
            </w:r>
          </w:p>
        </w:tc>
      </w:tr>
      <w:tr>
        <w:trPr>
          <w:trHeight w:val="203"/>
        </w:trPr>
        <w:tc>
          <w:tcPr>
            <w:tcW w:w="80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80" w:type="dxa"/>
            <w:vAlign w:val="bottom"/>
          </w:tcPr>
          <w:p>
            <w:pPr>
              <w:jc w:val="center"/>
              <w:ind w:right="134"/>
              <w:spacing w:after="0"/>
              <w:rPr>
                <w:sz w:val="20"/>
                <w:szCs w:val="20"/>
                <w:color w:val="auto"/>
              </w:rPr>
            </w:pPr>
            <w:r>
              <w:rPr>
                <w:rFonts w:ascii="Arial" w:cs="Arial" w:eastAsia="Arial" w:hAnsi="Arial"/>
                <w:sz w:val="16"/>
                <w:szCs w:val="16"/>
                <w:b w:val="1"/>
                <w:bCs w:val="1"/>
                <w:color w:val="auto"/>
                <w:w w:val="92"/>
              </w:rPr>
              <w:t>Average Grant</w:t>
            </w:r>
          </w:p>
        </w:tc>
      </w:tr>
      <w:tr>
        <w:trPr>
          <w:trHeight w:val="210"/>
        </w:trPr>
        <w:tc>
          <w:tcPr>
            <w:tcW w:w="8060" w:type="dxa"/>
            <w:vAlign w:val="bottom"/>
          </w:tcPr>
          <w:p>
            <w:pPr>
              <w:spacing w:after="0"/>
              <w:rPr>
                <w:sz w:val="18"/>
                <w:szCs w:val="18"/>
                <w:color w:val="auto"/>
              </w:rPr>
            </w:pPr>
          </w:p>
        </w:tc>
        <w:tc>
          <w:tcPr>
            <w:tcW w:w="1420" w:type="dxa"/>
            <w:vAlign w:val="bottom"/>
            <w:gridSpan w:val="2"/>
          </w:tcPr>
          <w:p>
            <w:pPr>
              <w:ind w:left="420"/>
              <w:spacing w:after="0"/>
              <w:rPr>
                <w:sz w:val="20"/>
                <w:szCs w:val="20"/>
                <w:color w:val="auto"/>
              </w:rPr>
            </w:pPr>
            <w:r>
              <w:rPr>
                <w:rFonts w:ascii="Arial" w:cs="Arial" w:eastAsia="Arial" w:hAnsi="Arial"/>
                <w:sz w:val="16"/>
                <w:szCs w:val="16"/>
                <w:b w:val="1"/>
                <w:bCs w:val="1"/>
                <w:color w:val="auto"/>
              </w:rPr>
              <w:t>Shares</w:t>
            </w:r>
          </w:p>
        </w:tc>
        <w:tc>
          <w:tcPr>
            <w:tcW w:w="200" w:type="dxa"/>
            <w:vAlign w:val="bottom"/>
          </w:tcPr>
          <w:p>
            <w:pPr>
              <w:spacing w:after="0"/>
              <w:rPr>
                <w:sz w:val="18"/>
                <w:szCs w:val="18"/>
                <w:color w:val="auto"/>
              </w:rPr>
            </w:pPr>
          </w:p>
        </w:tc>
        <w:tc>
          <w:tcPr>
            <w:tcW w:w="1480" w:type="dxa"/>
            <w:vAlign w:val="bottom"/>
          </w:tcPr>
          <w:p>
            <w:pPr>
              <w:jc w:val="center"/>
              <w:ind w:right="114"/>
              <w:spacing w:after="0"/>
              <w:rPr>
                <w:sz w:val="20"/>
                <w:szCs w:val="20"/>
                <w:color w:val="auto"/>
              </w:rPr>
            </w:pPr>
            <w:r>
              <w:rPr>
                <w:rFonts w:ascii="Arial" w:cs="Arial" w:eastAsia="Arial" w:hAnsi="Arial"/>
                <w:sz w:val="16"/>
                <w:szCs w:val="16"/>
                <w:b w:val="1"/>
                <w:bCs w:val="1"/>
                <w:color w:val="auto"/>
                <w:w w:val="93"/>
              </w:rPr>
              <w:t>Date Fair Value</w:t>
            </w:r>
          </w:p>
        </w:tc>
      </w:tr>
      <w:tr>
        <w:trPr>
          <w:trHeight w:val="33"/>
        </w:trPr>
        <w:tc>
          <w:tcPr>
            <w:tcW w:w="8060" w:type="dxa"/>
            <w:vAlign w:val="bottom"/>
            <w:tcBorders>
              <w:bottom w:val="single" w:sz="8" w:color="CCEEFF"/>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44"/>
        </w:trPr>
        <w:tc>
          <w:tcPr>
            <w:tcW w:w="8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Unvested at beginning of period</w:t>
            </w:r>
          </w:p>
        </w:tc>
        <w:tc>
          <w:tcPr>
            <w:tcW w:w="13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32,883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43.66</w:t>
            </w:r>
          </w:p>
        </w:tc>
      </w:tr>
      <w:tr>
        <w:trPr>
          <w:trHeight w:val="243"/>
        </w:trPr>
        <w:tc>
          <w:tcPr>
            <w:tcW w:w="8060" w:type="dxa"/>
            <w:vAlign w:val="bottom"/>
          </w:tcPr>
          <w:p>
            <w:pPr>
              <w:ind w:left="20"/>
              <w:spacing w:after="0"/>
              <w:rPr>
                <w:sz w:val="20"/>
                <w:szCs w:val="20"/>
                <w:color w:val="auto"/>
              </w:rPr>
            </w:pPr>
            <w:r>
              <w:rPr>
                <w:rFonts w:ascii="Arial" w:cs="Arial" w:eastAsia="Arial" w:hAnsi="Arial"/>
                <w:sz w:val="18"/>
                <w:szCs w:val="18"/>
                <w:color w:val="auto"/>
              </w:rPr>
              <w:t>Granted</w:t>
            </w:r>
          </w:p>
        </w:tc>
        <w:tc>
          <w:tcPr>
            <w:tcW w:w="1320" w:type="dxa"/>
            <w:vAlign w:val="bottom"/>
          </w:tcPr>
          <w:p>
            <w:pPr>
              <w:jc w:val="right"/>
              <w:ind w:right="32"/>
              <w:spacing w:after="0"/>
              <w:rPr>
                <w:sz w:val="20"/>
                <w:szCs w:val="20"/>
                <w:color w:val="auto"/>
              </w:rPr>
            </w:pPr>
            <w:r>
              <w:rPr>
                <w:rFonts w:ascii="Arial" w:cs="Arial" w:eastAsia="Arial" w:hAnsi="Arial"/>
                <w:sz w:val="18"/>
                <w:szCs w:val="18"/>
                <w:color w:val="auto"/>
              </w:rPr>
              <w:t>69,252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80" w:type="dxa"/>
            <w:vAlign w:val="bottom"/>
          </w:tcPr>
          <w:p>
            <w:pPr>
              <w:jc w:val="right"/>
              <w:ind w:right="34"/>
              <w:spacing w:after="0"/>
              <w:rPr>
                <w:sz w:val="20"/>
                <w:szCs w:val="20"/>
                <w:color w:val="auto"/>
              </w:rPr>
            </w:pPr>
            <w:r>
              <w:rPr>
                <w:rFonts w:ascii="Arial" w:cs="Arial" w:eastAsia="Arial" w:hAnsi="Arial"/>
                <w:sz w:val="18"/>
                <w:szCs w:val="18"/>
                <w:color w:val="auto"/>
              </w:rPr>
              <w:t>34.49</w:t>
            </w:r>
          </w:p>
        </w:tc>
      </w:tr>
      <w:tr>
        <w:trPr>
          <w:trHeight w:val="27"/>
        </w:trPr>
        <w:tc>
          <w:tcPr>
            <w:tcW w:w="80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70"/>
        </w:trPr>
        <w:tc>
          <w:tcPr>
            <w:tcW w:w="8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Vested</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(27,620)</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46.01</w:t>
            </w:r>
          </w:p>
        </w:tc>
      </w:tr>
      <w:tr>
        <w:trPr>
          <w:trHeight w:val="237"/>
        </w:trPr>
        <w:tc>
          <w:tcPr>
            <w:tcW w:w="8060" w:type="dxa"/>
            <w:vAlign w:val="bottom"/>
          </w:tcPr>
          <w:p>
            <w:pPr>
              <w:ind w:left="20"/>
              <w:spacing w:after="0"/>
              <w:rPr>
                <w:sz w:val="20"/>
                <w:szCs w:val="20"/>
                <w:color w:val="auto"/>
              </w:rPr>
            </w:pPr>
            <w:r>
              <w:rPr>
                <w:rFonts w:ascii="Arial" w:cs="Arial" w:eastAsia="Arial" w:hAnsi="Arial"/>
                <w:sz w:val="18"/>
                <w:szCs w:val="18"/>
                <w:color w:val="auto"/>
              </w:rPr>
              <w:t>Unvested at end of period</w:t>
            </w:r>
          </w:p>
        </w:tc>
        <w:tc>
          <w:tcPr>
            <w:tcW w:w="132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74,515</w:t>
            </w:r>
          </w:p>
        </w:tc>
        <w:tc>
          <w:tcPr>
            <w:tcW w:w="10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34.27</w:t>
            </w:r>
          </w:p>
        </w:tc>
      </w:tr>
      <w:tr>
        <w:trPr>
          <w:trHeight w:val="27"/>
        </w:trPr>
        <w:tc>
          <w:tcPr>
            <w:tcW w:w="8060" w:type="dxa"/>
            <w:vAlign w:val="bottom"/>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0"/>
        </w:trPr>
        <w:tc>
          <w:tcPr>
            <w:tcW w:w="806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We recorded compensation expense related to performance share units and restricted stock of $0.4 million and $0.8 million for the three and six months ended September 29, 2019, respectively. We recorded compensation expense related to performance share units and restricted stock of $0.3 million and $0.6 million for the three and six months ended September 30, 2018,</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1017" w:right="239" w:bottom="1440" w:gutter="0" w:footer="0" w:header="0"/>
        </w:sectPr>
      </w:pPr>
    </w:p>
    <w:bookmarkStart w:id="14" w:name="page15"/>
    <w:bookmarkEnd w:id="14"/>
    <w:p>
      <w:pPr>
        <w:ind w:right="560"/>
        <w:spacing w:after="0" w:line="277" w:lineRule="auto"/>
        <w:rPr>
          <w:sz w:val="20"/>
          <w:szCs w:val="20"/>
          <w:color w:val="auto"/>
        </w:rPr>
      </w:pPr>
      <w:r>
        <w:rPr>
          <w:rFonts w:ascii="Arial" w:cs="Arial" w:eastAsia="Arial" w:hAnsi="Arial"/>
          <w:sz w:val="18"/>
          <w:szCs w:val="18"/>
          <w:color w:val="auto"/>
        </w:rPr>
        <w:t>respectively. Substantially all of the compensation expense was recorded in selling, general and administrative expenses in the condensed consolidated statements of income.</w:t>
      </w:r>
    </w:p>
    <w:p>
      <w:pPr>
        <w:spacing w:after="0" w:line="170"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b w:val="1"/>
          <w:bCs w:val="1"/>
          <w:i w:val="1"/>
          <w:iCs w:val="1"/>
          <w:color w:val="auto"/>
        </w:rPr>
        <w:t>Restricted Stock Awards</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As part of their retainer, each non-employee director receives an annual grant of restricted stock for their service on our Board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Directors. The restricted stock awards are expensed over the requisite vesting period, which is one year from the date of issuance, based on the market value on the date of grant. As of September 29, 2019, there were 8,008 shares of restricted stock with a grant date fair value of $43.67 outstanding under this program. Compensation expense for both the three months ended September 29, 2019 and September 30, 2018 related to restricted stock awards to the Board was $0.1 million. Compensation expense for both the six months ended September 29, 2019 and September 30, 2018 related to restricted stock awards to the Board was $0.2 million.</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 Share Repurchase Program</w:t>
      </w:r>
    </w:p>
    <w:p>
      <w:pPr>
        <w:spacing w:after="0" w:line="229" w:lineRule="exact"/>
        <w:rPr>
          <w:sz w:val="20"/>
          <w:szCs w:val="20"/>
          <w:color w:val="auto"/>
        </w:rPr>
      </w:pPr>
    </w:p>
    <w:p>
      <w:pPr>
        <w:ind w:right="140"/>
        <w:spacing w:after="0" w:line="273" w:lineRule="auto"/>
        <w:rPr>
          <w:sz w:val="20"/>
          <w:szCs w:val="20"/>
          <w:color w:val="auto"/>
        </w:rPr>
      </w:pPr>
      <w:r>
        <w:rPr>
          <w:rFonts w:ascii="Arial" w:cs="Arial" w:eastAsia="Arial" w:hAnsi="Arial"/>
          <w:sz w:val="17"/>
          <w:szCs w:val="17"/>
          <w:color w:val="auto"/>
        </w:rPr>
        <w:t>Our Board of Directors has authorized the repurchase of up to 800,000 shares of our outstanding common stock for cash on the open market or in privately negotiated transactions subject to applicable securities laws and regulations. Upon purchase of the shares, we reduce our common stock for the par value of the shares with the excess applied against additional paid-in capital. During the three months ended September 29, 2019, we repurchased 44,259 shares at an aggregate purchase price of $2.0 million. During the six months ended September 29, 2019, we repurchased 91,395 shares at an aggregate purchase price of $3.8 million. No shares were repurchased during the first six months of fiscal 2019. As of September 29, 2019, 412,985 shares remained available to be repurchased under the share repurchase program.</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 Litigation, Commitments and Contingencies</w:t>
      </w:r>
    </w:p>
    <w:p>
      <w:pPr>
        <w:spacing w:after="0" w:line="229" w:lineRule="exact"/>
        <w:rPr>
          <w:sz w:val="20"/>
          <w:szCs w:val="20"/>
          <w:color w:val="auto"/>
        </w:rPr>
      </w:pPr>
    </w:p>
    <w:p>
      <w:pPr>
        <w:ind w:right="580"/>
        <w:spacing w:after="0" w:line="308" w:lineRule="auto"/>
        <w:rPr>
          <w:sz w:val="20"/>
          <w:szCs w:val="20"/>
          <w:color w:val="auto"/>
        </w:rPr>
      </w:pPr>
      <w:r>
        <w:rPr>
          <w:rFonts w:ascii="Arial" w:cs="Arial" w:eastAsia="Arial" w:hAnsi="Arial"/>
          <w:sz w:val="17"/>
          <w:szCs w:val="17"/>
          <w:b w:val="1"/>
          <w:bCs w:val="1"/>
          <w:i w:val="1"/>
          <w:iCs w:val="1"/>
          <w:color w:val="auto"/>
        </w:rPr>
        <w:t xml:space="preserve">Litigation. </w:t>
      </w:r>
      <w:r>
        <w:rPr>
          <w:rFonts w:ascii="Arial" w:cs="Arial" w:eastAsia="Arial" w:hAnsi="Arial"/>
          <w:sz w:val="17"/>
          <w:szCs w:val="17"/>
          <w:color w:val="auto"/>
        </w:rPr>
        <w:t>There are no material pending legal proceedings, other than ordinary routine litigation incidental to the business, to which we or any of our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subsidiaries are a party or of which any of our property is the subject. Legal fees associated with such matters are expensed as incurred.</w:t>
      </w:r>
    </w:p>
    <w:p>
      <w:pPr>
        <w:spacing w:after="0" w:line="147" w:lineRule="exact"/>
        <w:rPr>
          <w:sz w:val="20"/>
          <w:szCs w:val="20"/>
          <w:color w:val="auto"/>
        </w:rPr>
      </w:pPr>
    </w:p>
    <w:p>
      <w:pPr>
        <w:spacing w:after="0" w:line="257" w:lineRule="auto"/>
        <w:rPr>
          <w:sz w:val="20"/>
          <w:szCs w:val="20"/>
          <w:color w:val="auto"/>
        </w:rPr>
      </w:pPr>
      <w:r>
        <w:rPr>
          <w:rFonts w:ascii="Arial" w:cs="Arial" w:eastAsia="Arial" w:hAnsi="Arial"/>
          <w:sz w:val="18"/>
          <w:szCs w:val="18"/>
          <w:b w:val="1"/>
          <w:bCs w:val="1"/>
          <w:i w:val="1"/>
          <w:iCs w:val="1"/>
          <w:color w:val="auto"/>
        </w:rPr>
        <w:t xml:space="preserve">Environmental Remediation. </w:t>
      </w:r>
      <w:r>
        <w:rPr>
          <w:rFonts w:ascii="Arial" w:cs="Arial" w:eastAsia="Arial" w:hAnsi="Arial"/>
          <w:sz w:val="18"/>
          <w:szCs w:val="18"/>
          <w:color w:val="auto"/>
        </w:rPr>
        <w:t>During fiscal 2018, we recorded a liability of $0.6 million related to estimated remediation expenses associated with existing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contamination at our Minneapolis facility. The liability is being reduced as we incur costs related to remediation efforts, and was $0.2 million as of September 29, 2019 and $0.4 million as of March 31, 2019. Given the many uncertainties involved in assessing environmental claims, our reserves may prove to be insufficient. While it is possible that additional expenses related to remediation will be incurred in future periods if currently unknown issues arise, we are unable to estimate the extent of any further financial impact at this time.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15 – Segment Information</w:t>
      </w:r>
    </w:p>
    <w:p>
      <w:pPr>
        <w:spacing w:after="0" w:line="229"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We have three reportable segments: Industrial, Water Treatment, and Health and Nutrition. The accounting policies of the segments are the same as those described in the summary of significant accounting policies in our fiscal 2019 Annual Report on Form 10-K.</w:t>
      </w:r>
    </w:p>
    <w:p>
      <w:pPr>
        <w:spacing w:after="0" w:line="170" w:lineRule="exact"/>
        <w:rPr>
          <w:sz w:val="20"/>
          <w:szCs w:val="20"/>
          <w:color w:val="auto"/>
        </w:rPr>
      </w:pPr>
    </w:p>
    <w:p>
      <w:pPr>
        <w:ind w:right="40"/>
        <w:spacing w:after="0" w:line="320" w:lineRule="auto"/>
        <w:rPr>
          <w:sz w:val="20"/>
          <w:szCs w:val="20"/>
          <w:color w:val="auto"/>
        </w:rPr>
      </w:pPr>
      <w:r>
        <w:rPr>
          <w:rFonts w:ascii="Arial" w:cs="Arial" w:eastAsia="Arial" w:hAnsi="Arial"/>
          <w:sz w:val="15"/>
          <w:szCs w:val="15"/>
          <w:color w:val="auto"/>
        </w:rPr>
        <w:t>We evaluate performance based on profit or loss from operations before income taxes not including nonrecurring gains and losses. Reportable segments are defined primarily by product and type of customer. Segments are responsible for the sales, marketing and development of their products and services. Other than our Health and Nutrition segment, the segments do not have separate accounting, administration, customer service or purchasing functions. We allocate certain corporate expenses to our operating segments. There are no intersegment sales and no operating segments have been aggregated. No single customer’s revenues amounted to 10% or more of our total revenue. Sales are primarily within the United States and all assets are located within the United States.</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584" w:right="239" w:bottom="1440" w:gutter="0" w:footer="0" w:header="0"/>
        </w:sectPr>
      </w:pPr>
    </w:p>
    <w:bookmarkStart w:id="15" w:name="page16"/>
    <w:bookmarkEnd w:id="15"/>
    <w:tbl>
      <w:tblPr>
        <w:tblLayout w:type="fixed"/>
        <w:tblInd w:w="0" w:type="dxa"/>
        <w:tblCellMar>
          <w:top w:w="0" w:type="dxa"/>
          <w:left w:w="0" w:type="dxa"/>
          <w:bottom w:w="0" w:type="dxa"/>
          <w:right w:w="0" w:type="dxa"/>
        </w:tblCellMar>
      </w:tblPr>
      <w:tr>
        <w:trPr>
          <w:trHeight w:val="216"/>
        </w:trPr>
        <w:tc>
          <w:tcPr>
            <w:tcW w:w="5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5"/>
              </w:rPr>
              <w:t>Water</w:t>
            </w:r>
          </w:p>
        </w:tc>
        <w:tc>
          <w:tcPr>
            <w:tcW w:w="180" w:type="dxa"/>
            <w:vAlign w:val="bottom"/>
          </w:tcPr>
          <w:p>
            <w:pPr>
              <w:spacing w:after="0"/>
              <w:rPr>
                <w:sz w:val="18"/>
                <w:szCs w:val="18"/>
                <w:color w:val="auto"/>
              </w:rPr>
            </w:pPr>
          </w:p>
        </w:tc>
        <w:tc>
          <w:tcPr>
            <w:tcW w:w="130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3"/>
              </w:rPr>
              <w:t>Health and</w:t>
            </w: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55"/>
        </w:trPr>
        <w:tc>
          <w:tcPr>
            <w:tcW w:w="5620" w:type="dxa"/>
            <w:vAlign w:val="bottom"/>
          </w:tcPr>
          <w:p>
            <w:pPr>
              <w:ind w:left="40"/>
              <w:spacing w:after="0"/>
              <w:rPr>
                <w:sz w:val="20"/>
                <w:szCs w:val="20"/>
                <w:color w:val="auto"/>
              </w:rPr>
            </w:pPr>
            <w:r>
              <w:rPr>
                <w:rFonts w:ascii="Arial" w:cs="Arial" w:eastAsia="Arial" w:hAnsi="Arial"/>
                <w:sz w:val="14"/>
                <w:szCs w:val="14"/>
                <w:b w:val="1"/>
                <w:bCs w:val="1"/>
                <w:color w:val="auto"/>
              </w:rPr>
              <w:t>(In thousands)</w:t>
            </w:r>
          </w:p>
        </w:tc>
        <w:tc>
          <w:tcPr>
            <w:tcW w:w="200" w:type="dxa"/>
            <w:vAlign w:val="bottom"/>
          </w:tcPr>
          <w:p>
            <w:pPr>
              <w:spacing w:after="0"/>
              <w:rPr>
                <w:sz w:val="22"/>
                <w:szCs w:val="22"/>
                <w:color w:val="auto"/>
              </w:rPr>
            </w:pPr>
          </w:p>
        </w:tc>
        <w:tc>
          <w:tcPr>
            <w:tcW w:w="1300" w:type="dxa"/>
            <w:vAlign w:val="bottom"/>
            <w:gridSpan w:val="2"/>
          </w:tcPr>
          <w:p>
            <w:pPr>
              <w:ind w:left="100"/>
              <w:spacing w:after="0"/>
              <w:rPr>
                <w:sz w:val="20"/>
                <w:szCs w:val="20"/>
                <w:color w:val="auto"/>
              </w:rPr>
            </w:pPr>
            <w:r>
              <w:rPr>
                <w:rFonts w:ascii="Arial" w:cs="Arial" w:eastAsia="Arial" w:hAnsi="Arial"/>
                <w:sz w:val="18"/>
                <w:szCs w:val="18"/>
                <w:b w:val="1"/>
                <w:bCs w:val="1"/>
                <w:color w:val="auto"/>
              </w:rPr>
              <w:t>Industrial</w:t>
            </w:r>
          </w:p>
        </w:tc>
        <w:tc>
          <w:tcPr>
            <w:tcW w:w="200" w:type="dxa"/>
            <w:vAlign w:val="bottom"/>
          </w:tcPr>
          <w:p>
            <w:pPr>
              <w:spacing w:after="0"/>
              <w:rPr>
                <w:sz w:val="22"/>
                <w:szCs w:val="22"/>
                <w:color w:val="auto"/>
              </w:rPr>
            </w:pPr>
          </w:p>
        </w:tc>
        <w:tc>
          <w:tcPr>
            <w:tcW w:w="126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1"/>
              </w:rPr>
              <w:t>Treatment</w:t>
            </w:r>
          </w:p>
        </w:tc>
        <w:tc>
          <w:tcPr>
            <w:tcW w:w="180" w:type="dxa"/>
            <w:vAlign w:val="bottom"/>
          </w:tcPr>
          <w:p>
            <w:pPr>
              <w:spacing w:after="0"/>
              <w:rPr>
                <w:sz w:val="22"/>
                <w:szCs w:val="22"/>
                <w:color w:val="auto"/>
              </w:rPr>
            </w:pPr>
          </w:p>
        </w:tc>
        <w:tc>
          <w:tcPr>
            <w:tcW w:w="130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5"/>
              </w:rPr>
              <w:t>Nutrition</w:t>
            </w:r>
          </w:p>
        </w:tc>
        <w:tc>
          <w:tcPr>
            <w:tcW w:w="300" w:type="dxa"/>
            <w:vAlign w:val="bottom"/>
          </w:tcPr>
          <w:p>
            <w:pPr>
              <w:spacing w:after="0"/>
              <w:rPr>
                <w:sz w:val="22"/>
                <w:szCs w:val="22"/>
                <w:color w:val="auto"/>
              </w:rPr>
            </w:pPr>
          </w:p>
        </w:tc>
        <w:tc>
          <w:tcPr>
            <w:tcW w:w="1060" w:type="dxa"/>
            <w:vAlign w:val="bottom"/>
          </w:tcPr>
          <w:p>
            <w:pPr>
              <w:jc w:val="right"/>
              <w:ind w:right="390"/>
              <w:spacing w:after="0"/>
              <w:rPr>
                <w:sz w:val="20"/>
                <w:szCs w:val="20"/>
                <w:color w:val="auto"/>
              </w:rPr>
            </w:pPr>
            <w:r>
              <w:rPr>
                <w:rFonts w:ascii="Arial" w:cs="Arial" w:eastAsia="Arial" w:hAnsi="Arial"/>
                <w:sz w:val="18"/>
                <w:szCs w:val="18"/>
                <w:b w:val="1"/>
                <w:bCs w:val="1"/>
                <w:color w:val="auto"/>
              </w:rPr>
              <w:t>Total</w:t>
            </w:r>
          </w:p>
        </w:tc>
      </w:tr>
      <w:tr>
        <w:trPr>
          <w:trHeight w:val="250"/>
        </w:trPr>
        <w:tc>
          <w:tcPr>
            <w:tcW w:w="56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Three months ended September 29, 2019:</w:t>
            </w: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118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116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118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CCEEFF"/>
            </w:tcBorders>
            <w:shd w:val="clear" w:color="auto" w:fill="CCEEFF"/>
          </w:tcPr>
          <w:p>
            <w:pPr>
              <w:spacing w:after="0"/>
              <w:rPr>
                <w:sz w:val="21"/>
                <w:szCs w:val="21"/>
                <w:color w:val="auto"/>
              </w:rPr>
            </w:pPr>
          </w:p>
        </w:tc>
        <w:tc>
          <w:tcPr>
            <w:tcW w:w="106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43"/>
        </w:trPr>
        <w:tc>
          <w:tcPr>
            <w:tcW w:w="5620" w:type="dxa"/>
            <w:vAlign w:val="bottom"/>
          </w:tcPr>
          <w:p>
            <w:pPr>
              <w:ind w:left="380"/>
              <w:spacing w:after="0"/>
              <w:rPr>
                <w:sz w:val="20"/>
                <w:szCs w:val="20"/>
                <w:color w:val="auto"/>
              </w:rPr>
            </w:pPr>
            <w:r>
              <w:rPr>
                <w:rFonts w:ascii="Arial" w:cs="Arial" w:eastAsia="Arial" w:hAnsi="Arial"/>
                <w:sz w:val="18"/>
                <w:szCs w:val="18"/>
                <w:color w:val="auto"/>
              </w:rPr>
              <w:t>Sales</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68,090</w:t>
            </w:r>
          </w:p>
        </w:tc>
        <w:tc>
          <w:tcPr>
            <w:tcW w:w="120" w:type="dxa"/>
            <w:vAlign w:val="bottom"/>
          </w:tcPr>
          <w:p>
            <w:pPr>
              <w:spacing w:after="0"/>
              <w:rPr>
                <w:sz w:val="21"/>
                <w:szCs w:val="21"/>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45,868</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26,085</w:t>
            </w:r>
          </w:p>
        </w:tc>
        <w:tc>
          <w:tcPr>
            <w:tcW w:w="12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140,043</w:t>
            </w:r>
          </w:p>
        </w:tc>
      </w:tr>
      <w:tr>
        <w:trPr>
          <w:trHeight w:val="27"/>
        </w:trPr>
        <w:tc>
          <w:tcPr>
            <w:tcW w:w="56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Gross profit</w:t>
            </w: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10,674</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12,753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4,567</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27,994</w:t>
            </w:r>
          </w:p>
        </w:tc>
      </w:tr>
      <w:tr>
        <w:trPr>
          <w:trHeight w:val="243"/>
        </w:trPr>
        <w:tc>
          <w:tcPr>
            <w:tcW w:w="5620" w:type="dxa"/>
            <w:vAlign w:val="bottom"/>
          </w:tcPr>
          <w:p>
            <w:pPr>
              <w:ind w:left="380"/>
              <w:spacing w:after="0"/>
              <w:rPr>
                <w:sz w:val="20"/>
                <w:szCs w:val="20"/>
                <w:color w:val="auto"/>
              </w:rPr>
            </w:pPr>
            <w:r>
              <w:rPr>
                <w:rFonts w:ascii="Arial" w:cs="Arial" w:eastAsia="Arial" w:hAnsi="Arial"/>
                <w:sz w:val="18"/>
                <w:szCs w:val="18"/>
                <w:color w:val="auto"/>
              </w:rPr>
              <w:t>Selling, general, and administrative expenses</w:t>
            </w:r>
          </w:p>
        </w:tc>
        <w:tc>
          <w:tcPr>
            <w:tcW w:w="20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5,895</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5,134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3,788</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14,817</w:t>
            </w:r>
          </w:p>
        </w:tc>
      </w:tr>
      <w:tr>
        <w:trPr>
          <w:trHeight w:val="27"/>
        </w:trPr>
        <w:tc>
          <w:tcPr>
            <w:tcW w:w="56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Operating income</w:t>
            </w: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4,779</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7,619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779</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13,177</w:t>
            </w: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Three months ended September 30, 2018:</w:t>
            </w:r>
          </w:p>
        </w:tc>
        <w:tc>
          <w:tcPr>
            <w:tcW w:w="2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spacing w:after="0"/>
              <w:rPr>
                <w:sz w:val="21"/>
                <w:szCs w:val="21"/>
                <w:color w:val="auto"/>
              </w:rPr>
            </w:pPr>
          </w:p>
        </w:tc>
      </w:tr>
      <w:tr>
        <w:trPr>
          <w:trHeight w:val="27"/>
        </w:trPr>
        <w:tc>
          <w:tcPr>
            <w:tcW w:w="56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Sales</w:t>
            </w: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69,402</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42,713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33,209</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145,324</w:t>
            </w:r>
          </w:p>
        </w:tc>
      </w:tr>
      <w:tr>
        <w:trPr>
          <w:trHeight w:val="243"/>
        </w:trPr>
        <w:tc>
          <w:tcPr>
            <w:tcW w:w="5620" w:type="dxa"/>
            <w:vAlign w:val="bottom"/>
          </w:tcPr>
          <w:p>
            <w:pPr>
              <w:ind w:left="380"/>
              <w:spacing w:after="0"/>
              <w:rPr>
                <w:sz w:val="20"/>
                <w:szCs w:val="20"/>
                <w:color w:val="auto"/>
              </w:rPr>
            </w:pPr>
            <w:r>
              <w:rPr>
                <w:rFonts w:ascii="Arial" w:cs="Arial" w:eastAsia="Arial" w:hAnsi="Arial"/>
                <w:sz w:val="18"/>
                <w:szCs w:val="18"/>
                <w:color w:val="auto"/>
              </w:rPr>
              <w:t>Gross profit</w:t>
            </w:r>
          </w:p>
        </w:tc>
        <w:tc>
          <w:tcPr>
            <w:tcW w:w="20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8,328</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11,710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5,734</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25,772</w:t>
            </w:r>
          </w:p>
        </w:tc>
      </w:tr>
      <w:tr>
        <w:trPr>
          <w:trHeight w:val="27"/>
        </w:trPr>
        <w:tc>
          <w:tcPr>
            <w:tcW w:w="56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Selling, general, and administrative expenses</w:t>
            </w: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5,790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5,055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4,096</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14,941</w:t>
            </w:r>
          </w:p>
        </w:tc>
      </w:tr>
      <w:tr>
        <w:trPr>
          <w:trHeight w:val="243"/>
        </w:trPr>
        <w:tc>
          <w:tcPr>
            <w:tcW w:w="5620" w:type="dxa"/>
            <w:vAlign w:val="bottom"/>
          </w:tcPr>
          <w:p>
            <w:pPr>
              <w:ind w:left="380"/>
              <w:spacing w:after="0"/>
              <w:rPr>
                <w:sz w:val="20"/>
                <w:szCs w:val="20"/>
                <w:color w:val="auto"/>
              </w:rPr>
            </w:pPr>
            <w:r>
              <w:rPr>
                <w:rFonts w:ascii="Arial" w:cs="Arial" w:eastAsia="Arial" w:hAnsi="Arial"/>
                <w:sz w:val="18"/>
                <w:szCs w:val="18"/>
                <w:color w:val="auto"/>
              </w:rPr>
              <w:t>Operating income</w:t>
            </w:r>
          </w:p>
        </w:tc>
        <w:tc>
          <w:tcPr>
            <w:tcW w:w="20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2,538</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6,655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1,638</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10,831</w:t>
            </w:r>
          </w:p>
        </w:tc>
      </w:tr>
      <w:tr>
        <w:trPr>
          <w:trHeight w:val="27"/>
        </w:trPr>
        <w:tc>
          <w:tcPr>
            <w:tcW w:w="56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Six months ended September 29, 2019:</w:t>
            </w: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r>
      <w:tr>
        <w:trPr>
          <w:trHeight w:val="243"/>
        </w:trPr>
        <w:tc>
          <w:tcPr>
            <w:tcW w:w="5620" w:type="dxa"/>
            <w:vAlign w:val="bottom"/>
          </w:tcPr>
          <w:p>
            <w:pPr>
              <w:ind w:left="380"/>
              <w:spacing w:after="0"/>
              <w:rPr>
                <w:sz w:val="20"/>
                <w:szCs w:val="20"/>
                <w:color w:val="auto"/>
              </w:rPr>
            </w:pPr>
            <w:r>
              <w:rPr>
                <w:rFonts w:ascii="Arial" w:cs="Arial" w:eastAsia="Arial" w:hAnsi="Arial"/>
                <w:sz w:val="18"/>
                <w:szCs w:val="18"/>
                <w:color w:val="auto"/>
              </w:rPr>
              <w:t>Sales</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143,415</w:t>
            </w:r>
          </w:p>
        </w:tc>
        <w:tc>
          <w:tcPr>
            <w:tcW w:w="120" w:type="dxa"/>
            <w:vAlign w:val="bottom"/>
          </w:tcPr>
          <w:p>
            <w:pPr>
              <w:spacing w:after="0"/>
              <w:rPr>
                <w:sz w:val="21"/>
                <w:szCs w:val="21"/>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89,120</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54,844</w:t>
            </w:r>
          </w:p>
        </w:tc>
        <w:tc>
          <w:tcPr>
            <w:tcW w:w="12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287,379</w:t>
            </w:r>
          </w:p>
        </w:tc>
      </w:tr>
      <w:tr>
        <w:trPr>
          <w:trHeight w:val="27"/>
        </w:trPr>
        <w:tc>
          <w:tcPr>
            <w:tcW w:w="56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Gross profit</w:t>
            </w: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21,589</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24,844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10,358</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56,791</w:t>
            </w:r>
          </w:p>
        </w:tc>
      </w:tr>
      <w:tr>
        <w:trPr>
          <w:trHeight w:val="243"/>
        </w:trPr>
        <w:tc>
          <w:tcPr>
            <w:tcW w:w="5620" w:type="dxa"/>
            <w:vAlign w:val="bottom"/>
          </w:tcPr>
          <w:p>
            <w:pPr>
              <w:ind w:left="380"/>
              <w:spacing w:after="0"/>
              <w:rPr>
                <w:sz w:val="20"/>
                <w:szCs w:val="20"/>
                <w:color w:val="auto"/>
              </w:rPr>
            </w:pPr>
            <w:r>
              <w:rPr>
                <w:rFonts w:ascii="Arial" w:cs="Arial" w:eastAsia="Arial" w:hAnsi="Arial"/>
                <w:sz w:val="18"/>
                <w:szCs w:val="18"/>
                <w:color w:val="auto"/>
              </w:rPr>
              <w:t>Selling, general and administrative expenses</w:t>
            </w:r>
          </w:p>
        </w:tc>
        <w:tc>
          <w:tcPr>
            <w:tcW w:w="20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11,991</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10,122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7,540</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29,653</w:t>
            </w:r>
          </w:p>
        </w:tc>
      </w:tr>
      <w:tr>
        <w:trPr>
          <w:trHeight w:val="27"/>
        </w:trPr>
        <w:tc>
          <w:tcPr>
            <w:tcW w:w="56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Operating income</w:t>
            </w: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9,598</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14,722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2,818</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27,138</w:t>
            </w: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Six months ended September 30, 2018:</w:t>
            </w:r>
          </w:p>
        </w:tc>
        <w:tc>
          <w:tcPr>
            <w:tcW w:w="2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spacing w:after="0"/>
              <w:rPr>
                <w:sz w:val="21"/>
                <w:szCs w:val="21"/>
                <w:color w:val="auto"/>
              </w:rPr>
            </w:pPr>
          </w:p>
        </w:tc>
      </w:tr>
      <w:tr>
        <w:trPr>
          <w:trHeight w:val="27"/>
        </w:trPr>
        <w:tc>
          <w:tcPr>
            <w:tcW w:w="56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Sales</w:t>
            </w: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143,420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83,582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68,122</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295,124</w:t>
            </w:r>
          </w:p>
        </w:tc>
      </w:tr>
      <w:tr>
        <w:trPr>
          <w:trHeight w:val="243"/>
        </w:trPr>
        <w:tc>
          <w:tcPr>
            <w:tcW w:w="5620" w:type="dxa"/>
            <w:vAlign w:val="bottom"/>
          </w:tcPr>
          <w:p>
            <w:pPr>
              <w:ind w:left="380"/>
              <w:spacing w:after="0"/>
              <w:rPr>
                <w:sz w:val="20"/>
                <w:szCs w:val="20"/>
                <w:color w:val="auto"/>
              </w:rPr>
            </w:pPr>
            <w:r>
              <w:rPr>
                <w:rFonts w:ascii="Arial" w:cs="Arial" w:eastAsia="Arial" w:hAnsi="Arial"/>
                <w:sz w:val="18"/>
                <w:szCs w:val="18"/>
                <w:color w:val="auto"/>
              </w:rPr>
              <w:t>Gross profit</w:t>
            </w:r>
          </w:p>
        </w:tc>
        <w:tc>
          <w:tcPr>
            <w:tcW w:w="20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18,771</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23,147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12,311</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54,229</w:t>
            </w:r>
          </w:p>
        </w:tc>
      </w:tr>
      <w:tr>
        <w:trPr>
          <w:trHeight w:val="27"/>
        </w:trPr>
        <w:tc>
          <w:tcPr>
            <w:tcW w:w="56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Selling, general and administrative expenses</w:t>
            </w: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11,277</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10,156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8,487</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29,920</w:t>
            </w:r>
          </w:p>
        </w:tc>
      </w:tr>
      <w:tr>
        <w:trPr>
          <w:trHeight w:val="243"/>
        </w:trPr>
        <w:tc>
          <w:tcPr>
            <w:tcW w:w="5620" w:type="dxa"/>
            <w:vAlign w:val="bottom"/>
          </w:tcPr>
          <w:p>
            <w:pPr>
              <w:ind w:left="380"/>
              <w:spacing w:after="0"/>
              <w:rPr>
                <w:sz w:val="20"/>
                <w:szCs w:val="20"/>
                <w:color w:val="auto"/>
              </w:rPr>
            </w:pPr>
            <w:r>
              <w:rPr>
                <w:rFonts w:ascii="Arial" w:cs="Arial" w:eastAsia="Arial" w:hAnsi="Arial"/>
                <w:sz w:val="18"/>
                <w:szCs w:val="18"/>
                <w:color w:val="auto"/>
              </w:rPr>
              <w:t>Operating income</w:t>
            </w:r>
          </w:p>
        </w:tc>
        <w:tc>
          <w:tcPr>
            <w:tcW w:w="20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7,494</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12,991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3,824</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24,309</w:t>
            </w: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 significant changes to identifiable assets by segment occurred during the six months ended September 29, 2019.</w:t>
      </w:r>
    </w:p>
    <w:p>
      <w:pPr>
        <w:spacing w:after="0" w:line="252"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958" w:right="239" w:bottom="1440" w:gutter="0" w:footer="0" w:header="0"/>
        </w:sectPr>
      </w:pPr>
    </w:p>
    <w:bookmarkStart w:id="16" w:name="page17"/>
    <w:bookmarkEnd w:id="16"/>
    <w:p>
      <w:pPr>
        <w:spacing w:after="0"/>
        <w:tabs>
          <w:tab w:leader="none" w:pos="1280" w:val="left"/>
        </w:tabs>
        <w:rPr>
          <w:sz w:val="20"/>
          <w:szCs w:val="20"/>
          <w:color w:val="auto"/>
        </w:rPr>
      </w:pPr>
      <w:r>
        <w:rPr>
          <w:rFonts w:ascii="Arial" w:cs="Arial" w:eastAsia="Arial" w:hAnsi="Arial"/>
          <w:sz w:val="18"/>
          <w:szCs w:val="18"/>
          <w:color w:val="auto"/>
        </w:rPr>
        <w:t>ITEM 2.</w:t>
      </w:r>
      <w:r>
        <w:rPr>
          <w:sz w:val="20"/>
          <w:szCs w:val="20"/>
          <w:color w:val="auto"/>
        </w:rPr>
        <w:tab/>
      </w:r>
      <w:r>
        <w:rPr>
          <w:rFonts w:ascii="Arial" w:cs="Arial" w:eastAsia="Arial" w:hAnsi="Arial"/>
          <w:sz w:val="17"/>
          <w:szCs w:val="17"/>
          <w:color w:val="auto"/>
        </w:rPr>
        <w:t>MANAGEMENT’S DISCUSSION AND ANALYSIS OF FINANCIAL CONDITION AND RESULTS OF OPERATIONS</w:t>
      </w:r>
    </w:p>
    <w:p>
      <w:pPr>
        <w:spacing w:after="0" w:line="306" w:lineRule="exact"/>
        <w:rPr>
          <w:sz w:val="20"/>
          <w:szCs w:val="20"/>
          <w:color w:val="auto"/>
        </w:rPr>
      </w:pPr>
    </w:p>
    <w:p>
      <w:pPr>
        <w:spacing w:after="0" w:line="279" w:lineRule="auto"/>
        <w:rPr>
          <w:rFonts w:ascii="Arial" w:cs="Arial" w:eastAsia="Arial" w:hAnsi="Arial"/>
          <w:sz w:val="17"/>
          <w:szCs w:val="17"/>
          <w:color w:val="0000EE"/>
        </w:rPr>
      </w:pPr>
      <w:r>
        <w:rPr>
          <w:rFonts w:ascii="Arial" w:cs="Arial" w:eastAsia="Arial" w:hAnsi="Arial"/>
          <w:sz w:val="17"/>
          <w:szCs w:val="17"/>
          <w:color w:val="auto"/>
        </w:rPr>
        <w:t xml:space="preserve">The following is a discussion and analysis of our financial condition and results of operations for the three and six months ended September 29, 2019 as compared to the similar period ended September 30, 2018. This discussion should be read in conjunction with the condensed consolidated financial </w:t>
      </w:r>
      <w:hyperlink r:id="rId22">
        <w:r>
          <w:rPr>
            <w:rFonts w:ascii="Arial" w:cs="Arial" w:eastAsia="Arial" w:hAnsi="Arial"/>
            <w:sz w:val="17"/>
            <w:szCs w:val="17"/>
            <w:color w:val="auto"/>
          </w:rPr>
          <w:t xml:space="preserve">statements and notes to condensed consolidated financial statements included in this quarterly report on Form 10-Q and Item 8 of our </w:t>
        </w:r>
        <w:r>
          <w:rPr>
            <w:rFonts w:ascii="Arial" w:cs="Arial" w:eastAsia="Arial" w:hAnsi="Arial"/>
            <w:sz w:val="17"/>
            <w:szCs w:val="17"/>
            <w:u w:val="single" w:color="auto"/>
            <w:color w:val="0000EE"/>
          </w:rPr>
          <w:t>Annual Report on Form</w:t>
        </w:r>
      </w:hyperlink>
      <w:r>
        <w:rPr>
          <w:rFonts w:ascii="Arial" w:cs="Arial" w:eastAsia="Arial" w:hAnsi="Arial"/>
          <w:sz w:val="17"/>
          <w:szCs w:val="17"/>
          <w:color w:val="auto"/>
        </w:rPr>
        <w:t xml:space="preserve"> </w:t>
      </w:r>
      <w:hyperlink r:id="rId22">
        <w:r>
          <w:rPr>
            <w:rFonts w:ascii="Arial" w:cs="Arial" w:eastAsia="Arial" w:hAnsi="Arial"/>
            <w:sz w:val="17"/>
            <w:szCs w:val="17"/>
            <w:u w:val="single" w:color="auto"/>
            <w:color w:val="0000EE"/>
          </w:rPr>
          <w:t>10-K for the fiscal year ended March 31, 2019</w:t>
        </w:r>
        <w:r>
          <w:rPr>
            <w:rFonts w:ascii="Arial" w:cs="Arial" w:eastAsia="Arial" w:hAnsi="Arial"/>
            <w:sz w:val="17"/>
            <w:szCs w:val="17"/>
            <w:color w:val="0000EE"/>
          </w:rPr>
          <w:t xml:space="preserve"> </w:t>
        </w:r>
        <w:r>
          <w:rPr>
            <w:rFonts w:ascii="Arial" w:cs="Arial" w:eastAsia="Arial" w:hAnsi="Arial"/>
            <w:sz w:val="17"/>
            <w:szCs w:val="17"/>
            <w:color w:val="000000"/>
          </w:rPr>
          <w:t>(“fiscal 2019”). References to “fiscal 2020” refer to the fiscal year ending March 29, 2020.</w:t>
        </w:r>
      </w:hyperlink>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Overview</w:t>
      </w:r>
    </w:p>
    <w:p>
      <w:pPr>
        <w:spacing w:after="0" w:line="9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derive substantially all of our revenues from the sale of chemicals and specialty ingredients to our customers in a wide variety of industries. We began our operations primarily as a distributor of bulk chemicals with a strong customer focus. Over the years, we have maintained the strong customer focus and have expanded our business by increasing our sales of value-added chemical and specialty ingredients, including manufacturing, blending, and repackaging certain products.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Financial Results</w:t>
      </w:r>
    </w:p>
    <w:p>
      <w:pPr>
        <w:spacing w:after="0" w:line="225"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We focus on total profitability dollars when evaluating our financial results as opposed to profitability as a percentage of sales, as sales dollars tend to fluctuate, particularly in our Industrial and Water Treatment segments, as raw material costs rise and fall. The costs for certain of our raw materials can rise or fall rapidly, causing fluctuations in gross profit as a percentage of sales.</w:t>
      </w:r>
    </w:p>
    <w:p>
      <w:pPr>
        <w:spacing w:after="0" w:line="181"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We use the last in, first out (“LIFO”) method for valuing the majority of our inventory in our Industrial and Water Treatment segments, which causes the most recent product costs for those products to be recognized in our income statement. The valuation of LIFO inventory for interim periods is based on our estimates of fiscal year-end inventory levels and costs. The LIFO inventory valuation method and the resulting cost of sales are consistent with our business practices of pricing to current chemical raw material prices. Inventories in the Health and Nutrition segment are valued using the first in, first out (“FIFO”) method.</w:t>
      </w:r>
    </w:p>
    <w:p>
      <w:pPr>
        <w:spacing w:after="0" w:line="188"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Our Industrial and Water Treatment segments sell bulk commodity products. We disclose the sales of our bulk commodity products as a percentage of total sales dollars within each of those segments. Our definition of bulk commodity products includes products that we do not modify in any way, but receive, store, and ship from our facilities, or direct ship to our customers in large quantities. We review our sales reporting on a periodic basis to ensure we are including all products that meet this definition.</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Results of Operations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the percentage relationship of certain items to sales for the period indicated:</w:t>
      </w:r>
    </w:p>
    <w:p>
      <w:pPr>
        <w:spacing w:after="0" w:line="356" w:lineRule="exact"/>
        <w:rPr>
          <w:sz w:val="20"/>
          <w:szCs w:val="20"/>
          <w:color w:val="auto"/>
        </w:rPr>
      </w:pPr>
    </w:p>
    <w:tbl>
      <w:tblPr>
        <w:tblLayout w:type="fixed"/>
        <w:tblInd w:w="340" w:type="dxa"/>
        <w:tblCellMar>
          <w:top w:w="0" w:type="dxa"/>
          <w:left w:w="0" w:type="dxa"/>
          <w:bottom w:w="0" w:type="dxa"/>
          <w:right w:w="0" w:type="dxa"/>
        </w:tblCellMar>
      </w:tblPr>
      <w:tr>
        <w:trPr>
          <w:trHeight w:val="234"/>
        </w:trPr>
        <w:tc>
          <w:tcPr>
            <w:tcW w:w="4100" w:type="dxa"/>
            <w:vAlign w:val="bottom"/>
          </w:tcPr>
          <w:p>
            <w:pPr>
              <w:spacing w:after="0"/>
              <w:rPr>
                <w:sz w:val="20"/>
                <w:szCs w:val="20"/>
                <w:color w:val="auto"/>
              </w:rPr>
            </w:pPr>
          </w:p>
        </w:tc>
        <w:tc>
          <w:tcPr>
            <w:tcW w:w="3380" w:type="dxa"/>
            <w:vAlign w:val="bottom"/>
            <w:gridSpan w:val="4"/>
          </w:tcPr>
          <w:p>
            <w:pPr>
              <w:ind w:left="860"/>
              <w:spacing w:after="0"/>
              <w:rPr>
                <w:sz w:val="20"/>
                <w:szCs w:val="20"/>
                <w:color w:val="auto"/>
              </w:rPr>
            </w:pPr>
            <w:r>
              <w:rPr>
                <w:rFonts w:ascii="Arial" w:cs="Arial" w:eastAsia="Arial" w:hAnsi="Arial"/>
                <w:sz w:val="18"/>
                <w:szCs w:val="18"/>
                <w:b w:val="1"/>
                <w:bCs w:val="1"/>
                <w:color w:val="auto"/>
              </w:rPr>
              <w:t>Three months ended</w:t>
            </w:r>
          </w:p>
        </w:tc>
        <w:tc>
          <w:tcPr>
            <w:tcW w:w="3280" w:type="dxa"/>
            <w:vAlign w:val="bottom"/>
            <w:gridSpan w:val="3"/>
          </w:tcPr>
          <w:p>
            <w:pPr>
              <w:jc w:val="right"/>
              <w:ind w:right="830"/>
              <w:spacing w:after="0"/>
              <w:rPr>
                <w:sz w:val="20"/>
                <w:szCs w:val="20"/>
                <w:color w:val="auto"/>
              </w:rPr>
            </w:pPr>
            <w:r>
              <w:rPr>
                <w:rFonts w:ascii="Arial" w:cs="Arial" w:eastAsia="Arial" w:hAnsi="Arial"/>
                <w:sz w:val="18"/>
                <w:szCs w:val="18"/>
                <w:b w:val="1"/>
                <w:bCs w:val="1"/>
                <w:color w:val="auto"/>
              </w:rPr>
              <w:t>Six Months Ended</w:t>
            </w:r>
          </w:p>
        </w:tc>
      </w:tr>
      <w:tr>
        <w:trPr>
          <w:trHeight w:val="27"/>
        </w:trPr>
        <w:tc>
          <w:tcPr>
            <w:tcW w:w="4100" w:type="dxa"/>
            <w:vAlign w:val="bottom"/>
            <w:tcBorders>
              <w:bottom w:val="single" w:sz="8" w:color="CCEEFF"/>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264"/>
        </w:trPr>
        <w:tc>
          <w:tcPr>
            <w:tcW w:w="4100" w:type="dxa"/>
            <w:vAlign w:val="bottom"/>
            <w:tcBorders>
              <w:bottom w:val="single" w:sz="8" w:color="CCEEFF"/>
            </w:tcBorders>
            <w:shd w:val="clear" w:color="auto" w:fill="CCEEFF"/>
          </w:tcPr>
          <w:p>
            <w:pPr>
              <w:spacing w:after="0"/>
              <w:rPr>
                <w:sz w:val="22"/>
                <w:szCs w:val="22"/>
                <w:color w:val="auto"/>
              </w:rPr>
            </w:pPr>
          </w:p>
        </w:tc>
        <w:tc>
          <w:tcPr>
            <w:tcW w:w="16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b w:val="1"/>
                <w:bCs w:val="1"/>
                <w:color w:val="auto"/>
                <w:w w:val="97"/>
              </w:rPr>
              <w:t>September 29, 2019</w:t>
            </w:r>
          </w:p>
        </w:tc>
        <w:tc>
          <w:tcPr>
            <w:tcW w:w="17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w w:val="97"/>
              </w:rPr>
              <w:t>September 30, 2018</w:t>
            </w:r>
          </w:p>
        </w:tc>
        <w:tc>
          <w:tcPr>
            <w:tcW w:w="17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w w:val="90"/>
              </w:rPr>
              <w:t>September 29, 2019</w:t>
            </w: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0"/>
              </w:rPr>
              <w:t>September 30, 2018</w:t>
            </w:r>
          </w:p>
        </w:tc>
      </w:tr>
      <w:tr>
        <w:trPr>
          <w:trHeight w:val="237"/>
        </w:trPr>
        <w:tc>
          <w:tcPr>
            <w:tcW w:w="4100" w:type="dxa"/>
            <w:vAlign w:val="bottom"/>
          </w:tcPr>
          <w:p>
            <w:pPr>
              <w:ind w:left="20"/>
              <w:spacing w:after="0"/>
              <w:rPr>
                <w:sz w:val="20"/>
                <w:szCs w:val="20"/>
                <w:color w:val="auto"/>
              </w:rPr>
            </w:pPr>
            <w:r>
              <w:rPr>
                <w:rFonts w:ascii="Arial" w:cs="Arial" w:eastAsia="Arial" w:hAnsi="Arial"/>
                <w:sz w:val="18"/>
                <w:szCs w:val="18"/>
                <w:color w:val="auto"/>
              </w:rPr>
              <w:t>Sales</w:t>
            </w:r>
          </w:p>
        </w:tc>
        <w:tc>
          <w:tcPr>
            <w:tcW w:w="1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100.0 %</w:t>
            </w:r>
          </w:p>
        </w:tc>
        <w:tc>
          <w:tcPr>
            <w:tcW w:w="100" w:type="dxa"/>
            <w:vAlign w:val="bottom"/>
          </w:tcPr>
          <w:p>
            <w:pPr>
              <w:spacing w:after="0"/>
              <w:rPr>
                <w:sz w:val="20"/>
                <w:szCs w:val="20"/>
                <w:color w:val="auto"/>
              </w:rPr>
            </w:pPr>
          </w:p>
        </w:tc>
        <w:tc>
          <w:tcPr>
            <w:tcW w:w="1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100.0 %</w:t>
            </w:r>
          </w:p>
        </w:tc>
        <w:tc>
          <w:tcPr>
            <w:tcW w:w="120" w:type="dxa"/>
            <w:vAlign w:val="bottom"/>
            <w:tcBorders>
              <w:top w:val="single" w:sz="8" w:color="auto"/>
            </w:tcBorders>
          </w:tcPr>
          <w:p>
            <w:pPr>
              <w:spacing w:after="0"/>
              <w:rPr>
                <w:sz w:val="20"/>
                <w:szCs w:val="20"/>
                <w:color w:val="auto"/>
              </w:rPr>
            </w:pPr>
          </w:p>
        </w:tc>
        <w:tc>
          <w:tcPr>
            <w:tcW w:w="1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100.0 %</w:t>
            </w:r>
          </w:p>
        </w:tc>
        <w:tc>
          <w:tcPr>
            <w:tcW w:w="120" w:type="dxa"/>
            <w:vAlign w:val="bottom"/>
            <w:tcBorders>
              <w:top w:val="single" w:sz="8" w:color="auto"/>
            </w:tcBorders>
          </w:tcPr>
          <w:p>
            <w:pPr>
              <w:spacing w:after="0"/>
              <w:rPr>
                <w:sz w:val="20"/>
                <w:szCs w:val="20"/>
                <w:color w:val="auto"/>
              </w:rPr>
            </w:pPr>
          </w:p>
        </w:tc>
        <w:tc>
          <w:tcPr>
            <w:tcW w:w="1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100.0 %</w:t>
            </w:r>
          </w:p>
        </w:tc>
      </w:tr>
      <w:tr>
        <w:trPr>
          <w:trHeight w:val="27"/>
        </w:trPr>
        <w:tc>
          <w:tcPr>
            <w:tcW w:w="41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70"/>
        </w:trPr>
        <w:tc>
          <w:tcPr>
            <w:tcW w:w="4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Cost of sales</w:t>
            </w: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(80.0)%</w:t>
            </w:r>
          </w:p>
        </w:tc>
        <w:tc>
          <w:tcPr>
            <w:tcW w:w="10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(82.3)%</w:t>
            </w:r>
          </w:p>
        </w:tc>
        <w:tc>
          <w:tcPr>
            <w:tcW w:w="12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(80.2)%</w:t>
            </w:r>
          </w:p>
        </w:tc>
        <w:tc>
          <w:tcPr>
            <w:tcW w:w="12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(81.6)%</w:t>
            </w:r>
          </w:p>
        </w:tc>
      </w:tr>
      <w:tr>
        <w:trPr>
          <w:trHeight w:val="237"/>
        </w:trPr>
        <w:tc>
          <w:tcPr>
            <w:tcW w:w="4100" w:type="dxa"/>
            <w:vAlign w:val="bottom"/>
          </w:tcPr>
          <w:p>
            <w:pPr>
              <w:ind w:left="20"/>
              <w:spacing w:after="0"/>
              <w:rPr>
                <w:sz w:val="20"/>
                <w:szCs w:val="20"/>
                <w:color w:val="auto"/>
              </w:rPr>
            </w:pPr>
            <w:r>
              <w:rPr>
                <w:rFonts w:ascii="Arial" w:cs="Arial" w:eastAsia="Arial" w:hAnsi="Arial"/>
                <w:sz w:val="18"/>
                <w:szCs w:val="18"/>
                <w:color w:val="auto"/>
              </w:rPr>
              <w:t>Gross profit</w:t>
            </w:r>
          </w:p>
        </w:tc>
        <w:tc>
          <w:tcPr>
            <w:tcW w:w="1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20.0 %</w:t>
            </w:r>
          </w:p>
        </w:tc>
        <w:tc>
          <w:tcPr>
            <w:tcW w:w="100" w:type="dxa"/>
            <w:vAlign w:val="bottom"/>
          </w:tcPr>
          <w:p>
            <w:pPr>
              <w:spacing w:after="0"/>
              <w:rPr>
                <w:sz w:val="20"/>
                <w:szCs w:val="20"/>
                <w:color w:val="auto"/>
              </w:rPr>
            </w:pPr>
          </w:p>
        </w:tc>
        <w:tc>
          <w:tcPr>
            <w:tcW w:w="1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17.7 %</w:t>
            </w:r>
          </w:p>
        </w:tc>
        <w:tc>
          <w:tcPr>
            <w:tcW w:w="120" w:type="dxa"/>
            <w:vAlign w:val="bottom"/>
            <w:tcBorders>
              <w:top w:val="single" w:sz="8" w:color="auto"/>
            </w:tcBorders>
          </w:tcPr>
          <w:p>
            <w:pPr>
              <w:spacing w:after="0"/>
              <w:rPr>
                <w:sz w:val="20"/>
                <w:szCs w:val="20"/>
                <w:color w:val="auto"/>
              </w:rPr>
            </w:pPr>
          </w:p>
        </w:tc>
        <w:tc>
          <w:tcPr>
            <w:tcW w:w="1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19.8 %</w:t>
            </w:r>
          </w:p>
        </w:tc>
        <w:tc>
          <w:tcPr>
            <w:tcW w:w="120" w:type="dxa"/>
            <w:vAlign w:val="bottom"/>
            <w:tcBorders>
              <w:top w:val="single" w:sz="8" w:color="auto"/>
            </w:tcBorders>
          </w:tcPr>
          <w:p>
            <w:pPr>
              <w:spacing w:after="0"/>
              <w:rPr>
                <w:sz w:val="20"/>
                <w:szCs w:val="20"/>
                <w:color w:val="auto"/>
              </w:rPr>
            </w:pPr>
          </w:p>
        </w:tc>
        <w:tc>
          <w:tcPr>
            <w:tcW w:w="1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18.4 %</w:t>
            </w:r>
          </w:p>
        </w:tc>
      </w:tr>
      <w:tr>
        <w:trPr>
          <w:trHeight w:val="27"/>
        </w:trPr>
        <w:tc>
          <w:tcPr>
            <w:tcW w:w="41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70"/>
        </w:trPr>
        <w:tc>
          <w:tcPr>
            <w:tcW w:w="4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Selling, general and administrative expenses</w:t>
            </w: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(10.6)%</w:t>
            </w:r>
          </w:p>
        </w:tc>
        <w:tc>
          <w:tcPr>
            <w:tcW w:w="10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(10.3)%</w:t>
            </w:r>
          </w:p>
        </w:tc>
        <w:tc>
          <w:tcPr>
            <w:tcW w:w="12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(10.3)%</w:t>
            </w:r>
          </w:p>
        </w:tc>
        <w:tc>
          <w:tcPr>
            <w:tcW w:w="12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(10.1)%</w:t>
            </w:r>
          </w:p>
        </w:tc>
      </w:tr>
      <w:tr>
        <w:trPr>
          <w:trHeight w:val="237"/>
        </w:trPr>
        <w:tc>
          <w:tcPr>
            <w:tcW w:w="4100" w:type="dxa"/>
            <w:vAlign w:val="bottom"/>
          </w:tcPr>
          <w:p>
            <w:pPr>
              <w:ind w:left="20"/>
              <w:spacing w:after="0"/>
              <w:rPr>
                <w:sz w:val="20"/>
                <w:szCs w:val="20"/>
                <w:color w:val="auto"/>
              </w:rPr>
            </w:pPr>
            <w:r>
              <w:rPr>
                <w:rFonts w:ascii="Arial" w:cs="Arial" w:eastAsia="Arial" w:hAnsi="Arial"/>
                <w:sz w:val="18"/>
                <w:szCs w:val="18"/>
                <w:color w:val="auto"/>
              </w:rPr>
              <w:t>Operating income</w:t>
            </w:r>
          </w:p>
        </w:tc>
        <w:tc>
          <w:tcPr>
            <w:tcW w:w="1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9.4 %</w:t>
            </w:r>
          </w:p>
        </w:tc>
        <w:tc>
          <w:tcPr>
            <w:tcW w:w="100" w:type="dxa"/>
            <w:vAlign w:val="bottom"/>
          </w:tcPr>
          <w:p>
            <w:pPr>
              <w:spacing w:after="0"/>
              <w:rPr>
                <w:sz w:val="20"/>
                <w:szCs w:val="20"/>
                <w:color w:val="auto"/>
              </w:rPr>
            </w:pPr>
          </w:p>
        </w:tc>
        <w:tc>
          <w:tcPr>
            <w:tcW w:w="1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7.4 %</w:t>
            </w:r>
          </w:p>
        </w:tc>
        <w:tc>
          <w:tcPr>
            <w:tcW w:w="120" w:type="dxa"/>
            <w:vAlign w:val="bottom"/>
            <w:tcBorders>
              <w:top w:val="single" w:sz="8" w:color="auto"/>
            </w:tcBorders>
          </w:tcPr>
          <w:p>
            <w:pPr>
              <w:spacing w:after="0"/>
              <w:rPr>
                <w:sz w:val="20"/>
                <w:szCs w:val="20"/>
                <w:color w:val="auto"/>
              </w:rPr>
            </w:pPr>
          </w:p>
        </w:tc>
        <w:tc>
          <w:tcPr>
            <w:tcW w:w="1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9.5 %</w:t>
            </w:r>
          </w:p>
        </w:tc>
        <w:tc>
          <w:tcPr>
            <w:tcW w:w="120" w:type="dxa"/>
            <w:vAlign w:val="bottom"/>
            <w:tcBorders>
              <w:top w:val="single" w:sz="8" w:color="auto"/>
            </w:tcBorders>
          </w:tcPr>
          <w:p>
            <w:pPr>
              <w:spacing w:after="0"/>
              <w:rPr>
                <w:sz w:val="20"/>
                <w:szCs w:val="20"/>
                <w:color w:val="auto"/>
              </w:rPr>
            </w:pPr>
          </w:p>
        </w:tc>
        <w:tc>
          <w:tcPr>
            <w:tcW w:w="1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8.3 %</w:t>
            </w:r>
          </w:p>
        </w:tc>
      </w:tr>
      <w:tr>
        <w:trPr>
          <w:trHeight w:val="27"/>
        </w:trPr>
        <w:tc>
          <w:tcPr>
            <w:tcW w:w="41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50"/>
        </w:trPr>
        <w:tc>
          <w:tcPr>
            <w:tcW w:w="4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Interest expense, net</w:t>
            </w: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1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1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1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(0.6)%</w:t>
            </w:r>
          </w:p>
        </w:tc>
      </w:tr>
      <w:tr>
        <w:trPr>
          <w:trHeight w:val="243"/>
        </w:trPr>
        <w:tc>
          <w:tcPr>
            <w:tcW w:w="4100" w:type="dxa"/>
            <w:vAlign w:val="bottom"/>
          </w:tcPr>
          <w:p>
            <w:pPr>
              <w:ind w:left="20"/>
              <w:spacing w:after="0"/>
              <w:rPr>
                <w:sz w:val="20"/>
                <w:szCs w:val="20"/>
                <w:color w:val="auto"/>
              </w:rPr>
            </w:pPr>
            <w:r>
              <w:rPr>
                <w:rFonts w:ascii="Arial" w:cs="Arial" w:eastAsia="Arial" w:hAnsi="Arial"/>
                <w:sz w:val="18"/>
                <w:szCs w:val="18"/>
                <w:color w:val="auto"/>
              </w:rPr>
              <w:t>Other income (expense)</w:t>
            </w:r>
          </w:p>
        </w:tc>
        <w:tc>
          <w:tcPr>
            <w:tcW w:w="1680" w:type="dxa"/>
            <w:vAlign w:val="bottom"/>
            <w:gridSpan w:val="2"/>
          </w:tcPr>
          <w:p>
            <w:pPr>
              <w:ind w:left="1140"/>
              <w:spacing w:after="0"/>
              <w:rPr>
                <w:sz w:val="20"/>
                <w:szCs w:val="20"/>
                <w:color w:val="auto"/>
              </w:rPr>
            </w:pPr>
            <w:r>
              <w:rPr>
                <w:rFonts w:ascii="Arial" w:cs="Arial" w:eastAsia="Arial" w:hAnsi="Arial"/>
                <w:sz w:val="18"/>
                <w:szCs w:val="18"/>
                <w:color w:val="auto"/>
              </w:rPr>
              <w:t>— %</w:t>
            </w:r>
          </w:p>
        </w:tc>
        <w:tc>
          <w:tcPr>
            <w:tcW w:w="1580" w:type="dxa"/>
            <w:vAlign w:val="bottom"/>
          </w:tcPr>
          <w:p>
            <w:pPr>
              <w:jc w:val="right"/>
              <w:spacing w:after="0"/>
              <w:rPr>
                <w:sz w:val="20"/>
                <w:szCs w:val="20"/>
                <w:color w:val="auto"/>
              </w:rPr>
            </w:pPr>
            <w:r>
              <w:rPr>
                <w:rFonts w:ascii="Arial" w:cs="Arial" w:eastAsia="Arial" w:hAnsi="Arial"/>
                <w:sz w:val="18"/>
                <w:szCs w:val="18"/>
                <w:color w:val="auto"/>
              </w:rPr>
              <w:t>0.1 %</w:t>
            </w:r>
          </w:p>
        </w:tc>
        <w:tc>
          <w:tcPr>
            <w:tcW w:w="120" w:type="dxa"/>
            <w:vAlign w:val="bottom"/>
          </w:tcPr>
          <w:p>
            <w:pPr>
              <w:spacing w:after="0"/>
              <w:rPr>
                <w:sz w:val="21"/>
                <w:szCs w:val="21"/>
                <w:color w:val="auto"/>
              </w:rPr>
            </w:pPr>
          </w:p>
        </w:tc>
        <w:tc>
          <w:tcPr>
            <w:tcW w:w="1700" w:type="dxa"/>
            <w:vAlign w:val="bottom"/>
            <w:gridSpan w:val="2"/>
          </w:tcPr>
          <w:p>
            <w:pPr>
              <w:jc w:val="right"/>
              <w:ind w:right="160"/>
              <w:spacing w:after="0"/>
              <w:rPr>
                <w:sz w:val="20"/>
                <w:szCs w:val="20"/>
                <w:color w:val="auto"/>
              </w:rPr>
            </w:pPr>
            <w:r>
              <w:rPr>
                <w:rFonts w:ascii="Arial" w:cs="Arial" w:eastAsia="Arial" w:hAnsi="Arial"/>
                <w:sz w:val="18"/>
                <w:szCs w:val="18"/>
                <w:color w:val="auto"/>
              </w:rPr>
              <w:t>— %</w:t>
            </w:r>
          </w:p>
        </w:tc>
        <w:tc>
          <w:tcPr>
            <w:tcW w:w="1580" w:type="dxa"/>
            <w:vAlign w:val="bottom"/>
          </w:tcPr>
          <w:p>
            <w:pPr>
              <w:jc w:val="right"/>
              <w:spacing w:after="0"/>
              <w:rPr>
                <w:sz w:val="20"/>
                <w:szCs w:val="20"/>
                <w:color w:val="auto"/>
              </w:rPr>
            </w:pPr>
            <w:r>
              <w:rPr>
                <w:rFonts w:ascii="Arial" w:cs="Arial" w:eastAsia="Arial" w:hAnsi="Arial"/>
                <w:sz w:val="18"/>
                <w:szCs w:val="18"/>
                <w:color w:val="auto"/>
              </w:rPr>
              <w:t>— %</w:t>
            </w:r>
          </w:p>
        </w:tc>
      </w:tr>
      <w:tr>
        <w:trPr>
          <w:trHeight w:val="27"/>
        </w:trPr>
        <w:tc>
          <w:tcPr>
            <w:tcW w:w="4100" w:type="dxa"/>
            <w:vAlign w:val="bottom"/>
            <w:tcBorders>
              <w:bottom w:val="single" w:sz="8" w:color="CCEEFF"/>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244"/>
        </w:trPr>
        <w:tc>
          <w:tcPr>
            <w:tcW w:w="4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Income before income taxes</w:t>
            </w: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8.9 %</w:t>
            </w:r>
          </w:p>
        </w:tc>
        <w:tc>
          <w:tcPr>
            <w:tcW w:w="1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6.9 %</w:t>
            </w:r>
          </w:p>
        </w:tc>
        <w:tc>
          <w:tcPr>
            <w:tcW w:w="1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9.0 %</w:t>
            </w:r>
          </w:p>
        </w:tc>
        <w:tc>
          <w:tcPr>
            <w:tcW w:w="1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7.7 %</w:t>
            </w:r>
          </w:p>
        </w:tc>
      </w:tr>
      <w:tr>
        <w:trPr>
          <w:trHeight w:val="243"/>
        </w:trPr>
        <w:tc>
          <w:tcPr>
            <w:tcW w:w="4100" w:type="dxa"/>
            <w:vAlign w:val="bottom"/>
          </w:tcPr>
          <w:p>
            <w:pPr>
              <w:ind w:left="20"/>
              <w:spacing w:after="0"/>
              <w:rPr>
                <w:sz w:val="20"/>
                <w:szCs w:val="20"/>
                <w:color w:val="auto"/>
              </w:rPr>
            </w:pPr>
            <w:r>
              <w:rPr>
                <w:rFonts w:ascii="Arial" w:cs="Arial" w:eastAsia="Arial" w:hAnsi="Arial"/>
                <w:sz w:val="18"/>
                <w:szCs w:val="18"/>
                <w:color w:val="auto"/>
              </w:rPr>
              <w:t>Income tax expense</w:t>
            </w:r>
          </w:p>
        </w:tc>
        <w:tc>
          <w:tcPr>
            <w:tcW w:w="1580" w:type="dxa"/>
            <w:vAlign w:val="bottom"/>
          </w:tcPr>
          <w:p>
            <w:pPr>
              <w:jc w:val="right"/>
              <w:spacing w:after="0"/>
              <w:rPr>
                <w:sz w:val="20"/>
                <w:szCs w:val="20"/>
                <w:color w:val="auto"/>
              </w:rPr>
            </w:pPr>
            <w:r>
              <w:rPr>
                <w:rFonts w:ascii="Arial" w:cs="Arial" w:eastAsia="Arial" w:hAnsi="Arial"/>
                <w:sz w:val="18"/>
                <w:szCs w:val="18"/>
                <w:color w:val="auto"/>
              </w:rPr>
              <w:t>(2.3)%</w:t>
            </w:r>
          </w:p>
        </w:tc>
        <w:tc>
          <w:tcPr>
            <w:tcW w:w="10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(1.9)%</w:t>
            </w:r>
          </w:p>
        </w:tc>
        <w:tc>
          <w:tcPr>
            <w:tcW w:w="12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(2.4)%</w:t>
            </w:r>
          </w:p>
        </w:tc>
        <w:tc>
          <w:tcPr>
            <w:tcW w:w="12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27"/>
        </w:trPr>
        <w:tc>
          <w:tcPr>
            <w:tcW w:w="4100" w:type="dxa"/>
            <w:vAlign w:val="bottom"/>
            <w:tcBorders>
              <w:bottom w:val="single" w:sz="8" w:color="CCEEFF"/>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269"/>
        </w:trPr>
        <w:tc>
          <w:tcPr>
            <w:tcW w:w="4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6.6 %</w:t>
            </w:r>
          </w:p>
        </w:tc>
        <w:tc>
          <w:tcPr>
            <w:tcW w:w="100" w:type="dxa"/>
            <w:vAlign w:val="bottom"/>
            <w:tcBorders>
              <w:bottom w:val="single" w:sz="8" w:color="CCEEFF"/>
            </w:tcBorders>
            <w:shd w:val="clear" w:color="auto" w:fill="CCEEFF"/>
          </w:tcPr>
          <w:p>
            <w:pPr>
              <w:spacing w:after="0"/>
              <w:rPr>
                <w:sz w:val="22"/>
                <w:szCs w:val="22"/>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5.0 %</w:t>
            </w:r>
          </w:p>
        </w:tc>
        <w:tc>
          <w:tcPr>
            <w:tcW w:w="120" w:type="dxa"/>
            <w:vAlign w:val="bottom"/>
            <w:tcBorders>
              <w:bottom w:val="single" w:sz="8" w:color="CCEEFF"/>
            </w:tcBorders>
            <w:shd w:val="clear" w:color="auto" w:fill="CCEEFF"/>
          </w:tcPr>
          <w:p>
            <w:pPr>
              <w:spacing w:after="0"/>
              <w:rPr>
                <w:sz w:val="22"/>
                <w:szCs w:val="22"/>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6.6 %</w:t>
            </w:r>
          </w:p>
        </w:tc>
        <w:tc>
          <w:tcPr>
            <w:tcW w:w="120" w:type="dxa"/>
            <w:vAlign w:val="bottom"/>
            <w:tcBorders>
              <w:bottom w:val="single" w:sz="8" w:color="CCEEFF"/>
            </w:tcBorders>
            <w:shd w:val="clear" w:color="auto" w:fill="CCEEFF"/>
          </w:tcPr>
          <w:p>
            <w:pPr>
              <w:spacing w:after="0"/>
              <w:rPr>
                <w:sz w:val="22"/>
                <w:szCs w:val="22"/>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5.6 %</w:t>
            </w:r>
          </w:p>
        </w:tc>
      </w:tr>
      <w:tr>
        <w:trPr>
          <w:trHeight w:val="20"/>
        </w:trPr>
        <w:tc>
          <w:tcPr>
            <w:tcW w:w="410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380"/>
          </w:cols>
          <w:pgMar w:left="240" w:top="584" w:right="279" w:bottom="1440" w:gutter="0" w:footer="0" w:header="0"/>
        </w:sectPr>
      </w:pPr>
    </w:p>
    <w:bookmarkStart w:id="17" w:name="page18"/>
    <w:bookmarkEnd w:id="17"/>
    <w:p>
      <w:pPr>
        <w:ind w:right="4180"/>
        <w:spacing w:after="0" w:line="438" w:lineRule="auto"/>
        <w:rPr>
          <w:sz w:val="20"/>
          <w:szCs w:val="20"/>
          <w:color w:val="auto"/>
        </w:rPr>
      </w:pPr>
      <w:r>
        <w:rPr>
          <w:rFonts w:ascii="Arial" w:cs="Arial" w:eastAsia="Arial" w:hAnsi="Arial"/>
          <w:sz w:val="18"/>
          <w:szCs w:val="18"/>
          <w:b w:val="1"/>
          <w:bCs w:val="1"/>
          <w:i w:val="1"/>
          <w:iCs w:val="1"/>
          <w:color w:val="auto"/>
        </w:rPr>
        <w:t xml:space="preserve">Three Months Ended September 29, 2019 Compared to Three Months Ended September 30, 2018 </w:t>
      </w:r>
      <w:r>
        <w:rPr>
          <w:rFonts w:ascii="Arial" w:cs="Arial" w:eastAsia="Arial" w:hAnsi="Arial"/>
          <w:sz w:val="18"/>
          <w:szCs w:val="18"/>
          <w:i w:val="1"/>
          <w:iCs w:val="1"/>
          <w:color w:val="auto"/>
        </w:rPr>
        <w:t>Sales</w:t>
      </w:r>
    </w:p>
    <w:p>
      <w:pPr>
        <w:spacing w:after="0" w:line="1"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Sales decreased $5.3 million, or 3.6%, to $140.0 million for the three months ended September 29, 2019, as compared to $145.3 million for the same period of the prior year.</w:t>
      </w:r>
    </w:p>
    <w:p>
      <w:pPr>
        <w:spacing w:after="0" w:line="116" w:lineRule="exact"/>
        <w:rPr>
          <w:sz w:val="20"/>
          <w:szCs w:val="20"/>
          <w:color w:val="auto"/>
        </w:rPr>
      </w:pPr>
    </w:p>
    <w:p>
      <w:pPr>
        <w:spacing w:after="0" w:line="297" w:lineRule="auto"/>
        <w:rPr>
          <w:sz w:val="20"/>
          <w:szCs w:val="20"/>
          <w:color w:val="auto"/>
        </w:rPr>
      </w:pPr>
      <w:r>
        <w:rPr>
          <w:rFonts w:ascii="Arial" w:cs="Arial" w:eastAsia="Arial" w:hAnsi="Arial"/>
          <w:sz w:val="16"/>
          <w:szCs w:val="16"/>
          <w:i w:val="1"/>
          <w:iCs w:val="1"/>
          <w:color w:val="auto"/>
        </w:rPr>
        <w:t xml:space="preserve">Industrial Segment. </w:t>
      </w:r>
      <w:r>
        <w:rPr>
          <w:rFonts w:ascii="Arial" w:cs="Arial" w:eastAsia="Arial" w:hAnsi="Arial"/>
          <w:sz w:val="16"/>
          <w:szCs w:val="16"/>
          <w:color w:val="auto"/>
        </w:rPr>
        <w:t>Industrial segment sales decreased $1.3 million, or 1.9%, to $68.1 million for the three months ended September 29, 2019, as compared</w:t>
      </w:r>
      <w:r>
        <w:rPr>
          <w:rFonts w:ascii="Arial" w:cs="Arial" w:eastAsia="Arial" w:hAnsi="Arial"/>
          <w:sz w:val="16"/>
          <w:szCs w:val="16"/>
          <w:i w:val="1"/>
          <w:iCs w:val="1"/>
          <w:color w:val="auto"/>
        </w:rPr>
        <w:t xml:space="preserve"> </w:t>
      </w:r>
      <w:r>
        <w:rPr>
          <w:rFonts w:ascii="Arial" w:cs="Arial" w:eastAsia="Arial" w:hAnsi="Arial"/>
          <w:sz w:val="16"/>
          <w:szCs w:val="16"/>
          <w:color w:val="auto"/>
        </w:rPr>
        <w:t>to $69.4 million for the same period of the prior year. Sales of bulk commodity products in the Industrial segment were approximately 17% of sales dollars for the three months ended September 29, 2019 and 22% for the same period in the prior year. Sales dollars decreased from the prior year due to a decrease of volumes sold of our bulk commodity products as well as lower pricing due to lower costs of one of our major commodities, offset somewhat by an increase in volumes sold of our manufactured, blended and re-packaged products that typically carry higher per-unit selling prices.</w:t>
      </w:r>
    </w:p>
    <w:p>
      <w:pPr>
        <w:spacing w:after="0" w:line="104" w:lineRule="exact"/>
        <w:rPr>
          <w:sz w:val="20"/>
          <w:szCs w:val="20"/>
          <w:color w:val="auto"/>
        </w:rPr>
      </w:pPr>
    </w:p>
    <w:p>
      <w:pPr>
        <w:ind w:right="140"/>
        <w:spacing w:after="0" w:line="276" w:lineRule="auto"/>
        <w:rPr>
          <w:sz w:val="20"/>
          <w:szCs w:val="20"/>
          <w:color w:val="auto"/>
        </w:rPr>
      </w:pPr>
      <w:r>
        <w:rPr>
          <w:rFonts w:ascii="Arial" w:cs="Arial" w:eastAsia="Arial" w:hAnsi="Arial"/>
          <w:sz w:val="17"/>
          <w:szCs w:val="17"/>
          <w:i w:val="1"/>
          <w:iCs w:val="1"/>
          <w:color w:val="auto"/>
        </w:rPr>
        <w:t xml:space="preserve">Water Treatment Segment. </w:t>
      </w:r>
      <w:r>
        <w:rPr>
          <w:rFonts w:ascii="Arial" w:cs="Arial" w:eastAsia="Arial" w:hAnsi="Arial"/>
          <w:sz w:val="17"/>
          <w:szCs w:val="17"/>
          <w:color w:val="auto"/>
        </w:rPr>
        <w:t>Water Treatment segment sales increased $3.2 million, or 7.4%, to $45.9 million for the three months ended September 29, 2019,</w:t>
      </w:r>
      <w:r>
        <w:rPr>
          <w:rFonts w:ascii="Arial" w:cs="Arial" w:eastAsia="Arial" w:hAnsi="Arial"/>
          <w:sz w:val="17"/>
          <w:szCs w:val="17"/>
          <w:i w:val="1"/>
          <w:iCs w:val="1"/>
          <w:color w:val="auto"/>
        </w:rPr>
        <w:t xml:space="preserve"> </w:t>
      </w:r>
      <w:r>
        <w:rPr>
          <w:rFonts w:ascii="Arial" w:cs="Arial" w:eastAsia="Arial" w:hAnsi="Arial"/>
          <w:sz w:val="17"/>
          <w:szCs w:val="17"/>
          <w:color w:val="auto"/>
        </w:rPr>
        <w:t>as compared to $42.7 million for the same period of the prior year. Sales of bulk commodity products in the Water Treatment segment were approximately 11% of sales dollars for the three months ended September 29, 2019 and 14% of sales dollars for the same period in the prior year. The increase in sales dollars was driven by increased volumes sold of certain manufactured, blended and re-packaged products that carry higher per-unit selling prices, offset somewhat by lower pricing due to lower costs of one of our major commodities.</w:t>
      </w:r>
    </w:p>
    <w:p>
      <w:pPr>
        <w:spacing w:after="0" w:line="119" w:lineRule="exact"/>
        <w:rPr>
          <w:sz w:val="20"/>
          <w:szCs w:val="20"/>
          <w:color w:val="auto"/>
        </w:rPr>
      </w:pPr>
    </w:p>
    <w:p>
      <w:pPr>
        <w:spacing w:after="0" w:line="264" w:lineRule="auto"/>
        <w:rPr>
          <w:sz w:val="20"/>
          <w:szCs w:val="20"/>
          <w:color w:val="auto"/>
        </w:rPr>
      </w:pPr>
      <w:r>
        <w:rPr>
          <w:rFonts w:ascii="Arial" w:cs="Arial" w:eastAsia="Arial" w:hAnsi="Arial"/>
          <w:sz w:val="18"/>
          <w:szCs w:val="18"/>
          <w:i w:val="1"/>
          <w:iCs w:val="1"/>
          <w:color w:val="auto"/>
        </w:rPr>
        <w:t xml:space="preserve">Health &amp; Nutrition Segment. </w:t>
      </w:r>
      <w:r>
        <w:rPr>
          <w:rFonts w:ascii="Arial" w:cs="Arial" w:eastAsia="Arial" w:hAnsi="Arial"/>
          <w:sz w:val="18"/>
          <w:szCs w:val="18"/>
          <w:color w:val="auto"/>
        </w:rPr>
        <w:t>Health and Nutrition segment sales decreased $7.1 million, or 21.5%, to $26.1 million for the three months ended September 29,</w:t>
      </w:r>
      <w:r>
        <w:rPr>
          <w:rFonts w:ascii="Arial" w:cs="Arial" w:eastAsia="Arial" w:hAnsi="Arial"/>
          <w:sz w:val="18"/>
          <w:szCs w:val="18"/>
          <w:i w:val="1"/>
          <w:iCs w:val="1"/>
          <w:color w:val="auto"/>
        </w:rPr>
        <w:t xml:space="preserve"> </w:t>
      </w:r>
      <w:r>
        <w:rPr>
          <w:rFonts w:ascii="Arial" w:cs="Arial" w:eastAsia="Arial" w:hAnsi="Arial"/>
          <w:sz w:val="18"/>
          <w:szCs w:val="18"/>
          <w:color w:val="auto"/>
        </w:rPr>
        <w:t>2019, as compared to $33.2 million the same period of the prior year. The decrease in sales was driven by decreased sales of our specialty distributed products.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Gross Profit</w:t>
      </w:r>
    </w:p>
    <w:p>
      <w:pPr>
        <w:spacing w:after="0" w:line="171" w:lineRule="exact"/>
        <w:rPr>
          <w:sz w:val="20"/>
          <w:szCs w:val="20"/>
          <w:color w:val="auto"/>
        </w:rPr>
      </w:pPr>
    </w:p>
    <w:p>
      <w:pPr>
        <w:ind w:right="60"/>
        <w:spacing w:after="0" w:line="286" w:lineRule="auto"/>
        <w:rPr>
          <w:sz w:val="20"/>
          <w:szCs w:val="20"/>
          <w:color w:val="auto"/>
        </w:rPr>
      </w:pPr>
      <w:r>
        <w:rPr>
          <w:rFonts w:ascii="Arial" w:cs="Arial" w:eastAsia="Arial" w:hAnsi="Arial"/>
          <w:sz w:val="17"/>
          <w:szCs w:val="17"/>
          <w:color w:val="auto"/>
        </w:rPr>
        <w:t>Gross profit was $28.0 million, or 20.0% of sales, for the three months ended September 29, 2019, an increase of $2.2 million from $25.8 million, or 17.7% of sales, for the same period of the prior year. During the three months ended September 29, 2019, the LIFO reserve decreased, and gross profit increased, by $0.3 million. In the same period of the prior year, the LIFO reserve increased, and gross profit decreased, by $0.1 million.</w:t>
      </w:r>
    </w:p>
    <w:p>
      <w:pPr>
        <w:spacing w:after="0" w:line="111" w:lineRule="exact"/>
        <w:rPr>
          <w:sz w:val="20"/>
          <w:szCs w:val="20"/>
          <w:color w:val="auto"/>
        </w:rPr>
      </w:pPr>
    </w:p>
    <w:p>
      <w:pPr>
        <w:ind w:right="160"/>
        <w:spacing w:after="0" w:line="302" w:lineRule="auto"/>
        <w:rPr>
          <w:sz w:val="20"/>
          <w:szCs w:val="20"/>
          <w:color w:val="auto"/>
        </w:rPr>
      </w:pPr>
      <w:r>
        <w:rPr>
          <w:rFonts w:ascii="Arial" w:cs="Arial" w:eastAsia="Arial" w:hAnsi="Arial"/>
          <w:sz w:val="16"/>
          <w:szCs w:val="16"/>
          <w:i w:val="1"/>
          <w:iCs w:val="1"/>
          <w:color w:val="auto"/>
        </w:rPr>
        <w:t xml:space="preserve">Industrial Segment. </w:t>
      </w:r>
      <w:r>
        <w:rPr>
          <w:rFonts w:ascii="Arial" w:cs="Arial" w:eastAsia="Arial" w:hAnsi="Arial"/>
          <w:sz w:val="16"/>
          <w:szCs w:val="16"/>
          <w:color w:val="auto"/>
        </w:rPr>
        <w:t>Gross profit for the Industrial segment increased $2.3 million to $10.7 million, or 15.7% of sales, for the three months ended September</w:t>
      </w:r>
      <w:r>
        <w:rPr>
          <w:rFonts w:ascii="Arial" w:cs="Arial" w:eastAsia="Arial" w:hAnsi="Arial"/>
          <w:sz w:val="16"/>
          <w:szCs w:val="16"/>
          <w:i w:val="1"/>
          <w:iCs w:val="1"/>
          <w:color w:val="auto"/>
        </w:rPr>
        <w:t xml:space="preserve"> </w:t>
      </w:r>
      <w:r>
        <w:rPr>
          <w:rFonts w:ascii="Arial" w:cs="Arial" w:eastAsia="Arial" w:hAnsi="Arial"/>
          <w:sz w:val="16"/>
          <w:szCs w:val="16"/>
          <w:color w:val="auto"/>
        </w:rPr>
        <w:t>29, 2019, as compared to $8.3 million, or 12.0% of sales, for the same period of the prior year. During the current quarter, the LIFO reserve decreased, and gross profit increased, by $0.3 million. In the same period a year ago, the LIFO reserve increased, and gross profit decreased, by $0.1 million. Total gross profit increased from a year ago due to a favorable product mix shift to sales of higher margin manufactured, blended and re-packaged products.</w:t>
      </w:r>
    </w:p>
    <w:p>
      <w:pPr>
        <w:spacing w:after="0" w:line="100"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i w:val="1"/>
          <w:iCs w:val="1"/>
          <w:color w:val="auto"/>
        </w:rPr>
        <w:t xml:space="preserve">Water Treatment Segment. </w:t>
      </w:r>
      <w:r>
        <w:rPr>
          <w:rFonts w:ascii="Arial" w:cs="Arial" w:eastAsia="Arial" w:hAnsi="Arial"/>
          <w:sz w:val="18"/>
          <w:szCs w:val="18"/>
          <w:color w:val="auto"/>
        </w:rPr>
        <w:t>Gross profit for the Water Treatment segment increased $1.1 million to $12.8 million, or 27.8% of sales, for the three months</w:t>
      </w:r>
      <w:r>
        <w:rPr>
          <w:rFonts w:ascii="Arial" w:cs="Arial" w:eastAsia="Arial" w:hAnsi="Arial"/>
          <w:sz w:val="18"/>
          <w:szCs w:val="18"/>
          <w:i w:val="1"/>
          <w:iCs w:val="1"/>
          <w:color w:val="auto"/>
        </w:rPr>
        <w:t xml:space="preserve"> </w:t>
      </w:r>
      <w:r>
        <w:rPr>
          <w:rFonts w:ascii="Arial" w:cs="Arial" w:eastAsia="Arial" w:hAnsi="Arial"/>
          <w:sz w:val="18"/>
          <w:szCs w:val="18"/>
          <w:color w:val="auto"/>
        </w:rPr>
        <w:t>ended September 29, 2019, as compared to $11.7 million, or 27.4% of sales, for the same period of the prior year. During the current and prior year quarters, the LIFO reserve changed nominally and therefore had a minimal impact on gross profit. Gross profit increased as a result of higher sales compared to a year ago, offset somewhat by higher variable operating costs.</w:t>
      </w:r>
    </w:p>
    <w:p>
      <w:pPr>
        <w:spacing w:after="0" w:line="133"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i w:val="1"/>
          <w:iCs w:val="1"/>
          <w:color w:val="auto"/>
        </w:rPr>
        <w:t>Health and Nutrition Segment</w:t>
      </w:r>
      <w:r>
        <w:rPr>
          <w:rFonts w:ascii="Arial" w:cs="Arial" w:eastAsia="Arial" w:hAnsi="Arial"/>
          <w:sz w:val="18"/>
          <w:szCs w:val="18"/>
          <w:color w:val="auto"/>
        </w:rPr>
        <w:t>. Gross profit for our Health and Nutrition segment decreased $1.1 million to $4.6 million, or 17.5% of sales, for the three</w:t>
      </w:r>
      <w:r>
        <w:rPr>
          <w:rFonts w:ascii="Arial" w:cs="Arial" w:eastAsia="Arial" w:hAnsi="Arial"/>
          <w:sz w:val="18"/>
          <w:szCs w:val="18"/>
          <w:i w:val="1"/>
          <w:iCs w:val="1"/>
          <w:color w:val="auto"/>
        </w:rPr>
        <w:t xml:space="preserve"> </w:t>
      </w:r>
      <w:r>
        <w:rPr>
          <w:rFonts w:ascii="Arial" w:cs="Arial" w:eastAsia="Arial" w:hAnsi="Arial"/>
          <w:sz w:val="18"/>
          <w:szCs w:val="18"/>
          <w:color w:val="auto"/>
        </w:rPr>
        <w:t>months ended September 29, 2019, as compared to $5.7 million, or 17.3% of sales, for the same period of the prior year. Gross profit decreased as a result of lower sales, while gross profit as a percent of sales was up slightly year over year.</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Selling, General and Administrative Expenses</w:t>
      </w:r>
    </w:p>
    <w:p>
      <w:pPr>
        <w:spacing w:after="0" w:line="171"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Selling, general and administrative (“SG&amp;A”) expenses were relatively flat year over year at $14.8 million, or 10.6% of sales, for the three months ended September 29, 2019, and $14.9 million, or 10.3% of sales, for the same period of the prior year.</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Income</w:t>
      </w:r>
    </w:p>
    <w:p>
      <w:pPr>
        <w:spacing w:after="0" w:line="171"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Operating income increased $2.4 million to $13.2 million, or 9.4% of sales, for the three months ended September 29, 2019, from $10.8 million, or 7.4% of sales, for the same period of the prior year due to the combined impact of the factors discussed above.</w:t>
      </w:r>
    </w:p>
    <w:p>
      <w:pPr>
        <w:spacing w:after="0" w:line="200" w:lineRule="exact"/>
        <w:rPr>
          <w:sz w:val="20"/>
          <w:szCs w:val="20"/>
          <w:color w:val="auto"/>
        </w:rPr>
      </w:pPr>
    </w:p>
    <w:p>
      <w:pPr>
        <w:spacing w:after="0" w:line="37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00"/>
          </w:cols>
          <w:pgMar w:left="240" w:top="800" w:right="259" w:bottom="1440" w:gutter="0" w:footer="0" w:header="0"/>
        </w:sectPr>
      </w:pPr>
    </w:p>
    <w:bookmarkStart w:id="18" w:name="page19"/>
    <w:bookmarkEnd w:id="18"/>
    <w:p>
      <w:pPr>
        <w:spacing w:after="0"/>
        <w:rPr>
          <w:sz w:val="20"/>
          <w:szCs w:val="20"/>
          <w:color w:val="auto"/>
        </w:rPr>
      </w:pPr>
      <w:r>
        <w:rPr>
          <w:rFonts w:ascii="Arial" w:cs="Arial" w:eastAsia="Arial" w:hAnsi="Arial"/>
          <w:sz w:val="18"/>
          <w:szCs w:val="18"/>
          <w:i w:val="1"/>
          <w:iCs w:val="1"/>
          <w:color w:val="auto"/>
        </w:rPr>
        <w:t>Interest Expense, Net</w:t>
      </w:r>
    </w:p>
    <w:p>
      <w:pPr>
        <w:spacing w:after="0" w:line="171"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Interest expense was $0.7 million for the three months ended September 29, 2019 compared to $0.8 million for the same period of the prior year. Interest expense decreased due to lower outstanding borrowings compared to the prior year.</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(expense) income</w:t>
      </w:r>
    </w:p>
    <w:p>
      <w:pPr>
        <w:spacing w:after="0" w:line="171" w:lineRule="exact"/>
        <w:rPr>
          <w:sz w:val="20"/>
          <w:szCs w:val="20"/>
          <w:color w:val="auto"/>
        </w:rPr>
      </w:pPr>
    </w:p>
    <w:p>
      <w:pPr>
        <w:ind w:right="220"/>
        <w:spacing w:after="0" w:line="264" w:lineRule="auto"/>
        <w:rPr>
          <w:sz w:val="20"/>
          <w:szCs w:val="20"/>
          <w:color w:val="auto"/>
        </w:rPr>
      </w:pPr>
      <w:r>
        <w:rPr>
          <w:rFonts w:ascii="Arial" w:cs="Arial" w:eastAsia="Arial" w:hAnsi="Arial"/>
          <w:sz w:val="18"/>
          <w:szCs w:val="18"/>
          <w:color w:val="auto"/>
        </w:rPr>
        <w:t>Other income was nominal for the three months ended September 29, 2019 and was $0.1 million in the second quarter of last fiscal year. Other (expense) income represents gains or losses recorded on investments held for our non-qualified deferred compensation plan. The amount recorded as a gain or loss is offset by a similar reduction or increase to compensation expense recorded within SG&amp;A expenses.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 Provision</w:t>
      </w:r>
    </w:p>
    <w:p>
      <w:pPr>
        <w:spacing w:after="0" w:line="225" w:lineRule="exact"/>
        <w:rPr>
          <w:sz w:val="20"/>
          <w:szCs w:val="20"/>
          <w:color w:val="auto"/>
        </w:rPr>
      </w:pPr>
    </w:p>
    <w:p>
      <w:pPr>
        <w:ind w:right="280"/>
        <w:spacing w:after="0" w:line="308" w:lineRule="auto"/>
        <w:rPr>
          <w:sz w:val="20"/>
          <w:szCs w:val="20"/>
          <w:color w:val="auto"/>
        </w:rPr>
      </w:pPr>
      <w:r>
        <w:rPr>
          <w:rFonts w:ascii="Arial" w:cs="Arial" w:eastAsia="Arial" w:hAnsi="Arial"/>
          <w:sz w:val="17"/>
          <w:szCs w:val="17"/>
          <w:color w:val="auto"/>
        </w:rPr>
        <w:t>Our effective income tax rate was 26.2% for the three months ended September 29, 2019. Our effective tax rate for the three months ended September 30, 2018 was 26.6%. The effective tax rate is impacted by projected levels of annual taxable income, permanent items, and state taxes.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Six Months Ended September 29, 2019 Compared to Six Months Ended September 30, 2018</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Sales</w:t>
      </w:r>
    </w:p>
    <w:p>
      <w:pPr>
        <w:spacing w:after="0" w:line="225" w:lineRule="exact"/>
        <w:rPr>
          <w:sz w:val="20"/>
          <w:szCs w:val="20"/>
          <w:color w:val="auto"/>
        </w:rPr>
      </w:pPr>
    </w:p>
    <w:p>
      <w:pPr>
        <w:ind w:right="2820"/>
        <w:spacing w:after="0" w:line="277" w:lineRule="auto"/>
        <w:rPr>
          <w:sz w:val="20"/>
          <w:szCs w:val="20"/>
          <w:color w:val="auto"/>
        </w:rPr>
      </w:pPr>
      <w:r>
        <w:rPr>
          <w:rFonts w:ascii="Arial" w:cs="Arial" w:eastAsia="Arial" w:hAnsi="Arial"/>
          <w:sz w:val="18"/>
          <w:szCs w:val="18"/>
          <w:color w:val="auto"/>
        </w:rPr>
        <w:t>Sales decreased $7.7 million, or 2.6%, to $287.4 million for the six months ended September 29, 2019, as compared to $295.1 million for the same period of the prior year.</w:t>
      </w:r>
    </w:p>
    <w:p>
      <w:pPr>
        <w:spacing w:after="0" w:line="170"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i w:val="1"/>
          <w:iCs w:val="1"/>
          <w:color w:val="auto"/>
        </w:rPr>
        <w:t xml:space="preserve">Industrial Segment. </w:t>
      </w:r>
      <w:r>
        <w:rPr>
          <w:rFonts w:ascii="Arial" w:cs="Arial" w:eastAsia="Arial" w:hAnsi="Arial"/>
          <w:sz w:val="18"/>
          <w:szCs w:val="18"/>
          <w:color w:val="auto"/>
        </w:rPr>
        <w:t>Industrial segment sales were $143.4 million for both the six months ended September 29, 2019 and the same period of the prior year.</w:t>
      </w:r>
      <w:r>
        <w:rPr>
          <w:rFonts w:ascii="Arial" w:cs="Arial" w:eastAsia="Arial" w:hAnsi="Arial"/>
          <w:sz w:val="18"/>
          <w:szCs w:val="18"/>
          <w:i w:val="1"/>
          <w:iCs w:val="1"/>
          <w:color w:val="auto"/>
        </w:rPr>
        <w:t xml:space="preserve"> </w:t>
      </w:r>
      <w:r>
        <w:rPr>
          <w:rFonts w:ascii="Arial" w:cs="Arial" w:eastAsia="Arial" w:hAnsi="Arial"/>
          <w:sz w:val="18"/>
          <w:szCs w:val="18"/>
          <w:color w:val="auto"/>
        </w:rPr>
        <w:t>Sales of bulk commodity products in the Industrial segment were approximately 19% of sales dollars for the six months ended September 29, 2019 and 21% of sales dollars for the same period in the prior year. While sales dollars did not change in the current period compared to a year ago, increased sales of our manufactured, blended and re-packaged products were offset by decreased sales of our Bulk commodity products and lower pricing due to lower costs of one of our major commodities.</w:t>
      </w:r>
    </w:p>
    <w:p>
      <w:pPr>
        <w:spacing w:after="0" w:line="202" w:lineRule="exact"/>
        <w:rPr>
          <w:sz w:val="20"/>
          <w:szCs w:val="20"/>
          <w:color w:val="auto"/>
        </w:rPr>
      </w:pPr>
    </w:p>
    <w:p>
      <w:pPr>
        <w:ind w:right="80"/>
        <w:spacing w:after="0" w:line="279" w:lineRule="auto"/>
        <w:rPr>
          <w:sz w:val="20"/>
          <w:szCs w:val="20"/>
          <w:color w:val="auto"/>
        </w:rPr>
      </w:pPr>
      <w:r>
        <w:rPr>
          <w:rFonts w:ascii="Arial" w:cs="Arial" w:eastAsia="Arial" w:hAnsi="Arial"/>
          <w:sz w:val="17"/>
          <w:szCs w:val="17"/>
          <w:i w:val="1"/>
          <w:iCs w:val="1"/>
          <w:color w:val="auto"/>
        </w:rPr>
        <w:t xml:space="preserve">Water Treatment Segment. </w:t>
      </w:r>
      <w:r>
        <w:rPr>
          <w:rFonts w:ascii="Arial" w:cs="Arial" w:eastAsia="Arial" w:hAnsi="Arial"/>
          <w:sz w:val="17"/>
          <w:szCs w:val="17"/>
          <w:color w:val="auto"/>
        </w:rPr>
        <w:t>Water Treatment segment sales increased $5.5 million, or 6.6%, to $89.1 million for the six months ended September 29, 2019, as</w:t>
      </w:r>
      <w:r>
        <w:rPr>
          <w:rFonts w:ascii="Arial" w:cs="Arial" w:eastAsia="Arial" w:hAnsi="Arial"/>
          <w:sz w:val="17"/>
          <w:szCs w:val="17"/>
          <w:i w:val="1"/>
          <w:iCs w:val="1"/>
          <w:color w:val="auto"/>
        </w:rPr>
        <w:t xml:space="preserve"> </w:t>
      </w:r>
      <w:r>
        <w:rPr>
          <w:rFonts w:ascii="Arial" w:cs="Arial" w:eastAsia="Arial" w:hAnsi="Arial"/>
          <w:sz w:val="17"/>
          <w:szCs w:val="17"/>
          <w:color w:val="auto"/>
        </w:rPr>
        <w:t>compared to $83.6 million for the same period of the prior year. Sales of bulk commodity products in the Water Treatment segment were approximately 11% of sales dollars for the six months ended September 29, 2019 and 14% for the same period in the prior year. The increase in sales dollars was driven by increased volumes sold of certain manufactured, blended and re-packaged products that carry higher per-unit selling prices.</w:t>
      </w:r>
    </w:p>
    <w:p>
      <w:pPr>
        <w:spacing w:after="0" w:line="171"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i w:val="1"/>
          <w:iCs w:val="1"/>
          <w:color w:val="auto"/>
        </w:rPr>
        <w:t xml:space="preserve">Health &amp; Nutrition Segment. </w:t>
      </w:r>
      <w:r>
        <w:rPr>
          <w:rFonts w:ascii="Arial" w:cs="Arial" w:eastAsia="Arial" w:hAnsi="Arial"/>
          <w:sz w:val="18"/>
          <w:szCs w:val="18"/>
          <w:color w:val="auto"/>
        </w:rPr>
        <w:t>Health and Nutrition segment sales decreased $13.3 million, or 19.5%, to $54.8 million for the six months ended September 29,</w:t>
      </w:r>
      <w:r>
        <w:rPr>
          <w:rFonts w:ascii="Arial" w:cs="Arial" w:eastAsia="Arial" w:hAnsi="Arial"/>
          <w:sz w:val="18"/>
          <w:szCs w:val="18"/>
          <w:i w:val="1"/>
          <w:iCs w:val="1"/>
          <w:color w:val="auto"/>
        </w:rPr>
        <w:t xml:space="preserve"> </w:t>
      </w:r>
      <w:r>
        <w:rPr>
          <w:rFonts w:ascii="Arial" w:cs="Arial" w:eastAsia="Arial" w:hAnsi="Arial"/>
          <w:sz w:val="18"/>
          <w:szCs w:val="18"/>
          <w:color w:val="auto"/>
        </w:rPr>
        <w:t>2019, as compared to $68.1 million the same period of the prior year. The decline in sales was driven by decreased sales of our specialty distributed products, nearly half of which was due to a previously anticipated worldwide supply shortage of a significant product that we believe to be temporary and the ramp-up of sales with new partners replacing previous product lines.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Gross Profit</w:t>
      </w:r>
    </w:p>
    <w:p>
      <w:pPr>
        <w:spacing w:after="0" w:line="225" w:lineRule="exact"/>
        <w:rPr>
          <w:sz w:val="20"/>
          <w:szCs w:val="20"/>
          <w:color w:val="auto"/>
        </w:rPr>
      </w:pPr>
    </w:p>
    <w:p>
      <w:pPr>
        <w:ind w:right="120"/>
        <w:spacing w:after="0" w:line="286" w:lineRule="auto"/>
        <w:rPr>
          <w:sz w:val="20"/>
          <w:szCs w:val="20"/>
          <w:color w:val="auto"/>
        </w:rPr>
      </w:pPr>
      <w:r>
        <w:rPr>
          <w:rFonts w:ascii="Arial" w:cs="Arial" w:eastAsia="Arial" w:hAnsi="Arial"/>
          <w:sz w:val="17"/>
          <w:szCs w:val="17"/>
          <w:color w:val="auto"/>
        </w:rPr>
        <w:t>Gross profit increased $2.6 million to $56.8 million, or 19.8% of sales, for the six months ended September 29, 2019, from $54.2 million, or 18.4% of sales, for the same period of the prior year. During the six months ended September 29, 2019, the LIFO reserve decreased and gross profit increased by $0.3 million, while the LIFO reserve increased and gross profit decreased by $0.5 million in the same period of the prior year.</w:t>
      </w:r>
    </w:p>
    <w:p>
      <w:pPr>
        <w:spacing w:after="0" w:line="166" w:lineRule="exact"/>
        <w:rPr>
          <w:sz w:val="20"/>
          <w:szCs w:val="20"/>
          <w:color w:val="auto"/>
        </w:rPr>
      </w:pPr>
    </w:p>
    <w:p>
      <w:pPr>
        <w:spacing w:after="0" w:line="257" w:lineRule="auto"/>
        <w:rPr>
          <w:sz w:val="20"/>
          <w:szCs w:val="20"/>
          <w:color w:val="auto"/>
        </w:rPr>
      </w:pPr>
      <w:r>
        <w:rPr>
          <w:rFonts w:ascii="Arial" w:cs="Arial" w:eastAsia="Arial" w:hAnsi="Arial"/>
          <w:sz w:val="18"/>
          <w:szCs w:val="18"/>
          <w:i w:val="1"/>
          <w:iCs w:val="1"/>
          <w:color w:val="auto"/>
        </w:rPr>
        <w:t xml:space="preserve">Industrial Segment. </w:t>
      </w:r>
      <w:r>
        <w:rPr>
          <w:rFonts w:ascii="Arial" w:cs="Arial" w:eastAsia="Arial" w:hAnsi="Arial"/>
          <w:sz w:val="18"/>
          <w:szCs w:val="18"/>
          <w:color w:val="auto"/>
        </w:rPr>
        <w:t>Gross profit for the Industrial segment increased $2.8 million to $21.6 million, or 15.1% of sales, for the six months ended September 29,</w:t>
      </w:r>
      <w:r>
        <w:rPr>
          <w:rFonts w:ascii="Arial" w:cs="Arial" w:eastAsia="Arial" w:hAnsi="Arial"/>
          <w:sz w:val="18"/>
          <w:szCs w:val="18"/>
          <w:i w:val="1"/>
          <w:iCs w:val="1"/>
          <w:color w:val="auto"/>
        </w:rPr>
        <w:t xml:space="preserve"> </w:t>
      </w:r>
      <w:r>
        <w:rPr>
          <w:rFonts w:ascii="Arial" w:cs="Arial" w:eastAsia="Arial" w:hAnsi="Arial"/>
          <w:sz w:val="18"/>
          <w:szCs w:val="18"/>
          <w:color w:val="auto"/>
        </w:rPr>
        <w:t>2019, as compared to $18.8 million, or 13.1% of sales, for the same period of the prior year. During the six months ended September 29, 2019, the LIFO reserve decreased and gross profit increased by $0.3 million, while the LIFO reserve increased and gross profit decreased by $0.4 million during the first six months of the prior year. Total gross profit increased from a year ago due to a favorable product mix shift to sales of higher margin manufactured, blended and re-packaged products.</w:t>
      </w:r>
    </w:p>
    <w:p>
      <w:pPr>
        <w:spacing w:after="0" w:line="200" w:lineRule="exact"/>
        <w:rPr>
          <w:sz w:val="20"/>
          <w:szCs w:val="20"/>
          <w:color w:val="auto"/>
        </w:rPr>
      </w:pPr>
    </w:p>
    <w:p>
      <w:pPr>
        <w:spacing w:after="0" w:line="23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380"/>
          </w:cols>
          <w:pgMar w:left="240" w:top="746" w:right="279" w:bottom="1440" w:gutter="0" w:footer="0" w:header="0"/>
        </w:sectPr>
      </w:pPr>
    </w:p>
    <w:bookmarkStart w:id="19" w:name="page20"/>
    <w:bookmarkEnd w:id="19"/>
    <w:p>
      <w:pPr>
        <w:jc w:val="both"/>
        <w:ind w:right="60"/>
        <w:spacing w:after="0" w:line="257" w:lineRule="auto"/>
        <w:rPr>
          <w:sz w:val="20"/>
          <w:szCs w:val="20"/>
          <w:color w:val="auto"/>
        </w:rPr>
      </w:pPr>
      <w:r>
        <w:rPr>
          <w:rFonts w:ascii="Arial" w:cs="Arial" w:eastAsia="Arial" w:hAnsi="Arial"/>
          <w:sz w:val="18"/>
          <w:szCs w:val="18"/>
          <w:i w:val="1"/>
          <w:iCs w:val="1"/>
          <w:color w:val="auto"/>
        </w:rPr>
        <w:t xml:space="preserve">Water Treatment Segment. </w:t>
      </w:r>
      <w:r>
        <w:rPr>
          <w:rFonts w:ascii="Arial" w:cs="Arial" w:eastAsia="Arial" w:hAnsi="Arial"/>
          <w:sz w:val="18"/>
          <w:szCs w:val="18"/>
          <w:color w:val="auto"/>
        </w:rPr>
        <w:t>Gross profit for the Water Treatment segment increased $1.7 million to $24.8 million, or 27.9% of sales, for the six months ended</w:t>
      </w:r>
      <w:r>
        <w:rPr>
          <w:rFonts w:ascii="Arial" w:cs="Arial" w:eastAsia="Arial" w:hAnsi="Arial"/>
          <w:sz w:val="18"/>
          <w:szCs w:val="18"/>
          <w:i w:val="1"/>
          <w:iCs w:val="1"/>
          <w:color w:val="auto"/>
        </w:rPr>
        <w:t xml:space="preserve"> </w:t>
      </w:r>
      <w:r>
        <w:rPr>
          <w:rFonts w:ascii="Arial" w:cs="Arial" w:eastAsia="Arial" w:hAnsi="Arial"/>
          <w:sz w:val="18"/>
          <w:szCs w:val="18"/>
          <w:color w:val="auto"/>
        </w:rPr>
        <w:t>September 29, 2019, as compared to $23.1 million, or 27.7% of sales, for the same period of the prior year. During the six months ended September 29, 2019 the LIFO reserve changed nominally and therefore had a minimal impact on gross profit. In the same period in the prior year, the LIFO reserve increased and gross profit decreased by $0.1 million. Gross profit increased as a result of higher sales compared to a year ago, offset somewhat by higher variable operating costs.</w:t>
      </w:r>
    </w:p>
    <w:p>
      <w:pPr>
        <w:spacing w:after="0" w:line="188"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i w:val="1"/>
          <w:iCs w:val="1"/>
          <w:color w:val="auto"/>
        </w:rPr>
        <w:t xml:space="preserve">Health and Nutrition Segment. </w:t>
      </w:r>
      <w:r>
        <w:rPr>
          <w:rFonts w:ascii="Arial" w:cs="Arial" w:eastAsia="Arial" w:hAnsi="Arial"/>
          <w:sz w:val="18"/>
          <w:szCs w:val="18"/>
          <w:color w:val="auto"/>
        </w:rPr>
        <w:t>Gross profit for our Health and Nutrition segment decreased $2.0 million to $10.4 million, or 18.9% of sales, for the six</w:t>
      </w:r>
      <w:r>
        <w:rPr>
          <w:rFonts w:ascii="Arial" w:cs="Arial" w:eastAsia="Arial" w:hAnsi="Arial"/>
          <w:sz w:val="18"/>
          <w:szCs w:val="18"/>
          <w:i w:val="1"/>
          <w:iCs w:val="1"/>
          <w:color w:val="auto"/>
        </w:rPr>
        <w:t xml:space="preserve"> </w:t>
      </w:r>
      <w:r>
        <w:rPr>
          <w:rFonts w:ascii="Arial" w:cs="Arial" w:eastAsia="Arial" w:hAnsi="Arial"/>
          <w:sz w:val="18"/>
          <w:szCs w:val="18"/>
          <w:color w:val="auto"/>
        </w:rPr>
        <w:t>months ended September 29, 2019, as compared to $12.3 million, or 18.1% of sales, for the same period of the prior year. Gross profit decreased as a result of lower sales, while gross profit as a percent of sales improved year over year due to increased profitability on certain products as well as lower operational costs.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Selling, General and Administrative Expenses</w:t>
      </w:r>
    </w:p>
    <w:p>
      <w:pPr>
        <w:spacing w:after="0" w:line="225"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SG&amp;A expenses were relatively flat year over year at $29.7 million, or 10.3% of sales, for the six months ended September 29, 2019, and $29.9 million, or 10.1% of sales, for the same period of the prior year.</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Income</w:t>
      </w:r>
    </w:p>
    <w:p>
      <w:pPr>
        <w:spacing w:after="0" w:line="225"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Operating income was $27.1 million, or 9.5% of sales, for the six months ended September 29, 2019, as compared to $24.3 million, or 8.3% of sales, for the same period of the prior year due to the combined impact of the factors discussed above.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Expense, Net</w:t>
      </w:r>
    </w:p>
    <w:p>
      <w:pPr>
        <w:spacing w:after="0" w:line="225"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color w:val="auto"/>
        </w:rPr>
        <w:t>Interest expense was $1.4 million for the six months ended September 29, 2019 compared to $1.7 million for the same period of the prior year. Interest expense decreased due to lower outstanding borrowings compared to the prior year.</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 Provision</w:t>
      </w:r>
    </w:p>
    <w:p>
      <w:pPr>
        <w:spacing w:after="0" w:line="225"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Our effective tax rate for the six months ended September 29, 2019 was 26.3% and was 27.0% for the six months ended September 30, 2018. The effective tax rate is impacted by projected levels of annual taxable income, permanent items, and state taxes.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Liquidity and Capital Resources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Cash was $4.1 million at September 29, 2019, a decrease of $5.1 million as compared with the $9.2 million available as of March 31, 2019.</w:t>
      </w:r>
    </w:p>
    <w:p>
      <w:pPr>
        <w:spacing w:after="0" w:line="171"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Cash provided by operating activities was $27.1 million for the six months ended September 29, 2019, compared to cash provided by operating activities of $24.9 million for the same period of the prior year. The year-over-year increase in cash provided by operating activities was primarily driven by the improvement in net income for the first six months of fiscal 2020 compared to the same period a year ago. Due to the nature of our operations, which includes purchases of large quantities of bulk chemicals, timing of purchases can result in significant changes in working capital investment and the resulting operating cash flow. Typically, our cash requirements increase during the period from April through November as caustic soda inventory levels increase because the majority of barges are received during this period.</w:t>
      </w:r>
    </w:p>
    <w:p>
      <w:pPr>
        <w:spacing w:after="0" w:line="139" w:lineRule="exact"/>
        <w:rPr>
          <w:sz w:val="20"/>
          <w:szCs w:val="20"/>
          <w:color w:val="auto"/>
        </w:rPr>
      </w:pPr>
    </w:p>
    <w:p>
      <w:pPr>
        <w:spacing w:after="0" w:line="312" w:lineRule="auto"/>
        <w:rPr>
          <w:sz w:val="20"/>
          <w:szCs w:val="20"/>
          <w:color w:val="auto"/>
        </w:rPr>
      </w:pPr>
      <w:r>
        <w:rPr>
          <w:rFonts w:ascii="Arial" w:cs="Arial" w:eastAsia="Arial" w:hAnsi="Arial"/>
          <w:sz w:val="16"/>
          <w:szCs w:val="16"/>
          <w:color w:val="auto"/>
        </w:rPr>
        <w:t>Cash used in investing activities was $13.9 million for the six months ended September 29, 2019, compared to $4.1 million for the same period of the prior year. Capital expenditures were $14.1 million for the six months ended September 29, 2019, compared to $4.2 million in the same period of the prior year. We purchased our previously leased corporate headquarters facility in the first quarter of the current fiscal year, which drove the increase in capital spending.</w:t>
      </w:r>
    </w:p>
    <w:p>
      <w:pPr>
        <w:spacing w:after="0" w:line="93"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Cash used in financing activities was $18.4 million for the six months ended September 29, 2019, compared to cash provided by financing activities of $21.7 million in the same period of the prior year. Included in financing activities in the current year were debt payments of $10.0 million, dividend payments of $4.9 million and share repurchases of $3.8 million. In the first six months of the prior year, we made debt payments of $15.0 million and dividend payments of $7.1 million. The year-over-year change in dividend payments resulted from changing from semi-annual dividends previously to quarterly payments made currently.</w:t>
      </w:r>
    </w:p>
    <w:p>
      <w:pPr>
        <w:spacing w:after="0" w:line="188"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We expect our cash balances and funds available under our credit facility, discussed below, along with cash flows generated from operations, will be sufficient to fund the cash requirements of our ongoing operations for the foreseeable future.</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584" w:right="239" w:bottom="1440" w:gutter="0" w:footer="0" w:header="0"/>
        </w:sectPr>
      </w:pPr>
    </w:p>
    <w:bookmarkStart w:id="20" w:name="page21"/>
    <w:bookmarkEnd w:id="20"/>
    <w:p>
      <w:pPr>
        <w:ind w:right="20"/>
        <w:spacing w:after="0" w:line="255" w:lineRule="auto"/>
        <w:rPr>
          <w:sz w:val="20"/>
          <w:szCs w:val="20"/>
          <w:color w:val="auto"/>
        </w:rPr>
      </w:pPr>
      <w:r>
        <w:rPr>
          <w:rFonts w:ascii="Arial" w:cs="Arial" w:eastAsia="Arial" w:hAnsi="Arial"/>
          <w:sz w:val="18"/>
          <w:szCs w:val="18"/>
          <w:color w:val="auto"/>
        </w:rPr>
        <w:t>Our Board of Directors has authorized the repurchase of up to 800,000 shares of our outstanding common stock, including an increase of 500,000 shares in February 2019. The shares may be purchased on the open market or in privately negotiated transactions subject to applicable securities laws and regulations. The primary objective of the share repurchase program is to offset the impact of dilution from issuances relating to employee and director equity grants and our employee stock purchase program. During the first six months of fiscal 2020, we repurchased 91,395 shares of common stock with an aggregate purchase price of $3.8 million. No shares were repurchased during the first six months of fiscal 2019. As of September 29, 2019, 412,985 shares remained available for purchase under the program</w:t>
      </w:r>
    </w:p>
    <w:p>
      <w:pPr>
        <w:spacing w:after="0" w:line="193" w:lineRule="exact"/>
        <w:rPr>
          <w:sz w:val="20"/>
          <w:szCs w:val="20"/>
          <w:color w:val="auto"/>
        </w:rPr>
      </w:pPr>
    </w:p>
    <w:p>
      <w:pPr>
        <w:jc w:val="both"/>
        <w:ind w:right="600"/>
        <w:spacing w:after="0" w:line="288" w:lineRule="auto"/>
        <w:rPr>
          <w:sz w:val="20"/>
          <w:szCs w:val="20"/>
          <w:color w:val="auto"/>
        </w:rPr>
      </w:pPr>
      <w:r>
        <w:rPr>
          <w:rFonts w:ascii="Arial" w:cs="Arial" w:eastAsia="Arial" w:hAnsi="Arial"/>
          <w:sz w:val="16"/>
          <w:szCs w:val="16"/>
          <w:color w:val="auto"/>
        </w:rPr>
        <w:t>We are party to an amended and restated credit agreement (the “Credit Agreement”) with U.S. Bank National Association (“U.S. Bank”) as Sole Lead Arranger and Sole Book Runner, and other lenders from time to time party thereto (collectively, the “Lenders”), whereby U.S. Bank is also serving as Administrative Agent. The Credit Agreement provides us with senior secured revolving credit facilities (the “Revolving Loan Facility”) totaling</w:t>
      </w:r>
    </w:p>
    <w:p>
      <w:pPr>
        <w:jc w:val="both"/>
        <w:ind w:right="160"/>
        <w:spacing w:after="0" w:line="255" w:lineRule="auto"/>
        <w:rPr>
          <w:sz w:val="20"/>
          <w:szCs w:val="20"/>
          <w:color w:val="auto"/>
        </w:rPr>
      </w:pPr>
      <w:r>
        <w:rPr>
          <w:rFonts w:ascii="Arial" w:cs="Arial" w:eastAsia="Arial" w:hAnsi="Arial"/>
          <w:sz w:val="18"/>
          <w:szCs w:val="18"/>
          <w:color w:val="auto"/>
        </w:rPr>
        <w:t>$150.0 million. The Revolving Loan Facility includes a $5.0 million letter of credit subfacility and $15.0 million swingline subfacility. The Revolving Loan Facility has a five-year maturity date, maturing on November 30, 2023. The Revolving Loan Facility is secured by substantially all of our personal property assets and those of our subsidiaries.</w:t>
      </w:r>
    </w:p>
    <w:p>
      <w:pPr>
        <w:spacing w:after="0" w:line="190" w:lineRule="exact"/>
        <w:rPr>
          <w:sz w:val="20"/>
          <w:szCs w:val="20"/>
          <w:color w:val="auto"/>
        </w:rPr>
      </w:pPr>
    </w:p>
    <w:p>
      <w:pPr>
        <w:ind w:right="80"/>
        <w:spacing w:after="0" w:line="291" w:lineRule="auto"/>
        <w:rPr>
          <w:sz w:val="20"/>
          <w:szCs w:val="20"/>
          <w:color w:val="auto"/>
        </w:rPr>
      </w:pPr>
      <w:r>
        <w:rPr>
          <w:rFonts w:ascii="Arial" w:cs="Arial" w:eastAsia="Arial" w:hAnsi="Arial"/>
          <w:sz w:val="16"/>
          <w:szCs w:val="16"/>
          <w:color w:val="auto"/>
        </w:rPr>
        <w:t>Borrowings under the Revolving Loan Facility bear interest at a rate per annum equal to one of the following, plus, in both cases, an applicable margin based upon our leverage ratio: (a) LIBOR for an interest period of one, two, three or six months as selected by us, reset at the end of the selected interest period, or</w:t>
      </w:r>
    </w:p>
    <w:p>
      <w:pPr>
        <w:ind w:firstLine="8"/>
        <w:spacing w:after="0" w:line="287" w:lineRule="auto"/>
        <w:tabs>
          <w:tab w:leader="none" w:pos="255" w:val="left"/>
        </w:tabs>
        <w:numPr>
          <w:ilvl w:val="0"/>
          <w:numId w:val="2"/>
        </w:numPr>
        <w:rPr>
          <w:rFonts w:ascii="Arial" w:cs="Arial" w:eastAsia="Arial" w:hAnsi="Arial"/>
          <w:sz w:val="16"/>
          <w:szCs w:val="16"/>
          <w:color w:val="auto"/>
        </w:rPr>
      </w:pPr>
      <w:r>
        <w:rPr>
          <w:rFonts w:ascii="Arial" w:cs="Arial" w:eastAsia="Arial" w:hAnsi="Arial"/>
          <w:sz w:val="16"/>
          <w:szCs w:val="16"/>
          <w:color w:val="auto"/>
        </w:rPr>
        <w:t>a base rate determined by reference to the highest of (1) U. S. Bank’s prime rate, (2) the Federal Funds Effective Rate plus 0.5%, or (3) one-month LIBOR for U.S. dollars plus 1.0%. The LIBOR margin is between 0.85% - 1.35%, depending on our leverage ratio. The base rate margin is between 0.00% - 0.35%, depending on our leverage ratio. In the event that the ICE Benchmark Administration (or any person that takes over administration of such rate) determines that LIBOR is no longer available, including as a result of the intended phase out of LIBOR by the end of 2021, our Revolving Loan Facility provides for an alternative rate of interest to be jointly determined by us and U.S. Bank, as administrative agent, that gives due consideration to the then prevailing market convention for determining a rate of interest for syndicated loans in the United States. Once such successor rate has been approved by us and U.S. Bank, the Revolving Credit Loan Facility would be amended to use such successor rate without any further action or consent of any other lender, so long as the administrative agent does not receive any objection from any other lender. At September 29, 2019, the effective interest rate on our borrowing was 2.9%.</w:t>
      </w:r>
    </w:p>
    <w:p>
      <w:pPr>
        <w:spacing w:after="0" w:line="170"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In addition to paying interest on the outstanding principal under the Revolving Loan Facility, we are required to pay a commitment fee on the unutilized commitments thereunder. The commitment fee is between 0.15% - 0.25%, depending on our leverage ratio.</w:t>
      </w:r>
    </w:p>
    <w:p>
      <w:pPr>
        <w:spacing w:after="0" w:line="170" w:lineRule="exact"/>
        <w:rPr>
          <w:sz w:val="20"/>
          <w:szCs w:val="20"/>
          <w:color w:val="auto"/>
        </w:rPr>
      </w:pPr>
    </w:p>
    <w:p>
      <w:pPr>
        <w:ind w:right="660"/>
        <w:spacing w:after="0" w:line="308" w:lineRule="auto"/>
        <w:rPr>
          <w:sz w:val="20"/>
          <w:szCs w:val="20"/>
          <w:color w:val="auto"/>
        </w:rPr>
      </w:pPr>
      <w:r>
        <w:rPr>
          <w:rFonts w:ascii="Arial" w:cs="Arial" w:eastAsia="Arial" w:hAnsi="Arial"/>
          <w:sz w:val="17"/>
          <w:szCs w:val="17"/>
          <w:color w:val="auto"/>
        </w:rPr>
        <w:t>Debt issuance costs paid to the lenders are being amortized as interest expense over the term of the Credit Agreement. As of September 29, 2019, the unamortized balance of these costs was $0.4 million, and is reflected as a reduction of debt on our balance sheet.</w:t>
      </w:r>
    </w:p>
    <w:p>
      <w:pPr>
        <w:spacing w:after="0" w:line="147"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The Credit Agreement requires us to maintain (a) a minimum fixed charge coverage ratio of 1.15 to 1.00 and (b) a maximum total cash flow leverage ratio of 3.0 to 1.0. The Credit Agreement also contains other customary affirmative and negative covenants, including covenants that restrict our ability to incur additional indebtedness, dispose of significant assets, make certain investments, including any acquisitions other than permitted acquisitions, make certain payments, enter into sale and leaseback transactions, grant liens on our assets or rate management transactions, subject to certain limitations. We are permitted to make distributions, pay dividends and repurchase shares so long as no default or event of default exists or would exist as a result thereof. We were in compliance with all covenants of the Credit Agreement as of September 29, 2019.</w:t>
      </w:r>
    </w:p>
    <w:p>
      <w:pPr>
        <w:spacing w:after="0" w:line="178" w:lineRule="exact"/>
        <w:rPr>
          <w:sz w:val="20"/>
          <w:szCs w:val="20"/>
          <w:color w:val="auto"/>
        </w:rPr>
      </w:pPr>
    </w:p>
    <w:p>
      <w:pPr>
        <w:ind w:right="180"/>
        <w:spacing w:after="0" w:line="312" w:lineRule="auto"/>
        <w:rPr>
          <w:sz w:val="20"/>
          <w:szCs w:val="20"/>
          <w:color w:val="auto"/>
        </w:rPr>
      </w:pPr>
      <w:r>
        <w:rPr>
          <w:rFonts w:ascii="Arial" w:cs="Arial" w:eastAsia="Arial" w:hAnsi="Arial"/>
          <w:sz w:val="16"/>
          <w:szCs w:val="16"/>
          <w:color w:val="auto"/>
        </w:rPr>
        <w:t>The Credit Agreement contains customary events of default, including failure to comply with covenants in the Credit Agreement and other loan documents, cross default to other material indebtedness, failure by us to pay or discharge material judgments, bankruptcy, and change of control. The occurrence of an event of default would permit the lenders to terminate their commitments and accelerate loans under the Revolving Loan Facility.</w:t>
      </w:r>
    </w:p>
    <w:p>
      <w:pPr>
        <w:spacing w:after="0" w:line="147"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color w:val="auto"/>
        </w:rPr>
        <w:t>As part of our growth strategy, we have acquired businesses and may pursue acquisitions or other strategic relationships in the future that we believe will complement or expand our existing businesses or increase our customer base. We believe we could borrow additional funds under our current or new credit facilities or sell equity for strategic reasons or to further strengthen our financial position.</w:t>
      </w:r>
    </w:p>
    <w:p>
      <w:pPr>
        <w:spacing w:after="0" w:line="200" w:lineRule="exact"/>
        <w:rPr>
          <w:sz w:val="20"/>
          <w:szCs w:val="20"/>
          <w:color w:val="auto"/>
        </w:rPr>
      </w:pP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00"/>
          </w:cols>
          <w:pgMar w:left="240" w:top="800" w:right="259" w:bottom="1440" w:gutter="0" w:footer="0" w:header="0"/>
        </w:sectPr>
      </w:pPr>
    </w:p>
    <w:bookmarkStart w:id="21" w:name="page22"/>
    <w:bookmarkEnd w:id="21"/>
    <w:p>
      <w:pPr>
        <w:spacing w:after="0"/>
        <w:rPr>
          <w:sz w:val="20"/>
          <w:szCs w:val="20"/>
          <w:color w:val="auto"/>
        </w:rPr>
      </w:pPr>
      <w:r>
        <w:rPr>
          <w:rFonts w:ascii="Arial" w:cs="Arial" w:eastAsia="Arial" w:hAnsi="Arial"/>
          <w:sz w:val="18"/>
          <w:szCs w:val="18"/>
          <w:b w:val="1"/>
          <w:bCs w:val="1"/>
          <w:i w:val="1"/>
          <w:iCs w:val="1"/>
          <w:color w:val="auto"/>
        </w:rPr>
        <w:t>Critical Accounting Estimates</w:t>
      </w:r>
    </w:p>
    <w:p>
      <w:pPr>
        <w:spacing w:after="0" w:line="171" w:lineRule="exact"/>
        <w:rPr>
          <w:sz w:val="20"/>
          <w:szCs w:val="20"/>
          <w:color w:val="auto"/>
        </w:rPr>
      </w:pPr>
    </w:p>
    <w:p>
      <w:pPr>
        <w:ind w:right="200"/>
        <w:spacing w:after="0" w:line="277" w:lineRule="auto"/>
        <w:rPr>
          <w:rFonts w:ascii="Arial" w:cs="Arial" w:eastAsia="Arial" w:hAnsi="Arial"/>
          <w:sz w:val="18"/>
          <w:szCs w:val="18"/>
          <w:color w:val="0000EE"/>
        </w:rPr>
      </w:pPr>
      <w:hyperlink r:id="rId22">
        <w:r>
          <w:rPr>
            <w:rFonts w:ascii="Arial" w:cs="Arial" w:eastAsia="Arial" w:hAnsi="Arial"/>
            <w:sz w:val="18"/>
            <w:szCs w:val="18"/>
            <w:color w:val="auto"/>
          </w:rPr>
          <w:t xml:space="preserve">There were no material changes in our critical accounting estimates since the filing of our </w:t>
        </w:r>
        <w:r>
          <w:rPr>
            <w:rFonts w:ascii="Arial" w:cs="Arial" w:eastAsia="Arial" w:hAnsi="Arial"/>
            <w:sz w:val="18"/>
            <w:szCs w:val="18"/>
            <w:u w:val="single" w:color="auto"/>
            <w:color w:val="0000EE"/>
          </w:rPr>
          <w:t>Annual Report on Form 10-K for the fiscal year ended March 31,</w:t>
        </w:r>
      </w:hyperlink>
      <w:r>
        <w:rPr>
          <w:rFonts w:ascii="Arial" w:cs="Arial" w:eastAsia="Arial" w:hAnsi="Arial"/>
          <w:sz w:val="18"/>
          <w:szCs w:val="18"/>
          <w:color w:val="auto"/>
        </w:rPr>
        <w:t xml:space="preserve"> </w:t>
      </w:r>
      <w:hyperlink r:id="rId22">
        <w:r>
          <w:rPr>
            <w:rFonts w:ascii="Arial" w:cs="Arial" w:eastAsia="Arial" w:hAnsi="Arial"/>
            <w:sz w:val="18"/>
            <w:szCs w:val="18"/>
            <w:u w:val="single" w:color="auto"/>
            <w:color w:val="0000EE"/>
          </w:rPr>
          <w:t>2019</w:t>
        </w:r>
        <w:r>
          <w:rPr>
            <w:rFonts w:ascii="Arial" w:cs="Arial" w:eastAsia="Arial" w:hAnsi="Arial"/>
            <w:sz w:val="18"/>
            <w:szCs w:val="18"/>
            <w:color w:val="000000"/>
          </w:rPr>
          <w:t>.</w:t>
        </w:r>
      </w:hyperlink>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Forward-Looking Statements</w:t>
      </w:r>
    </w:p>
    <w:p>
      <w:pPr>
        <w:spacing w:after="0" w:line="171" w:lineRule="exact"/>
        <w:rPr>
          <w:sz w:val="20"/>
          <w:szCs w:val="20"/>
          <w:color w:val="auto"/>
        </w:rPr>
      </w:pPr>
    </w:p>
    <w:p>
      <w:pPr>
        <w:ind w:right="20"/>
        <w:spacing w:after="0" w:line="269" w:lineRule="auto"/>
        <w:rPr>
          <w:rFonts w:ascii="Arial" w:cs="Arial" w:eastAsia="Arial" w:hAnsi="Arial"/>
          <w:sz w:val="17"/>
          <w:szCs w:val="17"/>
          <w:color w:val="0000EE"/>
        </w:rPr>
      </w:pPr>
      <w:r>
        <w:rPr>
          <w:rFonts w:ascii="Arial" w:cs="Arial" w:eastAsia="Arial" w:hAnsi="Arial"/>
          <w:sz w:val="17"/>
          <w:szCs w:val="17"/>
          <w:color w:val="auto"/>
        </w:rPr>
        <w:t xml:space="preserve">The information presented in this Quarterly Report on Form 10-Q contains forward-looking statements within the meaning of Section 21E of the Securities Exchange Act of 1934, as amended (the “Exchange Act”). These forward-looking statements have been made pursuant to the provisions of the Private Securities Litigation Reform Act of 1995. These statements are not historical facts, but rather are based on our current expectations, estimates and projections, and our beliefs and assumptions. Words such as “anticipate,” “expect,” “intend,” “plan,” “believe,” “estimate,” “will” and similar expressions to identify forward-looking statements. These statements are not guarantees of future performance and are subject to certain risks, uncertainties and other factors, some of which are beyond our control and are difficult to predict. These factors could cause actual results to differ materially from those expressed or forecasted in </w:t>
      </w:r>
      <w:hyperlink r:id="rId22">
        <w:r>
          <w:rPr>
            <w:rFonts w:ascii="Arial" w:cs="Arial" w:eastAsia="Arial" w:hAnsi="Arial"/>
            <w:sz w:val="17"/>
            <w:szCs w:val="17"/>
            <w:color w:val="auto"/>
          </w:rPr>
          <w:t xml:space="preserve">the forward-looking statements. Additional information concerning potential factors that could affect future financial results is included in our </w:t>
        </w:r>
        <w:r>
          <w:rPr>
            <w:rFonts w:ascii="Arial" w:cs="Arial" w:eastAsia="Arial" w:hAnsi="Arial"/>
            <w:sz w:val="17"/>
            <w:szCs w:val="17"/>
            <w:u w:val="single" w:color="auto"/>
            <w:color w:val="0000EE"/>
          </w:rPr>
          <w:t>Annual Report</w:t>
        </w:r>
      </w:hyperlink>
      <w:r>
        <w:rPr>
          <w:rFonts w:ascii="Arial" w:cs="Arial" w:eastAsia="Arial" w:hAnsi="Arial"/>
          <w:sz w:val="17"/>
          <w:szCs w:val="17"/>
          <w:color w:val="auto"/>
        </w:rPr>
        <w:t xml:space="preserve"> </w:t>
      </w:r>
      <w:hyperlink r:id="rId22">
        <w:r>
          <w:rPr>
            <w:rFonts w:ascii="Arial" w:cs="Arial" w:eastAsia="Arial" w:hAnsi="Arial"/>
            <w:sz w:val="17"/>
            <w:szCs w:val="17"/>
            <w:u w:val="single" w:color="auto"/>
            <w:color w:val="0000EE"/>
          </w:rPr>
          <w:t>on Form 10-K for the fiscal year ended March 31, 2019</w:t>
        </w:r>
        <w:r>
          <w:rPr>
            <w:rFonts w:ascii="Arial" w:cs="Arial" w:eastAsia="Arial" w:hAnsi="Arial"/>
            <w:sz w:val="17"/>
            <w:szCs w:val="17"/>
            <w:color w:val="000000"/>
          </w:rPr>
          <w:t>. We caution you not to place undue reliance on these forward-looking statements, which reflect our</w:t>
        </w:r>
      </w:hyperlink>
      <w:r>
        <w:rPr>
          <w:rFonts w:ascii="Arial" w:cs="Arial" w:eastAsia="Arial" w:hAnsi="Arial"/>
          <w:sz w:val="17"/>
          <w:szCs w:val="17"/>
          <w:color w:val="0000EE"/>
        </w:rPr>
        <w:t xml:space="preserve"> </w:t>
      </w:r>
      <w:r>
        <w:rPr>
          <w:rFonts w:ascii="Arial" w:cs="Arial" w:eastAsia="Arial" w:hAnsi="Arial"/>
          <w:sz w:val="17"/>
          <w:szCs w:val="17"/>
          <w:color w:val="000000"/>
        </w:rPr>
        <w:t>management’s view only as of the date of this Quarterly Report on Form 10-Q. We are not obligated to update these statements or publicly release the result of any revisions to them to reflect events or circumstances after the date of this Quarterly Report on Form 10-Q or to reflect the occurrence of unanticipated events.</w:t>
      </w:r>
    </w:p>
    <w:p>
      <w:pPr>
        <w:spacing w:after="0" w:line="183"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color w:val="auto"/>
        </w:rPr>
        <w:t>ITEM 3.</w:t>
      </w:r>
      <w:r>
        <w:rPr>
          <w:sz w:val="20"/>
          <w:szCs w:val="20"/>
          <w:color w:val="auto"/>
        </w:rPr>
        <w:tab/>
      </w:r>
      <w:r>
        <w:rPr>
          <w:rFonts w:ascii="Arial" w:cs="Arial" w:eastAsia="Arial" w:hAnsi="Arial"/>
          <w:sz w:val="17"/>
          <w:szCs w:val="17"/>
          <w:color w:val="auto"/>
        </w:rPr>
        <w:t>QUANTITATIVE AND QUALITATIVE DISCLOSURES ABOUT MARKET RISK</w:t>
      </w:r>
    </w:p>
    <w:p>
      <w:pPr>
        <w:spacing w:after="0" w:line="171"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We are subject to the risk inherent in the cyclical nature of commodity chemical prices. However, we do not currently purchase forward contracts or otherwise engage in hedging activities with respect to the purchase of commodity chemicals. We attempt to pass changes in the cost of our materials to our customers. However, there are no assurances that we will be able to pass on the increases in the future.</w:t>
      </w:r>
    </w:p>
    <w:p>
      <w:pPr>
        <w:spacing w:after="0" w:line="181" w:lineRule="exact"/>
        <w:rPr>
          <w:sz w:val="20"/>
          <w:szCs w:val="20"/>
          <w:color w:val="auto"/>
        </w:rPr>
      </w:pPr>
    </w:p>
    <w:p>
      <w:pPr>
        <w:ind w:right="120"/>
        <w:spacing w:after="0" w:line="273" w:lineRule="auto"/>
        <w:rPr>
          <w:sz w:val="20"/>
          <w:szCs w:val="20"/>
          <w:color w:val="auto"/>
        </w:rPr>
      </w:pPr>
      <w:r>
        <w:rPr>
          <w:rFonts w:ascii="Arial" w:cs="Arial" w:eastAsia="Arial" w:hAnsi="Arial"/>
          <w:sz w:val="17"/>
          <w:szCs w:val="17"/>
          <w:color w:val="auto"/>
        </w:rPr>
        <w:t>We are exposed to market risks related to interest rates. Our exposure to changes in interest rates is limited to borrowings under our Revolving Loan Facility. A 25-basis point change in interest rates would potentially increase or decrease our annual interest expense by approximately $0.1 million. We have in place an interest rate swap that converts a portion of our variable-rate debt into a fixed-rate obligation. The swap agreement began September 1, 2017 and will end on December 23, 2020. The notional amount of the swap agreement is currently $20 million through its end date. We have designated this swap as a cash flow hedge and have determined that it qualifies for hedge accounting treatment. Changes in fair value of the cash flow hedge are recorded in other comprehensive loss (net of tax) until income or loss from the cash flows of the hedged item is realized.</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Other types of market risk, such as foreign currency risk, do not arise in the normal course of our business activities.</w:t>
      </w:r>
    </w:p>
    <w:p>
      <w:pPr>
        <w:spacing w:after="0" w:line="225"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color w:val="auto"/>
        </w:rPr>
        <w:t>ITEM 4.</w:t>
      </w:r>
      <w:r>
        <w:rPr>
          <w:sz w:val="20"/>
          <w:szCs w:val="20"/>
          <w:color w:val="auto"/>
        </w:rPr>
        <w:tab/>
      </w:r>
      <w:r>
        <w:rPr>
          <w:rFonts w:ascii="Arial" w:cs="Arial" w:eastAsia="Arial" w:hAnsi="Arial"/>
          <w:sz w:val="17"/>
          <w:szCs w:val="17"/>
          <w:color w:val="auto"/>
        </w:rPr>
        <w:t>CONTROLS AND PROCEDURES</w:t>
      </w:r>
    </w:p>
    <w:p>
      <w:pPr>
        <w:spacing w:after="0" w:line="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94" w:lineRule="exact"/>
        <w:rPr>
          <w:sz w:val="20"/>
          <w:szCs w:val="20"/>
          <w:color w:val="auto"/>
        </w:rPr>
      </w:pPr>
    </w:p>
    <w:p>
      <w:pPr>
        <w:ind w:right="20"/>
        <w:spacing w:after="0" w:line="289" w:lineRule="auto"/>
        <w:rPr>
          <w:sz w:val="20"/>
          <w:szCs w:val="20"/>
          <w:color w:val="auto"/>
        </w:rPr>
      </w:pPr>
      <w:r>
        <w:rPr>
          <w:rFonts w:ascii="Arial" w:cs="Arial" w:eastAsia="Arial" w:hAnsi="Arial"/>
          <w:sz w:val="16"/>
          <w:szCs w:val="16"/>
          <w:color w:val="auto"/>
        </w:rPr>
        <w:t>As of the end of the period covered by this Quarterly Report on Form 10-Q, we conducted an evaluation, under supervision and with the participation of management, including the chief executive officer and chief financial officer, of the effectiveness of the design and operation of our disclosure controls and procedures pursuant to Rules 13a-15 and 15d-15 of the Exchange Act. Based upon that evaluation, our chief executive officer and chief financial officer concluded that our disclosure controls and procedures were effective as of September 29, 2019. Disclosure controls and procedures are defined by Rules 13a-15(e) and 15d-15(e) of the Exchange Act as controls and other procedures that are designed to ensure that information required to be disclosed by us in reports filed with the SEC under the Exchange Act is recorded, processed, summarized and reported within the time periods specified in the SEC’s rules and forms. Disclosure controls and procedures include, without limitation, controls and procedures designed to ensure that information required to be disclosed by us in reports filed under the Exchange Act is accumulated and communicated to our management, including our principal executive and principal financial officers, or person performing similar functions, as appropriate to allow timely decisions regarding required disclosure.</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w:t>
      </w:r>
    </w:p>
    <w:p>
      <w:pPr>
        <w:spacing w:after="0" w:line="94"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There was no change in our internal control over financial reporting during the second quarter of fiscal 2020 that has materially affected, or is reasonably likely to materially affect, our internal control over financial reporting.</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1125" w:right="239" w:bottom="1440" w:gutter="0" w:footer="0" w:header="0"/>
        </w:sectPr>
      </w:pPr>
    </w:p>
    <w:bookmarkStart w:id="22" w:name="page23"/>
    <w:bookmarkEnd w:id="22"/>
    <w:p>
      <w:pPr>
        <w:jc w:val="center"/>
        <w:ind w:right="-19"/>
        <w:spacing w:after="0"/>
        <w:rPr>
          <w:sz w:val="20"/>
          <w:szCs w:val="20"/>
          <w:color w:val="auto"/>
        </w:rPr>
      </w:pPr>
      <w:r>
        <w:rPr>
          <w:rFonts w:ascii="Arial" w:cs="Arial" w:eastAsia="Arial" w:hAnsi="Arial"/>
          <w:sz w:val="18"/>
          <w:szCs w:val="18"/>
          <w:b w:val="1"/>
          <w:bCs w:val="1"/>
          <w:color w:val="auto"/>
        </w:rPr>
        <w:t>PART II. OTHER INFORMATION</w:t>
      </w:r>
    </w:p>
    <w:p>
      <w:pPr>
        <w:spacing w:after="0" w:line="202"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color w:val="auto"/>
        </w:rPr>
        <w:t>ITEM 1.</w:t>
      </w:r>
      <w:r>
        <w:rPr>
          <w:sz w:val="20"/>
          <w:szCs w:val="20"/>
          <w:color w:val="auto"/>
        </w:rPr>
        <w:tab/>
      </w:r>
      <w:r>
        <w:rPr>
          <w:rFonts w:ascii="Arial" w:cs="Arial" w:eastAsia="Arial" w:hAnsi="Arial"/>
          <w:sz w:val="17"/>
          <w:szCs w:val="17"/>
          <w:color w:val="auto"/>
        </w:rPr>
        <w:t>LEGAL PROCEEDINGS</w:t>
      </w:r>
    </w:p>
    <w:p>
      <w:pPr>
        <w:spacing w:after="0" w:line="171"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There are no material pending legal proceedings, other than ordinary routine litigation incidental to the business, to which we or any of our subsidiaries are a party or of which any of our property is the subject.</w:t>
      </w:r>
    </w:p>
    <w:p>
      <w:pPr>
        <w:spacing w:after="0" w:line="170" w:lineRule="exact"/>
        <w:rPr>
          <w:sz w:val="20"/>
          <w:szCs w:val="20"/>
          <w:color w:val="auto"/>
        </w:rPr>
      </w:pPr>
    </w:p>
    <w:p>
      <w:pPr>
        <w:spacing w:after="0"/>
        <w:tabs>
          <w:tab w:leader="none" w:pos="920" w:val="left"/>
        </w:tabs>
        <w:rPr>
          <w:sz w:val="20"/>
          <w:szCs w:val="20"/>
          <w:color w:val="auto"/>
        </w:rPr>
      </w:pPr>
      <w:r>
        <w:rPr>
          <w:rFonts w:ascii="Arial" w:cs="Arial" w:eastAsia="Arial" w:hAnsi="Arial"/>
          <w:sz w:val="18"/>
          <w:szCs w:val="18"/>
          <w:color w:val="auto"/>
        </w:rPr>
        <w:t>ITEM 1A.</w:t>
      </w:r>
      <w:r>
        <w:rPr>
          <w:sz w:val="20"/>
          <w:szCs w:val="20"/>
          <w:color w:val="auto"/>
        </w:rPr>
        <w:tab/>
      </w:r>
      <w:r>
        <w:rPr>
          <w:rFonts w:ascii="Arial" w:cs="Arial" w:eastAsia="Arial" w:hAnsi="Arial"/>
          <w:sz w:val="16"/>
          <w:szCs w:val="16"/>
          <w:color w:val="auto"/>
        </w:rPr>
        <w:t>RISK FACTORS</w:t>
      </w:r>
    </w:p>
    <w:p>
      <w:pPr>
        <w:spacing w:after="0" w:line="171" w:lineRule="exact"/>
        <w:rPr>
          <w:sz w:val="20"/>
          <w:szCs w:val="20"/>
          <w:color w:val="auto"/>
        </w:rPr>
      </w:pPr>
    </w:p>
    <w:p>
      <w:pPr>
        <w:spacing w:after="0"/>
        <w:rPr>
          <w:rFonts w:ascii="Arial" w:cs="Arial" w:eastAsia="Arial" w:hAnsi="Arial"/>
          <w:sz w:val="16"/>
          <w:szCs w:val="16"/>
          <w:color w:val="auto"/>
        </w:rPr>
      </w:pPr>
      <w:r>
        <w:rPr>
          <w:rFonts w:ascii="Arial" w:cs="Arial" w:eastAsia="Arial" w:hAnsi="Arial"/>
          <w:sz w:val="16"/>
          <w:szCs w:val="16"/>
          <w:color w:val="auto"/>
        </w:rPr>
        <w:t xml:space="preserve">There have been no material changes to our risk factors from those disclosed in our </w:t>
      </w:r>
      <w:hyperlink r:id="rId22">
        <w:r>
          <w:rPr>
            <w:rFonts w:ascii="Arial" w:cs="Arial" w:eastAsia="Arial" w:hAnsi="Arial"/>
            <w:sz w:val="16"/>
            <w:szCs w:val="16"/>
            <w:u w:val="single" w:color="auto"/>
            <w:color w:val="0000EE"/>
          </w:rPr>
          <w:t>Annual Report on Form 10-K for the fiscal year ended March 31, 2019</w:t>
        </w:r>
      </w:hyperlink>
      <w:r>
        <w:rPr>
          <w:rFonts w:ascii="Arial" w:cs="Arial" w:eastAsia="Arial" w:hAnsi="Arial"/>
          <w:sz w:val="16"/>
          <w:szCs w:val="16"/>
          <w:color w:val="auto"/>
        </w:rPr>
        <w:t>.</w:t>
      </w:r>
    </w:p>
    <w:p>
      <w:pPr>
        <w:spacing w:after="0" w:line="248"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color w:val="auto"/>
        </w:rPr>
        <w:t>ITEM 2.</w:t>
      </w:r>
      <w:r>
        <w:rPr>
          <w:sz w:val="20"/>
          <w:szCs w:val="20"/>
          <w:color w:val="auto"/>
        </w:rPr>
        <w:tab/>
      </w:r>
      <w:r>
        <w:rPr>
          <w:rFonts w:ascii="Arial" w:cs="Arial" w:eastAsia="Arial" w:hAnsi="Arial"/>
          <w:sz w:val="17"/>
          <w:szCs w:val="17"/>
          <w:color w:val="auto"/>
        </w:rPr>
        <w:t>UNREGISTERED SALES OF EQUITY SECURITIES AND USE OF PROCEEDS</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As previously announced, our Board of Directors has authorized the repurchase of up to 800,000 shares of our outstanding common stock. The shares may be purchased on the open market or in privately negotiated transactions subject to applicable securities laws and regulations. The following table sets forth information concerning purchases of our common stock for the three months ended September 29, 2019:</w:t>
      </w:r>
    </w:p>
    <w:p>
      <w:pPr>
        <w:spacing w:after="0" w:line="344" w:lineRule="exact"/>
        <w:rPr>
          <w:sz w:val="20"/>
          <w:szCs w:val="20"/>
          <w:color w:val="auto"/>
        </w:rPr>
      </w:pPr>
    </w:p>
    <w:tbl>
      <w:tblPr>
        <w:tblLayout w:type="fixed"/>
        <w:tblInd w:w="640" w:type="dxa"/>
        <w:tblCellMar>
          <w:top w:w="0" w:type="dxa"/>
          <w:left w:w="0" w:type="dxa"/>
          <w:bottom w:w="0" w:type="dxa"/>
          <w:right w:w="0" w:type="dxa"/>
        </w:tblCellMar>
      </w:tblPr>
      <w:tr>
        <w:trPr>
          <w:trHeight w:val="203"/>
        </w:trPr>
        <w:tc>
          <w:tcPr>
            <w:tcW w:w="2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20" w:type="dxa"/>
            <w:vAlign w:val="bottom"/>
          </w:tcPr>
          <w:p>
            <w:pPr>
              <w:jc w:val="center"/>
              <w:spacing w:after="0"/>
              <w:rPr>
                <w:sz w:val="20"/>
                <w:szCs w:val="20"/>
                <w:color w:val="auto"/>
              </w:rPr>
            </w:pPr>
            <w:r>
              <w:rPr>
                <w:rFonts w:ascii="Arial" w:cs="Arial" w:eastAsia="Arial" w:hAnsi="Arial"/>
                <w:sz w:val="16"/>
                <w:szCs w:val="16"/>
                <w:b w:val="1"/>
                <w:bCs w:val="1"/>
                <w:color w:val="auto"/>
                <w:w w:val="90"/>
              </w:rPr>
              <w:t>Total Number of Shares</w:t>
            </w:r>
          </w:p>
        </w:tc>
        <w:tc>
          <w:tcPr>
            <w:tcW w:w="100" w:type="dxa"/>
            <w:vAlign w:val="bottom"/>
          </w:tcPr>
          <w:p>
            <w:pPr>
              <w:spacing w:after="0"/>
              <w:rPr>
                <w:sz w:val="17"/>
                <w:szCs w:val="17"/>
                <w:color w:val="auto"/>
              </w:rPr>
            </w:pPr>
          </w:p>
        </w:tc>
        <w:tc>
          <w:tcPr>
            <w:tcW w:w="2120" w:type="dxa"/>
            <w:vAlign w:val="bottom"/>
          </w:tcPr>
          <w:p>
            <w:pPr>
              <w:spacing w:after="0"/>
              <w:rPr>
                <w:sz w:val="17"/>
                <w:szCs w:val="17"/>
                <w:color w:val="auto"/>
              </w:rPr>
            </w:pPr>
          </w:p>
        </w:tc>
      </w:tr>
      <w:tr>
        <w:trPr>
          <w:trHeight w:val="203"/>
        </w:trPr>
        <w:tc>
          <w:tcPr>
            <w:tcW w:w="2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20" w:type="dxa"/>
            <w:vAlign w:val="bottom"/>
          </w:tcPr>
          <w:p>
            <w:pPr>
              <w:jc w:val="center"/>
              <w:spacing w:after="0"/>
              <w:rPr>
                <w:sz w:val="20"/>
                <w:szCs w:val="20"/>
                <w:color w:val="auto"/>
              </w:rPr>
            </w:pPr>
            <w:r>
              <w:rPr>
                <w:rFonts w:ascii="Arial" w:cs="Arial" w:eastAsia="Arial" w:hAnsi="Arial"/>
                <w:sz w:val="16"/>
                <w:szCs w:val="16"/>
                <w:b w:val="1"/>
                <w:bCs w:val="1"/>
                <w:color w:val="auto"/>
                <w:w w:val="90"/>
              </w:rPr>
              <w:t>Purchased as Part of a</w:t>
            </w:r>
          </w:p>
        </w:tc>
        <w:tc>
          <w:tcPr>
            <w:tcW w:w="100" w:type="dxa"/>
            <w:vAlign w:val="bottom"/>
          </w:tcPr>
          <w:p>
            <w:pPr>
              <w:spacing w:after="0"/>
              <w:rPr>
                <w:sz w:val="17"/>
                <w:szCs w:val="17"/>
                <w:color w:val="auto"/>
              </w:rPr>
            </w:pPr>
          </w:p>
        </w:tc>
        <w:tc>
          <w:tcPr>
            <w:tcW w:w="2120" w:type="dxa"/>
            <w:vAlign w:val="bottom"/>
          </w:tcPr>
          <w:p>
            <w:pPr>
              <w:jc w:val="center"/>
              <w:spacing w:after="0"/>
              <w:rPr>
                <w:sz w:val="20"/>
                <w:szCs w:val="20"/>
                <w:color w:val="auto"/>
              </w:rPr>
            </w:pPr>
            <w:r>
              <w:rPr>
                <w:rFonts w:ascii="Arial" w:cs="Arial" w:eastAsia="Arial" w:hAnsi="Arial"/>
                <w:sz w:val="16"/>
                <w:szCs w:val="16"/>
                <w:b w:val="1"/>
                <w:bCs w:val="1"/>
                <w:color w:val="auto"/>
                <w:w w:val="93"/>
              </w:rPr>
              <w:t>Maximum Number of Shares</w:t>
            </w:r>
          </w:p>
        </w:tc>
      </w:tr>
      <w:tr>
        <w:trPr>
          <w:trHeight w:val="203"/>
        </w:trPr>
        <w:tc>
          <w:tcPr>
            <w:tcW w:w="2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20" w:type="dxa"/>
            <w:vAlign w:val="bottom"/>
          </w:tcPr>
          <w:p>
            <w:pPr>
              <w:jc w:val="right"/>
              <w:ind w:right="113"/>
              <w:spacing w:after="0"/>
              <w:rPr>
                <w:sz w:val="20"/>
                <w:szCs w:val="20"/>
                <w:color w:val="auto"/>
              </w:rPr>
            </w:pPr>
            <w:r>
              <w:rPr>
                <w:rFonts w:ascii="Arial" w:cs="Arial" w:eastAsia="Arial" w:hAnsi="Arial"/>
                <w:sz w:val="16"/>
                <w:szCs w:val="16"/>
                <w:b w:val="1"/>
                <w:bCs w:val="1"/>
                <w:color w:val="auto"/>
              </w:rPr>
              <w:t>Total Number of</w:t>
            </w:r>
          </w:p>
        </w:tc>
        <w:tc>
          <w:tcPr>
            <w:tcW w:w="100" w:type="dxa"/>
            <w:vAlign w:val="bottom"/>
          </w:tcPr>
          <w:p>
            <w:pPr>
              <w:spacing w:after="0"/>
              <w:rPr>
                <w:sz w:val="17"/>
                <w:szCs w:val="17"/>
                <w:color w:val="auto"/>
              </w:rPr>
            </w:pPr>
          </w:p>
        </w:tc>
        <w:tc>
          <w:tcPr>
            <w:tcW w:w="1640" w:type="dxa"/>
            <w:vAlign w:val="bottom"/>
            <w:gridSpan w:val="3"/>
          </w:tcPr>
          <w:p>
            <w:pPr>
              <w:jc w:val="center"/>
              <w:ind w:right="120"/>
              <w:spacing w:after="0"/>
              <w:rPr>
                <w:sz w:val="20"/>
                <w:szCs w:val="20"/>
                <w:color w:val="auto"/>
              </w:rPr>
            </w:pPr>
            <w:r>
              <w:rPr>
                <w:rFonts w:ascii="Arial" w:cs="Arial" w:eastAsia="Arial" w:hAnsi="Arial"/>
                <w:sz w:val="16"/>
                <w:szCs w:val="16"/>
                <w:b w:val="1"/>
                <w:bCs w:val="1"/>
                <w:color w:val="auto"/>
                <w:w w:val="91"/>
              </w:rPr>
              <w:t>Average Price Paid</w:t>
            </w:r>
          </w:p>
        </w:tc>
        <w:tc>
          <w:tcPr>
            <w:tcW w:w="2020" w:type="dxa"/>
            <w:vAlign w:val="bottom"/>
          </w:tcPr>
          <w:p>
            <w:pPr>
              <w:jc w:val="center"/>
              <w:spacing w:after="0"/>
              <w:rPr>
                <w:sz w:val="20"/>
                <w:szCs w:val="20"/>
                <w:color w:val="auto"/>
              </w:rPr>
            </w:pPr>
            <w:r>
              <w:rPr>
                <w:rFonts w:ascii="Arial" w:cs="Arial" w:eastAsia="Arial" w:hAnsi="Arial"/>
                <w:sz w:val="16"/>
                <w:szCs w:val="16"/>
                <w:b w:val="1"/>
                <w:bCs w:val="1"/>
                <w:color w:val="auto"/>
                <w:w w:val="92"/>
              </w:rPr>
              <w:t>Publicly Announced Plan or</w:t>
            </w:r>
          </w:p>
        </w:tc>
        <w:tc>
          <w:tcPr>
            <w:tcW w:w="100" w:type="dxa"/>
            <w:vAlign w:val="bottom"/>
          </w:tcPr>
          <w:p>
            <w:pPr>
              <w:spacing w:after="0"/>
              <w:rPr>
                <w:sz w:val="17"/>
                <w:szCs w:val="17"/>
                <w:color w:val="auto"/>
              </w:rPr>
            </w:pPr>
          </w:p>
        </w:tc>
        <w:tc>
          <w:tcPr>
            <w:tcW w:w="2120" w:type="dxa"/>
            <w:vAlign w:val="bottom"/>
          </w:tcPr>
          <w:p>
            <w:pPr>
              <w:jc w:val="center"/>
              <w:spacing w:after="0"/>
              <w:rPr>
                <w:sz w:val="20"/>
                <w:szCs w:val="20"/>
                <w:color w:val="auto"/>
              </w:rPr>
            </w:pPr>
            <w:r>
              <w:rPr>
                <w:rFonts w:ascii="Arial" w:cs="Arial" w:eastAsia="Arial" w:hAnsi="Arial"/>
                <w:sz w:val="16"/>
                <w:szCs w:val="16"/>
                <w:b w:val="1"/>
                <w:bCs w:val="1"/>
                <w:color w:val="auto"/>
                <w:w w:val="91"/>
              </w:rPr>
              <w:t>that May Yet be Purchased</w:t>
            </w:r>
          </w:p>
        </w:tc>
      </w:tr>
      <w:tr>
        <w:trPr>
          <w:trHeight w:val="210"/>
        </w:trPr>
        <w:tc>
          <w:tcPr>
            <w:tcW w:w="2660" w:type="dxa"/>
            <w:vAlign w:val="bottom"/>
            <w:gridSpan w:val="2"/>
          </w:tcPr>
          <w:p>
            <w:pPr>
              <w:ind w:left="20"/>
              <w:spacing w:after="0"/>
              <w:rPr>
                <w:sz w:val="20"/>
                <w:szCs w:val="20"/>
                <w:color w:val="auto"/>
              </w:rPr>
            </w:pPr>
            <w:r>
              <w:rPr>
                <w:rFonts w:ascii="Arial" w:cs="Arial" w:eastAsia="Arial" w:hAnsi="Arial"/>
                <w:sz w:val="16"/>
                <w:szCs w:val="16"/>
                <w:b w:val="1"/>
                <w:bCs w:val="1"/>
                <w:color w:val="auto"/>
              </w:rPr>
              <w:t>Period</w:t>
            </w:r>
          </w:p>
        </w:tc>
        <w:tc>
          <w:tcPr>
            <w:tcW w:w="1520" w:type="dxa"/>
            <w:vAlign w:val="bottom"/>
          </w:tcPr>
          <w:p>
            <w:pPr>
              <w:jc w:val="right"/>
              <w:ind w:right="73"/>
              <w:spacing w:after="0"/>
              <w:rPr>
                <w:sz w:val="20"/>
                <w:szCs w:val="20"/>
                <w:color w:val="auto"/>
              </w:rPr>
            </w:pPr>
            <w:r>
              <w:rPr>
                <w:rFonts w:ascii="Arial" w:cs="Arial" w:eastAsia="Arial" w:hAnsi="Arial"/>
                <w:sz w:val="16"/>
                <w:szCs w:val="16"/>
                <w:b w:val="1"/>
                <w:bCs w:val="1"/>
                <w:color w:val="auto"/>
                <w:w w:val="95"/>
              </w:rPr>
              <w:t>Shares Purchased</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80" w:type="dxa"/>
            <w:vAlign w:val="bottom"/>
            <w:gridSpan w:val="2"/>
          </w:tcPr>
          <w:p>
            <w:pPr>
              <w:jc w:val="center"/>
              <w:ind w:right="380"/>
              <w:spacing w:after="0"/>
              <w:rPr>
                <w:sz w:val="20"/>
                <w:szCs w:val="20"/>
                <w:color w:val="auto"/>
              </w:rPr>
            </w:pPr>
            <w:r>
              <w:rPr>
                <w:rFonts w:ascii="Arial" w:cs="Arial" w:eastAsia="Arial" w:hAnsi="Arial"/>
                <w:sz w:val="16"/>
                <w:szCs w:val="16"/>
                <w:b w:val="1"/>
                <w:bCs w:val="1"/>
                <w:color w:val="auto"/>
                <w:w w:val="90"/>
              </w:rPr>
              <w:t>Per Share</w:t>
            </w:r>
          </w:p>
        </w:tc>
        <w:tc>
          <w:tcPr>
            <w:tcW w:w="2020" w:type="dxa"/>
            <w:vAlign w:val="bottom"/>
          </w:tcPr>
          <w:p>
            <w:pPr>
              <w:jc w:val="center"/>
              <w:spacing w:after="0"/>
              <w:rPr>
                <w:sz w:val="20"/>
                <w:szCs w:val="20"/>
                <w:color w:val="auto"/>
              </w:rPr>
            </w:pPr>
            <w:r>
              <w:rPr>
                <w:rFonts w:ascii="Arial" w:cs="Arial" w:eastAsia="Arial" w:hAnsi="Arial"/>
                <w:sz w:val="16"/>
                <w:szCs w:val="16"/>
                <w:b w:val="1"/>
                <w:bCs w:val="1"/>
                <w:color w:val="auto"/>
                <w:w w:val="94"/>
              </w:rPr>
              <w:t>Program</w:t>
            </w:r>
          </w:p>
        </w:tc>
        <w:tc>
          <w:tcPr>
            <w:tcW w:w="100" w:type="dxa"/>
            <w:vAlign w:val="bottom"/>
          </w:tcPr>
          <w:p>
            <w:pPr>
              <w:spacing w:after="0"/>
              <w:rPr>
                <w:sz w:val="18"/>
                <w:szCs w:val="18"/>
                <w:color w:val="auto"/>
              </w:rPr>
            </w:pPr>
          </w:p>
        </w:tc>
        <w:tc>
          <w:tcPr>
            <w:tcW w:w="2120" w:type="dxa"/>
            <w:vAlign w:val="bottom"/>
          </w:tcPr>
          <w:p>
            <w:pPr>
              <w:jc w:val="center"/>
              <w:spacing w:after="0"/>
              <w:rPr>
                <w:sz w:val="20"/>
                <w:szCs w:val="20"/>
                <w:color w:val="auto"/>
              </w:rPr>
            </w:pPr>
            <w:r>
              <w:rPr>
                <w:rFonts w:ascii="Arial" w:cs="Arial" w:eastAsia="Arial" w:hAnsi="Arial"/>
                <w:sz w:val="16"/>
                <w:szCs w:val="16"/>
                <w:b w:val="1"/>
                <w:bCs w:val="1"/>
                <w:color w:val="auto"/>
                <w:w w:val="90"/>
              </w:rPr>
              <w:t>under Plans or Programs</w:t>
            </w:r>
          </w:p>
        </w:tc>
      </w:tr>
      <w:tr>
        <w:trPr>
          <w:trHeight w:val="33"/>
        </w:trPr>
        <w:tc>
          <w:tcPr>
            <w:tcW w:w="2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120" w:type="dxa"/>
            <w:vAlign w:val="bottom"/>
            <w:tcBorders>
              <w:bottom w:val="single" w:sz="8" w:color="auto"/>
            </w:tcBorders>
          </w:tcPr>
          <w:p>
            <w:pPr>
              <w:spacing w:after="0"/>
              <w:rPr>
                <w:sz w:val="2"/>
                <w:szCs w:val="2"/>
                <w:color w:val="auto"/>
              </w:rPr>
            </w:pPr>
          </w:p>
        </w:tc>
      </w:tr>
      <w:tr>
        <w:trPr>
          <w:trHeight w:val="244"/>
        </w:trPr>
        <w:tc>
          <w:tcPr>
            <w:tcW w:w="2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7/1/2019 - 7/28/2019</w:t>
            </w:r>
          </w:p>
        </w:tc>
        <w:tc>
          <w:tcPr>
            <w:tcW w:w="1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gridSpan w:val="2"/>
            <w:shd w:val="clear" w:color="auto" w:fill="CCEEFF"/>
          </w:tcPr>
          <w:p>
            <w:pPr>
              <w:jc w:val="right"/>
              <w:ind w:right="59"/>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w:t>
            </w:r>
          </w:p>
        </w:tc>
        <w:tc>
          <w:tcPr>
            <w:tcW w:w="2220" w:type="dxa"/>
            <w:vAlign w:val="bottom"/>
            <w:tcBorders>
              <w:bottom w:val="single" w:sz="8" w:color="CCEEFF"/>
            </w:tcBorders>
            <w:gridSpan w:val="2"/>
            <w:shd w:val="clear" w:color="auto" w:fill="CCEEFF"/>
          </w:tcPr>
          <w:p>
            <w:pPr>
              <w:jc w:val="right"/>
              <w:ind w:right="19"/>
              <w:spacing w:after="0"/>
              <w:rPr>
                <w:sz w:val="20"/>
                <w:szCs w:val="20"/>
                <w:color w:val="auto"/>
              </w:rPr>
            </w:pPr>
            <w:r>
              <w:rPr>
                <w:rFonts w:ascii="Arial" w:cs="Arial" w:eastAsia="Arial" w:hAnsi="Arial"/>
                <w:sz w:val="18"/>
                <w:szCs w:val="18"/>
                <w:color w:val="auto"/>
              </w:rPr>
              <w:t>457,244</w:t>
            </w:r>
          </w:p>
        </w:tc>
      </w:tr>
      <w:tr>
        <w:trPr>
          <w:trHeight w:val="243"/>
        </w:trPr>
        <w:tc>
          <w:tcPr>
            <w:tcW w:w="2560" w:type="dxa"/>
            <w:vAlign w:val="bottom"/>
          </w:tcPr>
          <w:p>
            <w:pPr>
              <w:ind w:left="20"/>
              <w:spacing w:after="0"/>
              <w:rPr>
                <w:sz w:val="20"/>
                <w:szCs w:val="20"/>
                <w:color w:val="auto"/>
              </w:rPr>
            </w:pPr>
            <w:r>
              <w:rPr>
                <w:rFonts w:ascii="Arial" w:cs="Arial" w:eastAsia="Arial" w:hAnsi="Arial"/>
                <w:sz w:val="18"/>
                <w:szCs w:val="18"/>
                <w:color w:val="auto"/>
              </w:rPr>
              <w:t>7/29/2019 - 8/25/2019</w:t>
            </w:r>
          </w:p>
        </w:tc>
        <w:tc>
          <w:tcPr>
            <w:tcW w:w="100" w:type="dxa"/>
            <w:vAlign w:val="bottom"/>
          </w:tcPr>
          <w:p>
            <w:pPr>
              <w:spacing w:after="0"/>
              <w:rPr>
                <w:sz w:val="21"/>
                <w:szCs w:val="21"/>
                <w:color w:val="auto"/>
              </w:rPr>
            </w:pPr>
          </w:p>
        </w:tc>
        <w:tc>
          <w:tcPr>
            <w:tcW w:w="1520" w:type="dxa"/>
            <w:vAlign w:val="bottom"/>
          </w:tcPr>
          <w:p>
            <w:pPr>
              <w:jc w:val="right"/>
              <w:ind w:right="13"/>
              <w:spacing w:after="0"/>
              <w:rPr>
                <w:sz w:val="20"/>
                <w:szCs w:val="20"/>
                <w:color w:val="auto"/>
              </w:rPr>
            </w:pPr>
            <w:r>
              <w:rPr>
                <w:rFonts w:ascii="Arial" w:cs="Arial" w:eastAsia="Arial" w:hAnsi="Arial"/>
                <w:sz w:val="18"/>
                <w:szCs w:val="18"/>
                <w:color w:val="auto"/>
              </w:rPr>
              <w:t>44,259</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80" w:type="dxa"/>
            <w:vAlign w:val="bottom"/>
          </w:tcPr>
          <w:p>
            <w:pPr>
              <w:jc w:val="right"/>
              <w:ind w:right="32"/>
              <w:spacing w:after="0"/>
              <w:rPr>
                <w:sz w:val="20"/>
                <w:szCs w:val="20"/>
                <w:color w:val="auto"/>
              </w:rPr>
            </w:pPr>
            <w:r>
              <w:rPr>
                <w:rFonts w:ascii="Arial" w:cs="Arial" w:eastAsia="Arial" w:hAnsi="Arial"/>
                <w:sz w:val="18"/>
                <w:szCs w:val="18"/>
                <w:color w:val="auto"/>
              </w:rPr>
              <w:t>45.00</w:t>
            </w:r>
          </w:p>
        </w:tc>
        <w:tc>
          <w:tcPr>
            <w:tcW w:w="100" w:type="dxa"/>
            <w:vAlign w:val="bottom"/>
          </w:tcPr>
          <w:p>
            <w:pPr>
              <w:spacing w:after="0"/>
              <w:rPr>
                <w:sz w:val="21"/>
                <w:szCs w:val="21"/>
                <w:color w:val="auto"/>
              </w:rPr>
            </w:pPr>
          </w:p>
        </w:tc>
        <w:tc>
          <w:tcPr>
            <w:tcW w:w="2020" w:type="dxa"/>
            <w:vAlign w:val="bottom"/>
          </w:tcPr>
          <w:p>
            <w:pPr>
              <w:jc w:val="right"/>
              <w:ind w:right="34"/>
              <w:spacing w:after="0"/>
              <w:rPr>
                <w:sz w:val="20"/>
                <w:szCs w:val="20"/>
                <w:color w:val="auto"/>
              </w:rPr>
            </w:pPr>
            <w:r>
              <w:rPr>
                <w:rFonts w:ascii="Arial" w:cs="Arial" w:eastAsia="Arial" w:hAnsi="Arial"/>
                <w:sz w:val="18"/>
                <w:szCs w:val="18"/>
                <w:color w:val="auto"/>
              </w:rPr>
              <w:t>44,259</w:t>
            </w:r>
          </w:p>
        </w:tc>
        <w:tc>
          <w:tcPr>
            <w:tcW w:w="2220" w:type="dxa"/>
            <w:vAlign w:val="bottom"/>
            <w:gridSpan w:val="2"/>
          </w:tcPr>
          <w:p>
            <w:pPr>
              <w:jc w:val="right"/>
              <w:ind w:right="19"/>
              <w:spacing w:after="0"/>
              <w:rPr>
                <w:sz w:val="20"/>
                <w:szCs w:val="20"/>
                <w:color w:val="auto"/>
              </w:rPr>
            </w:pPr>
            <w:r>
              <w:rPr>
                <w:rFonts w:ascii="Arial" w:cs="Arial" w:eastAsia="Arial" w:hAnsi="Arial"/>
                <w:sz w:val="18"/>
                <w:szCs w:val="18"/>
                <w:color w:val="auto"/>
              </w:rPr>
              <w:t>412,985</w:t>
            </w:r>
          </w:p>
        </w:tc>
      </w:tr>
      <w:tr>
        <w:trPr>
          <w:trHeight w:val="27"/>
        </w:trPr>
        <w:tc>
          <w:tcPr>
            <w:tcW w:w="2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120" w:type="dxa"/>
            <w:vAlign w:val="bottom"/>
          </w:tcPr>
          <w:p>
            <w:pPr>
              <w:spacing w:after="0"/>
              <w:rPr>
                <w:sz w:val="2"/>
                <w:szCs w:val="2"/>
                <w:color w:val="auto"/>
              </w:rPr>
            </w:pPr>
          </w:p>
        </w:tc>
      </w:tr>
      <w:tr>
        <w:trPr>
          <w:trHeight w:val="270"/>
        </w:trPr>
        <w:tc>
          <w:tcPr>
            <w:tcW w:w="2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8/26/2019 - 9/29/2019</w:t>
            </w:r>
          </w:p>
        </w:tc>
        <w:tc>
          <w:tcPr>
            <w:tcW w:w="10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w:t>
            </w:r>
          </w:p>
        </w:tc>
        <w:tc>
          <w:tcPr>
            <w:tcW w:w="2220" w:type="dxa"/>
            <w:vAlign w:val="bottom"/>
            <w:tcBorders>
              <w:bottom w:val="single" w:sz="8" w:color="CCEEFF"/>
            </w:tcBorders>
            <w:gridSpan w:val="2"/>
            <w:shd w:val="clear" w:color="auto" w:fill="CCEEFF"/>
          </w:tcPr>
          <w:p>
            <w:pPr>
              <w:jc w:val="right"/>
              <w:ind w:right="19"/>
              <w:spacing w:after="0"/>
              <w:rPr>
                <w:sz w:val="20"/>
                <w:szCs w:val="20"/>
                <w:color w:val="auto"/>
              </w:rPr>
            </w:pPr>
            <w:r>
              <w:rPr>
                <w:rFonts w:ascii="Arial" w:cs="Arial" w:eastAsia="Arial" w:hAnsi="Arial"/>
                <w:sz w:val="18"/>
                <w:szCs w:val="18"/>
                <w:color w:val="auto"/>
              </w:rPr>
              <w:t>412,985</w:t>
            </w:r>
          </w:p>
        </w:tc>
      </w:tr>
      <w:tr>
        <w:trPr>
          <w:trHeight w:val="237"/>
        </w:trPr>
        <w:tc>
          <w:tcPr>
            <w:tcW w:w="2660" w:type="dxa"/>
            <w:vAlign w:val="bottom"/>
            <w:gridSpan w:val="2"/>
          </w:tcPr>
          <w:p>
            <w:pPr>
              <w:ind w:left="420"/>
              <w:spacing w:after="0"/>
              <w:rPr>
                <w:sz w:val="20"/>
                <w:szCs w:val="20"/>
                <w:color w:val="auto"/>
              </w:rPr>
            </w:pPr>
            <w:r>
              <w:rPr>
                <w:rFonts w:ascii="Arial" w:cs="Arial" w:eastAsia="Arial" w:hAnsi="Arial"/>
                <w:sz w:val="18"/>
                <w:szCs w:val="18"/>
                <w:color w:val="auto"/>
              </w:rPr>
              <w:t>Total</w:t>
            </w:r>
          </w:p>
        </w:tc>
        <w:tc>
          <w:tcPr>
            <w:tcW w:w="152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44,259</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2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44,259</w:t>
            </w:r>
          </w:p>
        </w:tc>
        <w:tc>
          <w:tcPr>
            <w:tcW w:w="100" w:type="dxa"/>
            <w:vAlign w:val="bottom"/>
          </w:tcPr>
          <w:p>
            <w:pPr>
              <w:spacing w:after="0"/>
              <w:rPr>
                <w:sz w:val="20"/>
                <w:szCs w:val="20"/>
                <w:color w:val="auto"/>
              </w:rPr>
            </w:pPr>
          </w:p>
        </w:tc>
        <w:tc>
          <w:tcPr>
            <w:tcW w:w="2120" w:type="dxa"/>
            <w:vAlign w:val="bottom"/>
          </w:tcPr>
          <w:p>
            <w:pPr>
              <w:spacing w:after="0"/>
              <w:rPr>
                <w:sz w:val="20"/>
                <w:szCs w:val="20"/>
                <w:color w:val="auto"/>
              </w:rPr>
            </w:pPr>
          </w:p>
        </w:tc>
      </w:tr>
    </w:tbl>
    <w:p>
      <w:pPr>
        <w:spacing w:after="0" w:line="200" w:lineRule="exact"/>
        <w:rPr>
          <w:sz w:val="20"/>
          <w:szCs w:val="20"/>
          <w:color w:val="auto"/>
        </w:rPr>
      </w:pPr>
    </w:p>
    <w:p>
      <w:pPr>
        <w:spacing w:after="0" w:line="245"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color w:val="auto"/>
        </w:rPr>
        <w:t>ITEM 3.</w:t>
      </w:r>
      <w:r>
        <w:rPr>
          <w:sz w:val="20"/>
          <w:szCs w:val="20"/>
          <w:color w:val="auto"/>
        </w:rPr>
        <w:tab/>
      </w:r>
      <w:r>
        <w:rPr>
          <w:rFonts w:ascii="Arial" w:cs="Arial" w:eastAsia="Arial" w:hAnsi="Arial"/>
          <w:sz w:val="17"/>
          <w:szCs w:val="17"/>
          <w:color w:val="auto"/>
        </w:rPr>
        <w:t>DEFAULTS UPON SENIOR SECURITIES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5"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color w:val="auto"/>
        </w:rPr>
        <w:t>ITEM 4.</w:t>
      </w:r>
      <w:r>
        <w:rPr>
          <w:sz w:val="20"/>
          <w:szCs w:val="20"/>
          <w:color w:val="auto"/>
        </w:rPr>
        <w:tab/>
      </w:r>
      <w:r>
        <w:rPr>
          <w:rFonts w:ascii="Arial" w:cs="Arial" w:eastAsia="Arial" w:hAnsi="Arial"/>
          <w:sz w:val="17"/>
          <w:szCs w:val="17"/>
          <w:color w:val="auto"/>
        </w:rPr>
        <w:t>MINE SAFETY DISCLOSURES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5"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color w:val="auto"/>
        </w:rPr>
        <w:t>ITEM 5.</w:t>
      </w:r>
      <w:r>
        <w:rPr>
          <w:sz w:val="20"/>
          <w:szCs w:val="20"/>
          <w:color w:val="auto"/>
        </w:rPr>
        <w:tab/>
      </w:r>
      <w:r>
        <w:rPr>
          <w:rFonts w:ascii="Arial" w:cs="Arial" w:eastAsia="Arial" w:hAnsi="Arial"/>
          <w:sz w:val="17"/>
          <w:szCs w:val="17"/>
          <w:color w:val="auto"/>
        </w:rPr>
        <w:t>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580" w:right="239" w:bottom="1440" w:gutter="0" w:footer="0" w:header="0"/>
        </w:sectPr>
      </w:pPr>
    </w:p>
    <w:bookmarkStart w:id="23" w:name="page24"/>
    <w:bookmarkEnd w:id="23"/>
    <w:tbl>
      <w:tblPr>
        <w:tblLayout w:type="fixed"/>
        <w:tblInd w:w="0" w:type="dxa"/>
        <w:tblCellMar>
          <w:top w:w="0" w:type="dxa"/>
          <w:left w:w="0" w:type="dxa"/>
          <w:bottom w:w="0" w:type="dxa"/>
          <w:right w:w="0" w:type="dxa"/>
        </w:tblCellMar>
      </w:tblPr>
      <w:tr>
        <w:trPr>
          <w:trHeight w:val="230"/>
        </w:trPr>
        <w:tc>
          <w:tcPr>
            <w:tcW w:w="860" w:type="dxa"/>
            <w:vAlign w:val="bottom"/>
          </w:tcPr>
          <w:p>
            <w:pPr>
              <w:jc w:val="right"/>
              <w:ind w:right="151"/>
              <w:spacing w:after="0"/>
              <w:rPr>
                <w:sz w:val="20"/>
                <w:szCs w:val="20"/>
                <w:color w:val="auto"/>
              </w:rPr>
            </w:pPr>
            <w:r>
              <w:rPr>
                <w:rFonts w:ascii="Arial" w:cs="Arial" w:eastAsia="Arial" w:hAnsi="Arial"/>
                <w:sz w:val="18"/>
                <w:szCs w:val="18"/>
                <w:color w:val="auto"/>
                <w:w w:val="95"/>
              </w:rPr>
              <w:t>ITEM 6.</w:t>
            </w:r>
          </w:p>
        </w:tc>
        <w:tc>
          <w:tcPr>
            <w:tcW w:w="960" w:type="dxa"/>
            <w:vAlign w:val="bottom"/>
          </w:tcPr>
          <w:p>
            <w:pPr>
              <w:ind w:left="120"/>
              <w:spacing w:after="0"/>
              <w:rPr>
                <w:sz w:val="20"/>
                <w:szCs w:val="20"/>
                <w:color w:val="auto"/>
              </w:rPr>
            </w:pPr>
            <w:r>
              <w:rPr>
                <w:rFonts w:ascii="Arial" w:cs="Arial" w:eastAsia="Arial" w:hAnsi="Arial"/>
                <w:sz w:val="18"/>
                <w:szCs w:val="18"/>
                <w:color w:val="auto"/>
                <w:w w:val="99"/>
              </w:rPr>
              <w:t>EXHIBITS</w:t>
            </w:r>
          </w:p>
        </w:tc>
        <w:tc>
          <w:tcPr>
            <w:tcW w:w="14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480" w:type="dxa"/>
            <w:vAlign w:val="bottom"/>
          </w:tcPr>
          <w:p>
            <w:pPr>
              <w:spacing w:after="0"/>
              <w:rPr>
                <w:sz w:val="20"/>
                <w:szCs w:val="20"/>
                <w:color w:val="auto"/>
              </w:rPr>
            </w:pPr>
          </w:p>
        </w:tc>
      </w:tr>
      <w:tr>
        <w:trPr>
          <w:trHeight w:val="581"/>
        </w:trPr>
        <w:tc>
          <w:tcPr>
            <w:tcW w:w="860" w:type="dxa"/>
            <w:vAlign w:val="bottom"/>
          </w:tcPr>
          <w:p>
            <w:pPr>
              <w:jc w:val="right"/>
              <w:ind w:right="191"/>
              <w:spacing w:after="0"/>
              <w:rPr>
                <w:sz w:val="20"/>
                <w:szCs w:val="20"/>
                <w:color w:val="auto"/>
              </w:rPr>
            </w:pPr>
            <w:r>
              <w:rPr>
                <w:rFonts w:ascii="Arial" w:cs="Arial" w:eastAsia="Arial" w:hAnsi="Arial"/>
                <w:sz w:val="14"/>
                <w:szCs w:val="14"/>
                <w:color w:val="auto"/>
              </w:rPr>
              <w:t>Exhibit</w:t>
            </w:r>
          </w:p>
        </w:tc>
        <w:tc>
          <w:tcPr>
            <w:tcW w:w="9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gridSpan w:val="5"/>
          </w:tcPr>
          <w:p>
            <w:pPr>
              <w:spacing w:after="0"/>
              <w:rPr>
                <w:sz w:val="20"/>
                <w:szCs w:val="20"/>
                <w:color w:val="auto"/>
              </w:rPr>
            </w:pPr>
            <w:r>
              <w:rPr>
                <w:rFonts w:ascii="Arial" w:cs="Arial" w:eastAsia="Arial" w:hAnsi="Arial"/>
                <w:sz w:val="14"/>
                <w:szCs w:val="14"/>
                <w:color w:val="auto"/>
                <w:w w:val="94"/>
              </w:rPr>
              <w:t>Description</w:t>
            </w:r>
          </w:p>
        </w:tc>
        <w:tc>
          <w:tcPr>
            <w:tcW w:w="3760" w:type="dxa"/>
            <w:vAlign w:val="bottom"/>
            <w:gridSpan w:val="4"/>
          </w:tcPr>
          <w:p>
            <w:pPr>
              <w:spacing w:after="0"/>
              <w:rPr>
                <w:sz w:val="24"/>
                <w:szCs w:val="24"/>
                <w:color w:val="auto"/>
              </w:rPr>
            </w:pPr>
          </w:p>
        </w:tc>
        <w:tc>
          <w:tcPr>
            <w:tcW w:w="2220" w:type="dxa"/>
            <w:vAlign w:val="bottom"/>
            <w:gridSpan w:val="3"/>
          </w:tcPr>
          <w:p>
            <w:pPr>
              <w:jc w:val="center"/>
              <w:ind w:left="192"/>
              <w:spacing w:after="0"/>
              <w:rPr>
                <w:sz w:val="20"/>
                <w:szCs w:val="20"/>
                <w:color w:val="auto"/>
              </w:rPr>
            </w:pPr>
            <w:r>
              <w:rPr>
                <w:rFonts w:ascii="Arial" w:cs="Arial" w:eastAsia="Arial" w:hAnsi="Arial"/>
                <w:sz w:val="14"/>
                <w:szCs w:val="14"/>
                <w:color w:val="auto"/>
                <w:w w:val="98"/>
              </w:rPr>
              <w:t>Method of Filing</w:t>
            </w:r>
          </w:p>
        </w:tc>
      </w:tr>
      <w:tr>
        <w:trPr>
          <w:trHeight w:val="20"/>
        </w:trPr>
        <w:tc>
          <w:tcPr>
            <w:tcW w:w="860" w:type="dxa"/>
            <w:vAlign w:val="bottom"/>
          </w:tcPr>
          <w:p>
            <w:pPr>
              <w:spacing w:after="0" w:line="20" w:lineRule="exact"/>
              <w:rPr>
                <w:sz w:val="1"/>
                <w:szCs w:val="1"/>
                <w:color w:val="auto"/>
              </w:rPr>
            </w:pPr>
          </w:p>
        </w:tc>
        <w:tc>
          <w:tcPr>
            <w:tcW w:w="2420" w:type="dxa"/>
            <w:vAlign w:val="bottom"/>
            <w:gridSpan w:val="2"/>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r>
      <w:tr>
        <w:trPr>
          <w:trHeight w:val="223"/>
        </w:trPr>
        <w:tc>
          <w:tcPr>
            <w:tcW w:w="860" w:type="dxa"/>
            <w:vAlign w:val="bottom"/>
          </w:tcPr>
          <w:p>
            <w:pPr>
              <w:jc w:val="right"/>
              <w:ind w:right="191"/>
              <w:spacing w:after="0"/>
              <w:rPr>
                <w:sz w:val="20"/>
                <w:szCs w:val="20"/>
                <w:color w:val="auto"/>
              </w:rPr>
            </w:pPr>
            <w:r>
              <w:rPr>
                <w:rFonts w:ascii="Arial" w:cs="Arial" w:eastAsia="Arial" w:hAnsi="Arial"/>
                <w:sz w:val="18"/>
                <w:szCs w:val="18"/>
                <w:color w:val="auto"/>
              </w:rPr>
              <w:t>3.1</w:t>
            </w:r>
          </w:p>
        </w:tc>
        <w:tc>
          <w:tcPr>
            <w:tcW w:w="8060" w:type="dxa"/>
            <w:vAlign w:val="bottom"/>
            <w:gridSpan w:val="14"/>
          </w:tcPr>
          <w:p>
            <w:pPr>
              <w:spacing w:after="0"/>
              <w:rPr>
                <w:rFonts w:ascii="Arial" w:cs="Arial" w:eastAsia="Arial" w:hAnsi="Arial"/>
                <w:sz w:val="18"/>
                <w:szCs w:val="18"/>
                <w:color w:val="0000FF"/>
              </w:rPr>
            </w:pPr>
            <w:hyperlink r:id="rId36">
              <w:r>
                <w:rPr>
                  <w:rFonts w:ascii="Arial" w:cs="Arial" w:eastAsia="Arial" w:hAnsi="Arial"/>
                  <w:sz w:val="18"/>
                  <w:szCs w:val="18"/>
                  <w:color w:val="0000FF"/>
                </w:rPr>
                <w:t xml:space="preserve">Amended and Restated Articles of Incorporation. </w:t>
              </w:r>
            </w:hyperlink>
            <w:r>
              <w:rPr>
                <w:rFonts w:ascii="Arial" w:cs="Arial" w:eastAsia="Arial" w:hAnsi="Arial"/>
                <w:sz w:val="18"/>
                <w:szCs w:val="18"/>
                <w:color w:val="000000"/>
              </w:rPr>
              <w:t>(1)</w:t>
            </w:r>
          </w:p>
        </w:tc>
        <w:tc>
          <w:tcPr>
            <w:tcW w:w="2220" w:type="dxa"/>
            <w:vAlign w:val="bottom"/>
            <w:gridSpan w:val="3"/>
          </w:tcPr>
          <w:p>
            <w:pPr>
              <w:jc w:val="center"/>
              <w:ind w:left="212"/>
              <w:spacing w:after="0"/>
              <w:rPr>
                <w:sz w:val="20"/>
                <w:szCs w:val="20"/>
                <w:color w:val="auto"/>
              </w:rPr>
            </w:pPr>
            <w:r>
              <w:rPr>
                <w:rFonts w:ascii="Arial" w:cs="Arial" w:eastAsia="Arial" w:hAnsi="Arial"/>
                <w:sz w:val="18"/>
                <w:szCs w:val="18"/>
                <w:color w:val="auto"/>
                <w:w w:val="90"/>
              </w:rPr>
              <w:t>Incorporated by Reference</w:t>
            </w:r>
          </w:p>
        </w:tc>
      </w:tr>
      <w:tr>
        <w:trPr>
          <w:trHeight w:val="250"/>
        </w:trPr>
        <w:tc>
          <w:tcPr>
            <w:tcW w:w="860" w:type="dxa"/>
            <w:vAlign w:val="bottom"/>
          </w:tcPr>
          <w:p>
            <w:pPr>
              <w:jc w:val="right"/>
              <w:ind w:right="191"/>
              <w:spacing w:after="0"/>
              <w:rPr>
                <w:sz w:val="20"/>
                <w:szCs w:val="20"/>
                <w:color w:val="auto"/>
              </w:rPr>
            </w:pPr>
            <w:r>
              <w:rPr>
                <w:rFonts w:ascii="Arial" w:cs="Arial" w:eastAsia="Arial" w:hAnsi="Arial"/>
                <w:sz w:val="18"/>
                <w:szCs w:val="18"/>
                <w:color w:val="auto"/>
              </w:rPr>
              <w:t>3.2</w:t>
            </w:r>
          </w:p>
        </w:tc>
        <w:tc>
          <w:tcPr>
            <w:tcW w:w="3540" w:type="dxa"/>
            <w:vAlign w:val="bottom"/>
            <w:tcBorders>
              <w:top w:val="single" w:sz="8" w:color="0000FF"/>
            </w:tcBorders>
            <w:gridSpan w:val="4"/>
          </w:tcPr>
          <w:p>
            <w:pPr>
              <w:spacing w:after="0"/>
              <w:rPr>
                <w:rFonts w:ascii="Arial" w:cs="Arial" w:eastAsia="Arial" w:hAnsi="Arial"/>
                <w:sz w:val="18"/>
                <w:szCs w:val="18"/>
                <w:color w:val="0000FF"/>
              </w:rPr>
            </w:pPr>
            <w:hyperlink r:id="rId37">
              <w:r>
                <w:rPr>
                  <w:rFonts w:ascii="Arial" w:cs="Arial" w:eastAsia="Arial" w:hAnsi="Arial"/>
                  <w:sz w:val="18"/>
                  <w:szCs w:val="18"/>
                  <w:color w:val="0000FF"/>
                </w:rPr>
                <w:t xml:space="preserve">Amended and Restated By-Laws. </w:t>
              </w:r>
            </w:hyperlink>
            <w:r>
              <w:rPr>
                <w:rFonts w:ascii="Arial" w:cs="Arial" w:eastAsia="Arial" w:hAnsi="Arial"/>
                <w:sz w:val="18"/>
                <w:szCs w:val="18"/>
                <w:color w:val="000000"/>
              </w:rPr>
              <w:t>(2)</w:t>
            </w:r>
          </w:p>
        </w:tc>
        <w:tc>
          <w:tcPr>
            <w:tcW w:w="4520" w:type="dxa"/>
            <w:vAlign w:val="bottom"/>
            <w:gridSpan w:val="10"/>
          </w:tcPr>
          <w:p>
            <w:pPr>
              <w:spacing w:after="0"/>
              <w:rPr>
                <w:sz w:val="21"/>
                <w:szCs w:val="21"/>
                <w:color w:val="auto"/>
              </w:rPr>
            </w:pPr>
          </w:p>
        </w:tc>
        <w:tc>
          <w:tcPr>
            <w:tcW w:w="2220" w:type="dxa"/>
            <w:vAlign w:val="bottom"/>
            <w:gridSpan w:val="3"/>
          </w:tcPr>
          <w:p>
            <w:pPr>
              <w:jc w:val="center"/>
              <w:ind w:left="212"/>
              <w:spacing w:after="0"/>
              <w:rPr>
                <w:sz w:val="20"/>
                <w:szCs w:val="20"/>
                <w:color w:val="auto"/>
              </w:rPr>
            </w:pPr>
            <w:r>
              <w:rPr>
                <w:rFonts w:ascii="Arial" w:cs="Arial" w:eastAsia="Arial" w:hAnsi="Arial"/>
                <w:sz w:val="18"/>
                <w:szCs w:val="18"/>
                <w:color w:val="auto"/>
                <w:w w:val="90"/>
              </w:rPr>
              <w:t>Incorporated by Reference</w:t>
            </w:r>
          </w:p>
        </w:tc>
      </w:tr>
      <w:tr>
        <w:trPr>
          <w:trHeight w:val="20"/>
        </w:trPr>
        <w:tc>
          <w:tcPr>
            <w:tcW w:w="860" w:type="dxa"/>
            <w:vAlign w:val="bottom"/>
          </w:tcPr>
          <w:p>
            <w:pPr>
              <w:spacing w:after="0" w:line="20" w:lineRule="exact"/>
              <w:rPr>
                <w:sz w:val="1"/>
                <w:szCs w:val="1"/>
                <w:color w:val="auto"/>
              </w:rPr>
            </w:pPr>
          </w:p>
        </w:tc>
        <w:tc>
          <w:tcPr>
            <w:tcW w:w="2420" w:type="dxa"/>
            <w:vAlign w:val="bottom"/>
            <w:gridSpan w:val="2"/>
            <w:shd w:val="clear" w:color="auto" w:fill="0000FF"/>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1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20" w:type="dxa"/>
            <w:vAlign w:val="bottom"/>
            <w:gridSpan w:val="3"/>
          </w:tcPr>
          <w:p>
            <w:pPr>
              <w:spacing w:after="0" w:line="20" w:lineRule="exact"/>
              <w:rPr>
                <w:sz w:val="1"/>
                <w:szCs w:val="1"/>
                <w:color w:val="auto"/>
              </w:rPr>
            </w:pPr>
          </w:p>
        </w:tc>
      </w:tr>
      <w:tr>
        <w:trPr>
          <w:trHeight w:val="250"/>
        </w:trPr>
        <w:tc>
          <w:tcPr>
            <w:tcW w:w="860" w:type="dxa"/>
            <w:vAlign w:val="bottom"/>
          </w:tcPr>
          <w:p>
            <w:pPr>
              <w:jc w:val="right"/>
              <w:ind w:right="191"/>
              <w:spacing w:after="0"/>
              <w:rPr>
                <w:sz w:val="20"/>
                <w:szCs w:val="20"/>
                <w:color w:val="auto"/>
              </w:rPr>
            </w:pPr>
            <w:r>
              <w:rPr>
                <w:rFonts w:ascii="Arial" w:cs="Arial" w:eastAsia="Arial" w:hAnsi="Arial"/>
                <w:sz w:val="18"/>
                <w:szCs w:val="18"/>
                <w:color w:val="auto"/>
              </w:rPr>
              <w:t>10.1</w:t>
            </w:r>
          </w:p>
        </w:tc>
        <w:tc>
          <w:tcPr>
            <w:tcW w:w="3480" w:type="dxa"/>
            <w:vAlign w:val="bottom"/>
            <w:tcBorders>
              <w:bottom w:val="single" w:sz="8" w:color="0000FF"/>
            </w:tcBorders>
            <w:gridSpan w:val="3"/>
          </w:tcPr>
          <w:p>
            <w:pPr>
              <w:spacing w:after="0"/>
              <w:rPr>
                <w:rFonts w:ascii="Arial" w:cs="Arial" w:eastAsia="Arial" w:hAnsi="Arial"/>
                <w:sz w:val="18"/>
                <w:szCs w:val="18"/>
                <w:color w:val="0000FF"/>
                <w:w w:val="87"/>
              </w:rPr>
            </w:pPr>
            <w:hyperlink r:id="rId38">
              <w:r>
                <w:rPr>
                  <w:rFonts w:ascii="Arial" w:cs="Arial" w:eastAsia="Arial" w:hAnsi="Arial"/>
                  <w:sz w:val="18"/>
                  <w:szCs w:val="18"/>
                  <w:color w:val="0000FF"/>
                  <w:w w:val="87"/>
                </w:rPr>
                <w:t>Employee Stock Purchase Plan, as amended. (3)</w:t>
              </w:r>
            </w:hyperlink>
          </w:p>
        </w:tc>
        <w:tc>
          <w:tcPr>
            <w:tcW w:w="4580" w:type="dxa"/>
            <w:vAlign w:val="bottom"/>
            <w:gridSpan w:val="11"/>
          </w:tcPr>
          <w:p>
            <w:pPr>
              <w:spacing w:after="0"/>
              <w:rPr>
                <w:sz w:val="21"/>
                <w:szCs w:val="21"/>
                <w:color w:val="auto"/>
              </w:rPr>
            </w:pPr>
          </w:p>
        </w:tc>
        <w:tc>
          <w:tcPr>
            <w:tcW w:w="2220" w:type="dxa"/>
            <w:vAlign w:val="bottom"/>
            <w:gridSpan w:val="3"/>
          </w:tcPr>
          <w:p>
            <w:pPr>
              <w:jc w:val="center"/>
              <w:ind w:left="212"/>
              <w:spacing w:after="0"/>
              <w:rPr>
                <w:sz w:val="20"/>
                <w:szCs w:val="20"/>
                <w:color w:val="auto"/>
              </w:rPr>
            </w:pPr>
            <w:r>
              <w:rPr>
                <w:rFonts w:ascii="Arial" w:cs="Arial" w:eastAsia="Arial" w:hAnsi="Arial"/>
                <w:sz w:val="18"/>
                <w:szCs w:val="18"/>
                <w:color w:val="auto"/>
                <w:w w:val="90"/>
              </w:rPr>
              <w:t>Incorporated by Reference</w:t>
            </w:r>
          </w:p>
        </w:tc>
      </w:tr>
      <w:tr>
        <w:trPr>
          <w:trHeight w:val="250"/>
        </w:trPr>
        <w:tc>
          <w:tcPr>
            <w:tcW w:w="860" w:type="dxa"/>
            <w:vAlign w:val="bottom"/>
          </w:tcPr>
          <w:p>
            <w:pPr>
              <w:jc w:val="right"/>
              <w:ind w:right="191"/>
              <w:spacing w:after="0"/>
              <w:rPr>
                <w:sz w:val="20"/>
                <w:szCs w:val="20"/>
                <w:color w:val="auto"/>
              </w:rPr>
            </w:pPr>
            <w:r>
              <w:rPr>
                <w:rFonts w:ascii="Arial" w:cs="Arial" w:eastAsia="Arial" w:hAnsi="Arial"/>
                <w:sz w:val="18"/>
                <w:szCs w:val="18"/>
                <w:color w:val="auto"/>
              </w:rPr>
              <w:t>10.2</w:t>
            </w:r>
          </w:p>
        </w:tc>
        <w:tc>
          <w:tcPr>
            <w:tcW w:w="7780" w:type="dxa"/>
            <w:vAlign w:val="bottom"/>
            <w:tcBorders>
              <w:bottom w:val="single" w:sz="8" w:color="0000FF"/>
            </w:tcBorders>
            <w:gridSpan w:val="13"/>
          </w:tcPr>
          <w:p>
            <w:pPr>
              <w:spacing w:after="0"/>
              <w:rPr>
                <w:rFonts w:ascii="Arial" w:cs="Arial" w:eastAsia="Arial" w:hAnsi="Arial"/>
                <w:sz w:val="18"/>
                <w:szCs w:val="18"/>
                <w:color w:val="0000FF"/>
                <w:w w:val="89"/>
              </w:rPr>
            </w:pPr>
            <w:hyperlink r:id="rId39">
              <w:r>
                <w:rPr>
                  <w:rFonts w:ascii="Arial" w:cs="Arial" w:eastAsia="Arial" w:hAnsi="Arial"/>
                  <w:sz w:val="18"/>
                  <w:szCs w:val="18"/>
                  <w:color w:val="0000FF"/>
                  <w:w w:val="89"/>
                </w:rPr>
                <w:t>Amended and Restated Credit Agreement, dated as of November 30, 2018, among the Company, U.S. Bank</w:t>
              </w:r>
            </w:hyperlink>
          </w:p>
        </w:tc>
        <w:tc>
          <w:tcPr>
            <w:tcW w:w="280" w:type="dxa"/>
            <w:vAlign w:val="bottom"/>
          </w:tcPr>
          <w:p>
            <w:pPr>
              <w:spacing w:after="0"/>
              <w:rPr>
                <w:sz w:val="21"/>
                <w:szCs w:val="21"/>
                <w:color w:val="auto"/>
              </w:rPr>
            </w:pPr>
          </w:p>
        </w:tc>
        <w:tc>
          <w:tcPr>
            <w:tcW w:w="2220" w:type="dxa"/>
            <w:vAlign w:val="bottom"/>
            <w:gridSpan w:val="3"/>
          </w:tcPr>
          <w:p>
            <w:pPr>
              <w:jc w:val="center"/>
              <w:ind w:left="212"/>
              <w:spacing w:after="0"/>
              <w:rPr>
                <w:sz w:val="20"/>
                <w:szCs w:val="20"/>
                <w:color w:val="auto"/>
              </w:rPr>
            </w:pPr>
            <w:r>
              <w:rPr>
                <w:rFonts w:ascii="Arial" w:cs="Arial" w:eastAsia="Arial" w:hAnsi="Arial"/>
                <w:sz w:val="18"/>
                <w:szCs w:val="18"/>
                <w:color w:val="auto"/>
                <w:w w:val="90"/>
              </w:rPr>
              <w:t>Incorporated by Reference</w:t>
            </w:r>
          </w:p>
        </w:tc>
      </w:tr>
      <w:tr>
        <w:trPr>
          <w:trHeight w:val="196"/>
        </w:trPr>
        <w:tc>
          <w:tcPr>
            <w:tcW w:w="860" w:type="dxa"/>
            <w:vAlign w:val="bottom"/>
          </w:tcPr>
          <w:p>
            <w:pPr>
              <w:spacing w:after="0"/>
              <w:rPr>
                <w:sz w:val="17"/>
                <w:szCs w:val="17"/>
                <w:color w:val="auto"/>
              </w:rPr>
            </w:pPr>
          </w:p>
        </w:tc>
        <w:tc>
          <w:tcPr>
            <w:tcW w:w="4220" w:type="dxa"/>
            <w:vAlign w:val="bottom"/>
            <w:tcBorders>
              <w:bottom w:val="single" w:sz="8" w:color="0000FF"/>
            </w:tcBorders>
            <w:gridSpan w:val="9"/>
          </w:tcPr>
          <w:p>
            <w:pPr>
              <w:spacing w:after="0" w:line="196" w:lineRule="exact"/>
              <w:rPr>
                <w:rFonts w:ascii="Arial" w:cs="Arial" w:eastAsia="Arial" w:hAnsi="Arial"/>
                <w:sz w:val="18"/>
                <w:szCs w:val="18"/>
                <w:color w:val="0000FF"/>
                <w:w w:val="92"/>
              </w:rPr>
            </w:pPr>
            <w:hyperlink r:id="rId39">
              <w:r>
                <w:rPr>
                  <w:rFonts w:ascii="Arial" w:cs="Arial" w:eastAsia="Arial" w:hAnsi="Arial"/>
                  <w:sz w:val="18"/>
                  <w:szCs w:val="18"/>
                  <w:color w:val="0000FF"/>
                  <w:w w:val="92"/>
                </w:rPr>
                <w:t>National Association, and certain financial institutions. (4)</w:t>
              </w:r>
            </w:hyperlink>
          </w:p>
        </w:tc>
        <w:tc>
          <w:tcPr>
            <w:tcW w:w="3840" w:type="dxa"/>
            <w:vAlign w:val="bottom"/>
            <w:gridSpan w:val="5"/>
          </w:tcPr>
          <w:p>
            <w:pPr>
              <w:spacing w:after="0"/>
              <w:rPr>
                <w:sz w:val="17"/>
                <w:szCs w:val="17"/>
                <w:color w:val="auto"/>
              </w:rPr>
            </w:pPr>
          </w:p>
        </w:tc>
        <w:tc>
          <w:tcPr>
            <w:tcW w:w="7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480" w:type="dxa"/>
            <w:vAlign w:val="bottom"/>
          </w:tcPr>
          <w:p>
            <w:pPr>
              <w:spacing w:after="0"/>
              <w:rPr>
                <w:sz w:val="17"/>
                <w:szCs w:val="17"/>
                <w:color w:val="auto"/>
              </w:rPr>
            </w:pPr>
          </w:p>
        </w:tc>
      </w:tr>
      <w:tr>
        <w:trPr>
          <w:trHeight w:val="250"/>
        </w:trPr>
        <w:tc>
          <w:tcPr>
            <w:tcW w:w="860" w:type="dxa"/>
            <w:vAlign w:val="bottom"/>
          </w:tcPr>
          <w:p>
            <w:pPr>
              <w:jc w:val="right"/>
              <w:ind w:right="191"/>
              <w:spacing w:after="0"/>
              <w:rPr>
                <w:sz w:val="20"/>
                <w:szCs w:val="20"/>
                <w:color w:val="auto"/>
              </w:rPr>
            </w:pPr>
            <w:r>
              <w:rPr>
                <w:rFonts w:ascii="Arial" w:cs="Arial" w:eastAsia="Arial" w:hAnsi="Arial"/>
                <w:sz w:val="18"/>
                <w:szCs w:val="18"/>
                <w:color w:val="auto"/>
              </w:rPr>
              <w:t>10.3</w:t>
            </w:r>
          </w:p>
        </w:tc>
        <w:tc>
          <w:tcPr>
            <w:tcW w:w="8060" w:type="dxa"/>
            <w:vAlign w:val="bottom"/>
            <w:gridSpan w:val="14"/>
          </w:tcPr>
          <w:p>
            <w:pPr>
              <w:spacing w:after="0"/>
              <w:rPr>
                <w:rFonts w:ascii="Arial" w:cs="Arial" w:eastAsia="Arial" w:hAnsi="Arial"/>
                <w:sz w:val="18"/>
                <w:szCs w:val="18"/>
                <w:color w:val="0000FF"/>
              </w:rPr>
            </w:pPr>
            <w:hyperlink w:anchor="page26">
              <w:r>
                <w:rPr>
                  <w:rFonts w:ascii="Arial" w:cs="Arial" w:eastAsia="Arial" w:hAnsi="Arial"/>
                  <w:sz w:val="18"/>
                  <w:szCs w:val="18"/>
                  <w:color w:val="0000FF"/>
                </w:rPr>
                <w:t>2019 Equity Incentive Plan approved August 1, 2019</w:t>
              </w:r>
            </w:hyperlink>
            <w:r>
              <w:rPr>
                <w:rFonts w:ascii="Arial" w:cs="Arial" w:eastAsia="Arial" w:hAnsi="Arial"/>
                <w:sz w:val="18"/>
                <w:szCs w:val="18"/>
                <w:color w:val="000000"/>
              </w:rPr>
              <w:t>.</w:t>
            </w:r>
          </w:p>
        </w:tc>
        <w:tc>
          <w:tcPr>
            <w:tcW w:w="2220" w:type="dxa"/>
            <w:vAlign w:val="bottom"/>
            <w:gridSpan w:val="3"/>
          </w:tcPr>
          <w:p>
            <w:pPr>
              <w:jc w:val="center"/>
              <w:ind w:left="192"/>
              <w:spacing w:after="0"/>
              <w:rPr>
                <w:sz w:val="20"/>
                <w:szCs w:val="20"/>
                <w:color w:val="auto"/>
              </w:rPr>
            </w:pPr>
            <w:r>
              <w:rPr>
                <w:rFonts w:ascii="Arial" w:cs="Arial" w:eastAsia="Arial" w:hAnsi="Arial"/>
                <w:sz w:val="18"/>
                <w:szCs w:val="18"/>
                <w:color w:val="auto"/>
                <w:w w:val="94"/>
              </w:rPr>
              <w:t>Filed Electronically</w:t>
            </w:r>
          </w:p>
        </w:tc>
      </w:tr>
      <w:tr>
        <w:trPr>
          <w:trHeight w:val="20"/>
        </w:trPr>
        <w:tc>
          <w:tcPr>
            <w:tcW w:w="860" w:type="dxa"/>
            <w:vAlign w:val="bottom"/>
          </w:tcPr>
          <w:p>
            <w:pPr>
              <w:spacing w:after="0" w:line="20" w:lineRule="exact"/>
              <w:rPr>
                <w:sz w:val="1"/>
                <w:szCs w:val="1"/>
                <w:color w:val="auto"/>
              </w:rPr>
            </w:pPr>
          </w:p>
        </w:tc>
        <w:tc>
          <w:tcPr>
            <w:tcW w:w="3820" w:type="dxa"/>
            <w:vAlign w:val="bottom"/>
            <w:gridSpan w:val="6"/>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8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20" w:type="dxa"/>
            <w:vAlign w:val="bottom"/>
            <w:gridSpan w:val="2"/>
          </w:tcPr>
          <w:p>
            <w:pPr>
              <w:spacing w:after="0" w:line="20" w:lineRule="exact"/>
              <w:rPr>
                <w:sz w:val="1"/>
                <w:szCs w:val="1"/>
                <w:color w:val="auto"/>
              </w:rPr>
            </w:pPr>
          </w:p>
        </w:tc>
        <w:tc>
          <w:tcPr>
            <w:tcW w:w="2220" w:type="dxa"/>
            <w:vAlign w:val="bottom"/>
            <w:gridSpan w:val="3"/>
          </w:tcPr>
          <w:p>
            <w:pPr>
              <w:spacing w:after="0" w:line="20" w:lineRule="exact"/>
              <w:rPr>
                <w:sz w:val="1"/>
                <w:szCs w:val="1"/>
                <w:color w:val="auto"/>
              </w:rPr>
            </w:pPr>
          </w:p>
        </w:tc>
      </w:tr>
      <w:tr>
        <w:trPr>
          <w:trHeight w:val="466"/>
        </w:trPr>
        <w:tc>
          <w:tcPr>
            <w:tcW w:w="860" w:type="dxa"/>
            <w:vAlign w:val="bottom"/>
          </w:tcPr>
          <w:p>
            <w:pPr>
              <w:jc w:val="right"/>
              <w:ind w:right="191"/>
              <w:spacing w:after="0"/>
              <w:rPr>
                <w:sz w:val="20"/>
                <w:szCs w:val="20"/>
                <w:color w:val="auto"/>
              </w:rPr>
            </w:pPr>
            <w:r>
              <w:rPr>
                <w:rFonts w:ascii="Arial" w:cs="Arial" w:eastAsia="Arial" w:hAnsi="Arial"/>
                <w:sz w:val="18"/>
                <w:szCs w:val="18"/>
                <w:color w:val="auto"/>
              </w:rPr>
              <w:t>31.1</w:t>
            </w:r>
          </w:p>
        </w:tc>
        <w:tc>
          <w:tcPr>
            <w:tcW w:w="8060" w:type="dxa"/>
            <w:vAlign w:val="bottom"/>
            <w:gridSpan w:val="14"/>
          </w:tcPr>
          <w:p>
            <w:pPr>
              <w:spacing w:after="0"/>
              <w:rPr>
                <w:rFonts w:ascii="Arial" w:cs="Arial" w:eastAsia="Arial" w:hAnsi="Arial"/>
                <w:sz w:val="18"/>
                <w:szCs w:val="18"/>
                <w:color w:val="0000FF"/>
              </w:rPr>
            </w:pPr>
            <w:hyperlink w:anchor="page39">
              <w:r>
                <w:rPr>
                  <w:rFonts w:ascii="Arial" w:cs="Arial" w:eastAsia="Arial" w:hAnsi="Arial"/>
                  <w:sz w:val="18"/>
                  <w:szCs w:val="18"/>
                  <w:color w:val="0000FF"/>
                </w:rPr>
                <w:t>Certification by Chief Executive Officer pursuant to Rule 13a-14(a) of the Exchange Act.</w:t>
              </w:r>
            </w:hyperlink>
          </w:p>
        </w:tc>
        <w:tc>
          <w:tcPr>
            <w:tcW w:w="2220" w:type="dxa"/>
            <w:vAlign w:val="bottom"/>
            <w:gridSpan w:val="3"/>
          </w:tcPr>
          <w:p>
            <w:pPr>
              <w:jc w:val="center"/>
              <w:ind w:left="192"/>
              <w:spacing w:after="0"/>
              <w:rPr>
                <w:sz w:val="20"/>
                <w:szCs w:val="20"/>
                <w:color w:val="auto"/>
              </w:rPr>
            </w:pPr>
            <w:r>
              <w:rPr>
                <w:rFonts w:ascii="Arial" w:cs="Arial" w:eastAsia="Arial" w:hAnsi="Arial"/>
                <w:sz w:val="18"/>
                <w:szCs w:val="18"/>
                <w:color w:val="auto"/>
                <w:w w:val="94"/>
              </w:rPr>
              <w:t>Filed Electronically</w:t>
            </w:r>
          </w:p>
        </w:tc>
      </w:tr>
      <w:tr>
        <w:trPr>
          <w:trHeight w:val="250"/>
        </w:trPr>
        <w:tc>
          <w:tcPr>
            <w:tcW w:w="860" w:type="dxa"/>
            <w:vAlign w:val="bottom"/>
          </w:tcPr>
          <w:p>
            <w:pPr>
              <w:jc w:val="right"/>
              <w:ind w:right="191"/>
              <w:spacing w:after="0"/>
              <w:rPr>
                <w:sz w:val="20"/>
                <w:szCs w:val="20"/>
                <w:color w:val="auto"/>
              </w:rPr>
            </w:pPr>
            <w:r>
              <w:rPr>
                <w:rFonts w:ascii="Arial" w:cs="Arial" w:eastAsia="Arial" w:hAnsi="Arial"/>
                <w:sz w:val="18"/>
                <w:szCs w:val="18"/>
                <w:color w:val="auto"/>
              </w:rPr>
              <w:t>31.2</w:t>
            </w:r>
          </w:p>
        </w:tc>
        <w:tc>
          <w:tcPr>
            <w:tcW w:w="6400" w:type="dxa"/>
            <w:vAlign w:val="bottom"/>
            <w:tcBorders>
              <w:top w:val="single" w:sz="8" w:color="0000FF"/>
              <w:bottom w:val="single" w:sz="8" w:color="0000FF"/>
            </w:tcBorders>
            <w:gridSpan w:val="11"/>
          </w:tcPr>
          <w:p>
            <w:pPr>
              <w:spacing w:after="0"/>
              <w:rPr>
                <w:rFonts w:ascii="Arial" w:cs="Arial" w:eastAsia="Arial" w:hAnsi="Arial"/>
                <w:sz w:val="18"/>
                <w:szCs w:val="18"/>
                <w:color w:val="0000FF"/>
                <w:w w:val="92"/>
              </w:rPr>
            </w:pPr>
            <w:hyperlink w:anchor="page40">
              <w:r>
                <w:rPr>
                  <w:rFonts w:ascii="Arial" w:cs="Arial" w:eastAsia="Arial" w:hAnsi="Arial"/>
                  <w:sz w:val="18"/>
                  <w:szCs w:val="18"/>
                  <w:color w:val="0000FF"/>
                  <w:w w:val="92"/>
                </w:rPr>
                <w:t>Certification by Chief Financial Officer pursuant to Rule 13a-14(a) of the Exchange Act.</w:t>
              </w:r>
            </w:hyperlink>
          </w:p>
        </w:tc>
        <w:tc>
          <w:tcPr>
            <w:tcW w:w="40" w:type="dxa"/>
            <w:vAlign w:val="bottom"/>
            <w:tcBorders>
              <w:top w:val="single" w:sz="8" w:color="0000FF"/>
            </w:tcBorders>
          </w:tcPr>
          <w:p>
            <w:pPr>
              <w:spacing w:after="0"/>
              <w:rPr>
                <w:sz w:val="21"/>
                <w:szCs w:val="21"/>
                <w:color w:val="auto"/>
              </w:rPr>
            </w:pPr>
          </w:p>
        </w:tc>
        <w:tc>
          <w:tcPr>
            <w:tcW w:w="1620" w:type="dxa"/>
            <w:vAlign w:val="bottom"/>
            <w:gridSpan w:val="2"/>
          </w:tcPr>
          <w:p>
            <w:pPr>
              <w:spacing w:after="0"/>
              <w:rPr>
                <w:sz w:val="21"/>
                <w:szCs w:val="21"/>
                <w:color w:val="auto"/>
              </w:rPr>
            </w:pPr>
          </w:p>
        </w:tc>
        <w:tc>
          <w:tcPr>
            <w:tcW w:w="2220" w:type="dxa"/>
            <w:vAlign w:val="bottom"/>
            <w:gridSpan w:val="3"/>
          </w:tcPr>
          <w:p>
            <w:pPr>
              <w:jc w:val="center"/>
              <w:ind w:left="192"/>
              <w:spacing w:after="0"/>
              <w:rPr>
                <w:sz w:val="20"/>
                <w:szCs w:val="20"/>
                <w:color w:val="auto"/>
              </w:rPr>
            </w:pPr>
            <w:r>
              <w:rPr>
                <w:rFonts w:ascii="Arial" w:cs="Arial" w:eastAsia="Arial" w:hAnsi="Arial"/>
                <w:sz w:val="18"/>
                <w:szCs w:val="18"/>
                <w:color w:val="auto"/>
                <w:w w:val="94"/>
              </w:rPr>
              <w:t>Filed Electronically</w:t>
            </w:r>
          </w:p>
        </w:tc>
      </w:tr>
      <w:tr>
        <w:trPr>
          <w:trHeight w:val="250"/>
        </w:trPr>
        <w:tc>
          <w:tcPr>
            <w:tcW w:w="860" w:type="dxa"/>
            <w:vAlign w:val="bottom"/>
          </w:tcPr>
          <w:p>
            <w:pPr>
              <w:jc w:val="right"/>
              <w:ind w:right="191"/>
              <w:spacing w:after="0"/>
              <w:rPr>
                <w:sz w:val="20"/>
                <w:szCs w:val="20"/>
                <w:color w:val="auto"/>
              </w:rPr>
            </w:pPr>
            <w:r>
              <w:rPr>
                <w:rFonts w:ascii="Arial" w:cs="Arial" w:eastAsia="Arial" w:hAnsi="Arial"/>
                <w:sz w:val="18"/>
                <w:szCs w:val="18"/>
                <w:color w:val="auto"/>
              </w:rPr>
              <w:t>32.1</w:t>
            </w:r>
          </w:p>
        </w:tc>
        <w:tc>
          <w:tcPr>
            <w:tcW w:w="960" w:type="dxa"/>
            <w:vAlign w:val="bottom"/>
          </w:tcPr>
          <w:p>
            <w:pPr>
              <w:spacing w:after="0"/>
              <w:rPr>
                <w:rFonts w:ascii="Arial" w:cs="Arial" w:eastAsia="Arial" w:hAnsi="Arial"/>
                <w:sz w:val="18"/>
                <w:szCs w:val="18"/>
                <w:color w:val="0000FF"/>
                <w:w w:val="89"/>
              </w:rPr>
            </w:pPr>
            <w:hyperlink w:anchor="page41">
              <w:r>
                <w:rPr>
                  <w:rFonts w:ascii="Arial" w:cs="Arial" w:eastAsia="Arial" w:hAnsi="Arial"/>
                  <w:sz w:val="18"/>
                  <w:szCs w:val="18"/>
                  <w:color w:val="0000FF"/>
                  <w:w w:val="89"/>
                </w:rPr>
                <w:t>Section 1350</w:t>
              </w:r>
            </w:hyperlink>
          </w:p>
        </w:tc>
        <w:tc>
          <w:tcPr>
            <w:tcW w:w="7100" w:type="dxa"/>
            <w:vAlign w:val="bottom"/>
            <w:gridSpan w:val="13"/>
          </w:tcPr>
          <w:p>
            <w:pPr>
              <w:ind w:left="20"/>
              <w:spacing w:after="0"/>
              <w:rPr>
                <w:rFonts w:ascii="Arial" w:cs="Arial" w:eastAsia="Arial" w:hAnsi="Arial"/>
                <w:sz w:val="18"/>
                <w:szCs w:val="18"/>
                <w:color w:val="0000FF"/>
              </w:rPr>
            </w:pPr>
            <w:hyperlink w:anchor="page41">
              <w:r>
                <w:rPr>
                  <w:rFonts w:ascii="Arial" w:cs="Arial" w:eastAsia="Arial" w:hAnsi="Arial"/>
                  <w:sz w:val="18"/>
                  <w:szCs w:val="18"/>
                  <w:color w:val="0000FF"/>
                </w:rPr>
                <w:t>Certification by Chief Executive Officer.</w:t>
              </w:r>
            </w:hyperlink>
          </w:p>
        </w:tc>
        <w:tc>
          <w:tcPr>
            <w:tcW w:w="2220" w:type="dxa"/>
            <w:vAlign w:val="bottom"/>
            <w:gridSpan w:val="3"/>
          </w:tcPr>
          <w:p>
            <w:pPr>
              <w:jc w:val="center"/>
              <w:ind w:left="192"/>
              <w:spacing w:after="0"/>
              <w:rPr>
                <w:sz w:val="20"/>
                <w:szCs w:val="20"/>
                <w:color w:val="auto"/>
              </w:rPr>
            </w:pPr>
            <w:r>
              <w:rPr>
                <w:rFonts w:ascii="Arial" w:cs="Arial" w:eastAsia="Arial" w:hAnsi="Arial"/>
                <w:sz w:val="18"/>
                <w:szCs w:val="18"/>
                <w:color w:val="auto"/>
                <w:w w:val="94"/>
              </w:rPr>
              <w:t>Filed Electronically</w:t>
            </w:r>
          </w:p>
        </w:tc>
      </w:tr>
      <w:tr>
        <w:trPr>
          <w:trHeight w:val="250"/>
        </w:trPr>
        <w:tc>
          <w:tcPr>
            <w:tcW w:w="860" w:type="dxa"/>
            <w:vAlign w:val="bottom"/>
          </w:tcPr>
          <w:p>
            <w:pPr>
              <w:jc w:val="right"/>
              <w:ind w:right="191"/>
              <w:spacing w:after="0"/>
              <w:rPr>
                <w:sz w:val="20"/>
                <w:szCs w:val="20"/>
                <w:color w:val="auto"/>
              </w:rPr>
            </w:pPr>
            <w:r>
              <w:rPr>
                <w:rFonts w:ascii="Arial" w:cs="Arial" w:eastAsia="Arial" w:hAnsi="Arial"/>
                <w:sz w:val="18"/>
                <w:szCs w:val="18"/>
                <w:color w:val="auto"/>
              </w:rPr>
              <w:t>32.2</w:t>
            </w:r>
          </w:p>
        </w:tc>
        <w:tc>
          <w:tcPr>
            <w:tcW w:w="960" w:type="dxa"/>
            <w:vAlign w:val="bottom"/>
            <w:tcBorders>
              <w:top w:val="single" w:sz="8" w:color="0000FF"/>
              <w:bottom w:val="single" w:sz="8" w:color="0000FF"/>
            </w:tcBorders>
          </w:tcPr>
          <w:p>
            <w:pPr>
              <w:spacing w:after="0"/>
              <w:rPr>
                <w:rFonts w:ascii="Arial" w:cs="Arial" w:eastAsia="Arial" w:hAnsi="Arial"/>
                <w:sz w:val="18"/>
                <w:szCs w:val="18"/>
                <w:color w:val="0000FF"/>
                <w:w w:val="89"/>
              </w:rPr>
            </w:pPr>
            <w:hyperlink w:anchor="page42">
              <w:r>
                <w:rPr>
                  <w:rFonts w:ascii="Arial" w:cs="Arial" w:eastAsia="Arial" w:hAnsi="Arial"/>
                  <w:sz w:val="18"/>
                  <w:szCs w:val="18"/>
                  <w:color w:val="0000FF"/>
                  <w:w w:val="89"/>
                </w:rPr>
                <w:t>Section 1350</w:t>
              </w:r>
            </w:hyperlink>
          </w:p>
        </w:tc>
        <w:tc>
          <w:tcPr>
            <w:tcW w:w="2920" w:type="dxa"/>
            <w:vAlign w:val="bottom"/>
            <w:tcBorders>
              <w:top w:val="single" w:sz="8" w:color="0000FF"/>
              <w:bottom w:val="single" w:sz="8" w:color="0000FF"/>
            </w:tcBorders>
            <w:gridSpan w:val="6"/>
          </w:tcPr>
          <w:p>
            <w:pPr>
              <w:ind w:left="20"/>
              <w:spacing w:after="0"/>
              <w:rPr>
                <w:rFonts w:ascii="Arial" w:cs="Arial" w:eastAsia="Arial" w:hAnsi="Arial"/>
                <w:sz w:val="18"/>
                <w:szCs w:val="18"/>
                <w:color w:val="0000FF"/>
                <w:w w:val="94"/>
              </w:rPr>
            </w:pPr>
            <w:hyperlink w:anchor="page42">
              <w:r>
                <w:rPr>
                  <w:rFonts w:ascii="Arial" w:cs="Arial" w:eastAsia="Arial" w:hAnsi="Arial"/>
                  <w:sz w:val="18"/>
                  <w:szCs w:val="18"/>
                  <w:color w:val="0000FF"/>
                  <w:w w:val="94"/>
                </w:rPr>
                <w:t>Certification by Chief Financial Officer.</w:t>
              </w:r>
            </w:hyperlink>
          </w:p>
        </w:tc>
        <w:tc>
          <w:tcPr>
            <w:tcW w:w="40" w:type="dxa"/>
            <w:vAlign w:val="bottom"/>
            <w:tcBorders>
              <w:top w:val="single" w:sz="8" w:color="0000FF"/>
            </w:tcBorders>
          </w:tcPr>
          <w:p>
            <w:pPr>
              <w:spacing w:after="0"/>
              <w:rPr>
                <w:sz w:val="21"/>
                <w:szCs w:val="21"/>
                <w:color w:val="auto"/>
              </w:rPr>
            </w:pPr>
          </w:p>
        </w:tc>
        <w:tc>
          <w:tcPr>
            <w:tcW w:w="4140" w:type="dxa"/>
            <w:vAlign w:val="bottom"/>
            <w:gridSpan w:val="6"/>
          </w:tcPr>
          <w:p>
            <w:pPr>
              <w:spacing w:after="0"/>
              <w:rPr>
                <w:sz w:val="21"/>
                <w:szCs w:val="21"/>
                <w:color w:val="auto"/>
              </w:rPr>
            </w:pPr>
          </w:p>
        </w:tc>
        <w:tc>
          <w:tcPr>
            <w:tcW w:w="2220" w:type="dxa"/>
            <w:vAlign w:val="bottom"/>
            <w:gridSpan w:val="3"/>
          </w:tcPr>
          <w:p>
            <w:pPr>
              <w:jc w:val="center"/>
              <w:ind w:left="192"/>
              <w:spacing w:after="0"/>
              <w:rPr>
                <w:sz w:val="20"/>
                <w:szCs w:val="20"/>
                <w:color w:val="auto"/>
              </w:rPr>
            </w:pPr>
            <w:r>
              <w:rPr>
                <w:rFonts w:ascii="Arial" w:cs="Arial" w:eastAsia="Arial" w:hAnsi="Arial"/>
                <w:sz w:val="18"/>
                <w:szCs w:val="18"/>
                <w:color w:val="auto"/>
                <w:w w:val="94"/>
              </w:rPr>
              <w:t>Filed Electronically</w:t>
            </w:r>
          </w:p>
        </w:tc>
      </w:tr>
      <w:tr>
        <w:trPr>
          <w:trHeight w:val="276"/>
        </w:trPr>
        <w:tc>
          <w:tcPr>
            <w:tcW w:w="860" w:type="dxa"/>
            <w:vAlign w:val="bottom"/>
          </w:tcPr>
          <w:p>
            <w:pPr>
              <w:jc w:val="right"/>
              <w:ind w:right="191"/>
              <w:spacing w:after="0"/>
              <w:rPr>
                <w:sz w:val="20"/>
                <w:szCs w:val="20"/>
                <w:color w:val="auto"/>
              </w:rPr>
            </w:pPr>
            <w:r>
              <w:rPr>
                <w:rFonts w:ascii="Arial" w:cs="Arial" w:eastAsia="Arial" w:hAnsi="Arial"/>
                <w:sz w:val="18"/>
                <w:szCs w:val="18"/>
                <w:color w:val="auto"/>
              </w:rPr>
              <w:t>101</w:t>
            </w:r>
          </w:p>
        </w:tc>
        <w:tc>
          <w:tcPr>
            <w:tcW w:w="8060" w:type="dxa"/>
            <w:vAlign w:val="bottom"/>
            <w:gridSpan w:val="14"/>
          </w:tcPr>
          <w:p>
            <w:pPr>
              <w:spacing w:after="0"/>
              <w:rPr>
                <w:sz w:val="20"/>
                <w:szCs w:val="20"/>
                <w:color w:val="auto"/>
              </w:rPr>
            </w:pPr>
            <w:r>
              <w:rPr>
                <w:rFonts w:ascii="Arial" w:cs="Arial" w:eastAsia="Arial" w:hAnsi="Arial"/>
                <w:sz w:val="18"/>
                <w:szCs w:val="18"/>
                <w:color w:val="auto"/>
              </w:rPr>
              <w:t>Financial statements from the Quarterly Report on Form 10-Q of Hawkins, Inc. for the period ended</w:t>
            </w:r>
          </w:p>
        </w:tc>
        <w:tc>
          <w:tcPr>
            <w:tcW w:w="2220" w:type="dxa"/>
            <w:vAlign w:val="bottom"/>
            <w:gridSpan w:val="3"/>
          </w:tcPr>
          <w:p>
            <w:pPr>
              <w:jc w:val="center"/>
              <w:ind w:left="192"/>
              <w:spacing w:after="0"/>
              <w:rPr>
                <w:sz w:val="20"/>
                <w:szCs w:val="20"/>
                <w:color w:val="auto"/>
              </w:rPr>
            </w:pPr>
            <w:r>
              <w:rPr>
                <w:rFonts w:ascii="Arial" w:cs="Arial" w:eastAsia="Arial" w:hAnsi="Arial"/>
                <w:sz w:val="18"/>
                <w:szCs w:val="18"/>
                <w:color w:val="auto"/>
                <w:w w:val="94"/>
              </w:rPr>
              <w:t>Filed Electronically</w:t>
            </w:r>
          </w:p>
        </w:tc>
      </w:tr>
      <w:tr>
        <w:trPr>
          <w:trHeight w:val="230"/>
        </w:trPr>
        <w:tc>
          <w:tcPr>
            <w:tcW w:w="860" w:type="dxa"/>
            <w:vAlign w:val="bottom"/>
          </w:tcPr>
          <w:p>
            <w:pPr>
              <w:spacing w:after="0"/>
              <w:rPr>
                <w:sz w:val="20"/>
                <w:szCs w:val="20"/>
                <w:color w:val="auto"/>
              </w:rPr>
            </w:pPr>
          </w:p>
        </w:tc>
        <w:tc>
          <w:tcPr>
            <w:tcW w:w="8060" w:type="dxa"/>
            <w:vAlign w:val="bottom"/>
            <w:gridSpan w:val="14"/>
          </w:tcPr>
          <w:p>
            <w:pPr>
              <w:spacing w:after="0"/>
              <w:rPr>
                <w:sz w:val="20"/>
                <w:szCs w:val="20"/>
                <w:color w:val="auto"/>
              </w:rPr>
            </w:pPr>
            <w:r>
              <w:rPr>
                <w:rFonts w:ascii="Arial" w:cs="Arial" w:eastAsia="Arial" w:hAnsi="Arial"/>
                <w:sz w:val="18"/>
                <w:szCs w:val="18"/>
                <w:color w:val="auto"/>
                <w:w w:val="97"/>
              </w:rPr>
              <w:t>September 29, 2019 filed with the SEC on October 30, 2019 formatted in Extensible Business Reporting</w:t>
            </w:r>
          </w:p>
        </w:tc>
        <w:tc>
          <w:tcPr>
            <w:tcW w:w="7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480" w:type="dxa"/>
            <w:vAlign w:val="bottom"/>
          </w:tcPr>
          <w:p>
            <w:pPr>
              <w:spacing w:after="0"/>
              <w:rPr>
                <w:sz w:val="20"/>
                <w:szCs w:val="20"/>
                <w:color w:val="auto"/>
              </w:rPr>
            </w:pPr>
          </w:p>
        </w:tc>
      </w:tr>
    </w:tbl>
    <w:p>
      <w:pPr>
        <w:ind w:left="860" w:right="2620"/>
        <w:spacing w:after="0" w:line="252" w:lineRule="auto"/>
        <w:rPr>
          <w:sz w:val="20"/>
          <w:szCs w:val="20"/>
          <w:color w:val="auto"/>
        </w:rPr>
      </w:pPr>
      <w:r>
        <w:rPr>
          <w:rFonts w:ascii="Arial" w:cs="Arial" w:eastAsia="Arial" w:hAnsi="Arial"/>
          <w:sz w:val="18"/>
          <w:szCs w:val="18"/>
          <w:color w:val="auto"/>
        </w:rPr>
        <w:t>Language (XBRL); (i) the Condensed Consolidated Balance Sheets at September 29, 2019 and March 31, 2019, (ii) the Condensed Consolidated Statements of Income for the three and six months ended September 29, 2019 and September 30, 2018, (iii) the Condensed Consolidated Statements of Comprehensive Income for the three and six months ended September 29, 2019 and September 30, 2018, (iv) the Condensed Consolidated Statements of Shareholder's Equity for the three and six months ended September 29, 2019 and September 30, 2018, (v) the Condensed Consolidated Statements of Cash Flows for the six months ended September 29, 2019 and September 30, 2018, and (vi) Notes to Condensed Consolidated Financial Statements.</w:t>
      </w:r>
    </w:p>
    <w:p>
      <w:pPr>
        <w:spacing w:after="0" w:line="200" w:lineRule="exact"/>
        <w:rPr>
          <w:sz w:val="20"/>
          <w:szCs w:val="20"/>
          <w:color w:val="auto"/>
        </w:rPr>
      </w:pPr>
    </w:p>
    <w:p>
      <w:pPr>
        <w:spacing w:after="0" w:line="208" w:lineRule="exact"/>
        <w:rPr>
          <w:sz w:val="20"/>
          <w:szCs w:val="20"/>
          <w:color w:val="auto"/>
        </w:rPr>
      </w:pPr>
    </w:p>
    <w:p>
      <w:pPr>
        <w:ind w:left="540" w:hanging="316"/>
        <w:spacing w:after="0" w:line="258" w:lineRule="auto"/>
        <w:tabs>
          <w:tab w:leader="none" w:pos="54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Incorporated by reference to Exhibit 3.1 to the Company’s Quarterly Report on Form 10-Q for the period ended June 30, 2010, filed on July 29, 2010 (File no. 000-07647).</w:t>
      </w:r>
    </w:p>
    <w:p>
      <w:pPr>
        <w:spacing w:after="0" w:line="1" w:lineRule="exact"/>
        <w:rPr>
          <w:rFonts w:ascii="Arial" w:cs="Arial" w:eastAsia="Arial" w:hAnsi="Arial"/>
          <w:sz w:val="18"/>
          <w:szCs w:val="18"/>
          <w:color w:val="auto"/>
        </w:rPr>
      </w:pPr>
    </w:p>
    <w:p>
      <w:pPr>
        <w:ind w:left="540" w:hanging="316"/>
        <w:spacing w:after="0" w:line="250" w:lineRule="auto"/>
        <w:tabs>
          <w:tab w:leader="none" w:pos="54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Incorporated by reference to Exhibit 3.1 to the Company’s Current Report on Form 8-K dated October 28, 2009 and filed November 3, 2009 (File no. 000-07647).</w:t>
      </w:r>
    </w:p>
    <w:p>
      <w:pPr>
        <w:ind w:left="540" w:hanging="316"/>
        <w:spacing w:after="0"/>
        <w:tabs>
          <w:tab w:leader="none" w:pos="540" w:val="left"/>
        </w:tabs>
        <w:numPr>
          <w:ilvl w:val="0"/>
          <w:numId w:val="3"/>
        </w:numPr>
        <w:rPr>
          <w:rFonts w:ascii="Arial" w:cs="Arial" w:eastAsia="Arial" w:hAnsi="Arial"/>
          <w:sz w:val="17"/>
          <w:szCs w:val="17"/>
          <w:color w:val="auto"/>
        </w:rPr>
      </w:pPr>
      <w:r>
        <w:rPr>
          <w:rFonts w:ascii="Arial" w:cs="Arial" w:eastAsia="Arial" w:hAnsi="Arial"/>
          <w:sz w:val="17"/>
          <w:szCs w:val="17"/>
          <w:color w:val="auto"/>
        </w:rPr>
        <w:t>Incorporated by reference to Exhibit 99.1 to the Company’s Registration Statement on Form S-8 filed November 2, 2018 (File no. 333-228128).</w:t>
      </w:r>
    </w:p>
    <w:p>
      <w:pPr>
        <w:spacing w:after="0" w:line="20" w:lineRule="exact"/>
        <w:rPr>
          <w:rFonts w:ascii="Arial" w:cs="Arial" w:eastAsia="Arial" w:hAnsi="Arial"/>
          <w:sz w:val="17"/>
          <w:szCs w:val="17"/>
          <w:color w:val="auto"/>
        </w:rPr>
      </w:pPr>
    </w:p>
    <w:p>
      <w:pPr>
        <w:ind w:left="540" w:hanging="316"/>
        <w:spacing w:after="0"/>
        <w:tabs>
          <w:tab w:leader="none" w:pos="540" w:val="left"/>
        </w:tabs>
        <w:numPr>
          <w:ilvl w:val="0"/>
          <w:numId w:val="3"/>
        </w:numPr>
        <w:rPr>
          <w:rFonts w:ascii="Arial" w:cs="Arial" w:eastAsia="Arial" w:hAnsi="Arial"/>
          <w:sz w:val="17"/>
          <w:szCs w:val="17"/>
          <w:color w:val="auto"/>
        </w:rPr>
      </w:pPr>
      <w:r>
        <w:rPr>
          <w:rFonts w:ascii="Arial" w:cs="Arial" w:eastAsia="Arial" w:hAnsi="Arial"/>
          <w:sz w:val="17"/>
          <w:szCs w:val="17"/>
          <w:color w:val="auto"/>
        </w:rPr>
        <w:t>Incorporated by reference to Exhibit 10.1 to the Company’s Registration Statement on Form 8-K filed December 3, 2018 (File no. 000-07647).</w:t>
      </w:r>
    </w:p>
    <w:p>
      <w:pPr>
        <w:spacing w:after="0" w:line="200" w:lineRule="exact"/>
        <w:rPr>
          <w:sz w:val="20"/>
          <w:szCs w:val="20"/>
          <w:color w:val="auto"/>
        </w:rPr>
      </w:pPr>
    </w:p>
    <w:p>
      <w:pPr>
        <w:spacing w:after="0" w:line="26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320"/>
          </w:cols>
          <w:pgMar w:left="240" w:top="584" w:right="339" w:bottom="1440" w:gutter="0" w:footer="0" w:header="0"/>
        </w:sectPr>
      </w:pPr>
    </w:p>
    <w:bookmarkStart w:id="24" w:name="page25"/>
    <w:bookmarkEnd w:id="24"/>
    <w:p>
      <w:pPr>
        <w:jc w:val="center"/>
        <w:ind w:right="-179"/>
        <w:spacing w:after="0"/>
        <w:rPr>
          <w:sz w:val="20"/>
          <w:szCs w:val="20"/>
          <w:color w:val="auto"/>
        </w:rPr>
      </w:pPr>
      <w:r>
        <w:rPr>
          <w:rFonts w:ascii="Arial" w:cs="Arial" w:eastAsia="Arial" w:hAnsi="Arial"/>
          <w:sz w:val="18"/>
          <w:szCs w:val="18"/>
          <w:b w:val="1"/>
          <w:bCs w:val="1"/>
          <w:color w:val="auto"/>
        </w:rPr>
        <w:t>SIGNATURES</w:t>
      </w:r>
    </w:p>
    <w:p>
      <w:pPr>
        <w:spacing w:after="0" w:line="175"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306" w:lineRule="exact"/>
        <w:rPr>
          <w:sz w:val="20"/>
          <w:szCs w:val="20"/>
          <w:color w:val="auto"/>
        </w:rPr>
      </w:pPr>
    </w:p>
    <w:p>
      <w:pPr>
        <w:ind w:left="6420"/>
        <w:spacing w:after="0"/>
        <w:rPr>
          <w:sz w:val="20"/>
          <w:szCs w:val="20"/>
          <w:color w:val="auto"/>
        </w:rPr>
      </w:pPr>
      <w:r>
        <w:rPr>
          <w:rFonts w:ascii="Arial" w:cs="Arial" w:eastAsia="Arial" w:hAnsi="Arial"/>
          <w:sz w:val="18"/>
          <w:szCs w:val="18"/>
          <w:color w:val="auto"/>
        </w:rPr>
        <w:t>HAWKINS, INC.</w:t>
      </w:r>
    </w:p>
    <w:p>
      <w:pPr>
        <w:spacing w:after="0" w:line="185" w:lineRule="exact"/>
        <w:rPr>
          <w:sz w:val="20"/>
          <w:szCs w:val="20"/>
          <w:color w:val="auto"/>
        </w:rPr>
      </w:pPr>
    </w:p>
    <w:p>
      <w:pPr>
        <w:ind w:left="6420"/>
        <w:spacing w:after="0"/>
        <w:tabs>
          <w:tab w:leader="none" w:pos="82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Jeffrey P. Oldenkamp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4490085</wp:posOffset>
            </wp:positionH>
            <wp:positionV relativeFrom="paragraph">
              <wp:posOffset>31750</wp:posOffset>
            </wp:positionV>
            <wp:extent cx="2693035"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40">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57" w:lineRule="exact"/>
        <w:rPr>
          <w:sz w:val="20"/>
          <w:szCs w:val="20"/>
          <w:color w:val="auto"/>
        </w:rPr>
      </w:pPr>
    </w:p>
    <w:p>
      <w:pPr>
        <w:ind w:left="8420"/>
        <w:spacing w:after="0"/>
        <w:rPr>
          <w:sz w:val="20"/>
          <w:szCs w:val="20"/>
          <w:color w:val="auto"/>
        </w:rPr>
      </w:pPr>
      <w:r>
        <w:rPr>
          <w:rFonts w:ascii="Arial" w:cs="Arial" w:eastAsia="Arial" w:hAnsi="Arial"/>
          <w:sz w:val="18"/>
          <w:szCs w:val="18"/>
          <w:color w:val="auto"/>
        </w:rPr>
        <w:t>Jeffrey P. Oldenkamp</w:t>
      </w:r>
    </w:p>
    <w:p>
      <w:pPr>
        <w:spacing w:after="0" w:line="63" w:lineRule="exact"/>
        <w:rPr>
          <w:sz w:val="20"/>
          <w:szCs w:val="20"/>
          <w:color w:val="auto"/>
        </w:rPr>
      </w:pPr>
    </w:p>
    <w:p>
      <w:pPr>
        <w:ind w:left="7260"/>
        <w:spacing w:after="0"/>
        <w:rPr>
          <w:sz w:val="20"/>
          <w:szCs w:val="20"/>
          <w:color w:val="auto"/>
        </w:rPr>
      </w:pPr>
      <w:r>
        <w:rPr>
          <w:rFonts w:ascii="Arial" w:cs="Arial" w:eastAsia="Arial" w:hAnsi="Arial"/>
          <w:sz w:val="16"/>
          <w:szCs w:val="16"/>
          <w:color w:val="auto"/>
        </w:rPr>
        <w:t>Vice President, Chief Financial Officer, and Treasurer</w:t>
      </w:r>
    </w:p>
    <w:p>
      <w:pPr>
        <w:spacing w:after="0" w:line="8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(On behalf of the registrant and as principal financial and</w:t>
      </w:r>
    </w:p>
    <w:p>
      <w:pPr>
        <w:spacing w:after="0" w:line="23" w:lineRule="exact"/>
        <w:rPr>
          <w:sz w:val="20"/>
          <w:szCs w:val="20"/>
          <w:color w:val="auto"/>
        </w:rPr>
      </w:pPr>
    </w:p>
    <w:p>
      <w:pPr>
        <w:ind w:left="8500"/>
        <w:spacing w:after="0"/>
        <w:rPr>
          <w:sz w:val="20"/>
          <w:szCs w:val="20"/>
          <w:color w:val="auto"/>
        </w:rPr>
      </w:pPr>
      <w:r>
        <w:rPr>
          <w:rFonts w:ascii="Arial" w:cs="Arial" w:eastAsia="Arial" w:hAnsi="Arial"/>
          <w:sz w:val="18"/>
          <w:szCs w:val="18"/>
          <w:color w:val="auto"/>
        </w:rPr>
        <w:t>accounting officer)</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Dated: October 30, 2019</w:t>
      </w:r>
    </w:p>
    <w:p>
      <w:pPr>
        <w:sectPr>
          <w:pgSz w:w="11900" w:h="16838" w:orient="portrait"/>
          <w:cols w:equalWidth="0" w:num="1">
            <w:col w:w="11260"/>
          </w:cols>
          <w:pgMar w:left="240" w:top="580" w:right="399" w:bottom="1440" w:gutter="0" w:footer="0" w:header="0"/>
        </w:sectPr>
      </w:pPr>
    </w:p>
    <w:bookmarkStart w:id="25" w:name="page26"/>
    <w:bookmarkEnd w:id="25"/>
    <w:p>
      <w:pPr>
        <w:jc w:val="right"/>
        <w:spacing w:after="0"/>
        <w:rPr>
          <w:sz w:val="20"/>
          <w:szCs w:val="20"/>
          <w:color w:val="auto"/>
        </w:rPr>
      </w:pPr>
      <w:r>
        <w:rPr>
          <w:rFonts w:ascii="Arial" w:cs="Arial" w:eastAsia="Arial" w:hAnsi="Arial"/>
          <w:sz w:val="18"/>
          <w:szCs w:val="18"/>
          <w:b w:val="1"/>
          <w:bCs w:val="1"/>
          <w:color w:val="auto"/>
        </w:rPr>
        <w:t>Exhibit 10.3</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HAWKINS,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2019 EQUITY INCENTIVE PLAN</w:t>
      </w:r>
    </w:p>
    <w:p>
      <w:pPr>
        <w:spacing w:after="0" w:line="207" w:lineRule="exact"/>
        <w:rPr>
          <w:sz w:val="20"/>
          <w:szCs w:val="20"/>
          <w:color w:val="auto"/>
        </w:rPr>
      </w:pPr>
    </w:p>
    <w:p>
      <w:pPr>
        <w:jc w:val="both"/>
        <w:ind w:firstLine="8"/>
        <w:spacing w:after="0" w:line="266" w:lineRule="auto"/>
        <w:tabs>
          <w:tab w:leader="none" w:pos="342"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Purpose</w:t>
      </w:r>
      <w:r>
        <w:rPr>
          <w:rFonts w:ascii="Arial" w:cs="Arial" w:eastAsia="Arial" w:hAnsi="Arial"/>
          <w:sz w:val="18"/>
          <w:szCs w:val="18"/>
          <w:b w:val="1"/>
          <w:bCs w:val="1"/>
          <w:color w:val="auto"/>
        </w:rPr>
        <w:t xml:space="preserve">. </w:t>
      </w:r>
      <w:r>
        <w:rPr>
          <w:rFonts w:ascii="Arial" w:cs="Arial" w:eastAsia="Arial" w:hAnsi="Arial"/>
          <w:sz w:val="18"/>
          <w:szCs w:val="18"/>
          <w:color w:val="auto"/>
        </w:rPr>
        <w:t>The purpose of the Hawkins, Inc. 2019 Equity Incentive Plan (the “Plan”) is to attract and retain the best available personnel for positions of</w:t>
      </w:r>
      <w:r>
        <w:rPr>
          <w:rFonts w:ascii="Arial" w:cs="Arial" w:eastAsia="Arial" w:hAnsi="Arial"/>
          <w:sz w:val="18"/>
          <w:szCs w:val="18"/>
          <w:b w:val="1"/>
          <w:bCs w:val="1"/>
          <w:color w:val="auto"/>
        </w:rPr>
        <w:t xml:space="preserve"> </w:t>
      </w:r>
      <w:r>
        <w:rPr>
          <w:rFonts w:ascii="Arial" w:cs="Arial" w:eastAsia="Arial" w:hAnsi="Arial"/>
          <w:sz w:val="18"/>
          <w:szCs w:val="18"/>
          <w:color w:val="auto"/>
        </w:rPr>
        <w:t>responsibility with the Company, to provide additional incentives to them and align their interests with those of the Company’s shareholders, and to thereby promote the Company’s long-term business success.</w:t>
      </w:r>
    </w:p>
    <w:p>
      <w:pPr>
        <w:spacing w:after="0" w:line="176" w:lineRule="exact"/>
        <w:rPr>
          <w:rFonts w:ascii="Arial" w:cs="Arial" w:eastAsia="Arial" w:hAnsi="Arial"/>
          <w:sz w:val="18"/>
          <w:szCs w:val="18"/>
          <w:b w:val="1"/>
          <w:bCs w:val="1"/>
          <w:color w:val="auto"/>
        </w:rPr>
      </w:pPr>
    </w:p>
    <w:p>
      <w:pPr>
        <w:ind w:left="320" w:hanging="312"/>
        <w:spacing w:after="0"/>
        <w:tabs>
          <w:tab w:leader="none" w:pos="32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Definitions</w:t>
      </w:r>
      <w:r>
        <w:rPr>
          <w:rFonts w:ascii="Arial" w:cs="Arial" w:eastAsia="Arial" w:hAnsi="Arial"/>
          <w:sz w:val="18"/>
          <w:szCs w:val="18"/>
          <w:b w:val="1"/>
          <w:bCs w:val="1"/>
          <w:color w:val="auto"/>
        </w:rPr>
        <w:t xml:space="preserve">. </w:t>
      </w:r>
      <w:r>
        <w:rPr>
          <w:rFonts w:ascii="Arial" w:cs="Arial" w:eastAsia="Arial" w:hAnsi="Arial"/>
          <w:sz w:val="18"/>
          <w:szCs w:val="18"/>
          <w:color w:val="auto"/>
        </w:rPr>
        <w:t>In this Plan, the following definitions will apply.</w:t>
      </w:r>
    </w:p>
    <w:p>
      <w:pPr>
        <w:spacing w:after="0" w:line="229" w:lineRule="exact"/>
        <w:rPr>
          <w:rFonts w:ascii="Arial" w:cs="Arial" w:eastAsia="Arial" w:hAnsi="Arial"/>
          <w:sz w:val="18"/>
          <w:szCs w:val="18"/>
          <w:b w:val="1"/>
          <w:bCs w:val="1"/>
          <w:color w:val="auto"/>
        </w:rPr>
      </w:pPr>
    </w:p>
    <w:p>
      <w:pPr>
        <w:ind w:left="980" w:hanging="378"/>
        <w:spacing w:after="0"/>
        <w:tabs>
          <w:tab w:leader="none" w:pos="980" w:val="left"/>
        </w:tabs>
        <w:numPr>
          <w:ilvl w:val="1"/>
          <w:numId w:val="4"/>
        </w:numPr>
        <w:rPr>
          <w:rFonts w:ascii="Arial" w:cs="Arial" w:eastAsia="Arial" w:hAnsi="Arial"/>
          <w:sz w:val="18"/>
          <w:szCs w:val="18"/>
          <w:color w:val="auto"/>
        </w:rPr>
      </w:pPr>
      <w:r>
        <w:rPr>
          <w:rFonts w:ascii="Arial" w:cs="Arial" w:eastAsia="Arial" w:hAnsi="Arial"/>
          <w:sz w:val="18"/>
          <w:szCs w:val="18"/>
          <w:color w:val="auto"/>
        </w:rPr>
        <w:t>“Affiliate” means any entity that is a Subsidiary of the Company.</w:t>
      </w:r>
    </w:p>
    <w:p>
      <w:pPr>
        <w:spacing w:after="0" w:line="225" w:lineRule="exact"/>
        <w:rPr>
          <w:rFonts w:ascii="Arial" w:cs="Arial" w:eastAsia="Arial" w:hAnsi="Arial"/>
          <w:sz w:val="18"/>
          <w:szCs w:val="18"/>
          <w:color w:val="auto"/>
        </w:rPr>
      </w:pPr>
    </w:p>
    <w:p>
      <w:pPr>
        <w:ind w:firstLine="602"/>
        <w:spacing w:after="0" w:line="277" w:lineRule="auto"/>
        <w:tabs>
          <w:tab w:leader="none" w:pos="989" w:val="left"/>
        </w:tabs>
        <w:numPr>
          <w:ilvl w:val="1"/>
          <w:numId w:val="4"/>
        </w:numPr>
        <w:rPr>
          <w:rFonts w:ascii="Arial" w:cs="Arial" w:eastAsia="Arial" w:hAnsi="Arial"/>
          <w:sz w:val="18"/>
          <w:szCs w:val="18"/>
          <w:color w:val="auto"/>
        </w:rPr>
      </w:pPr>
      <w:r>
        <w:rPr>
          <w:rFonts w:ascii="Arial" w:cs="Arial" w:eastAsia="Arial" w:hAnsi="Arial"/>
          <w:sz w:val="18"/>
          <w:szCs w:val="18"/>
          <w:color w:val="auto"/>
        </w:rPr>
        <w:t>“Agreement” means the written or electronic agreement, notice or other document containing the terms and conditions applicable to each Award granted under the Plan, including all amendments thereto. An Agreement is subject to the terms and conditions of the Plan.</w:t>
      </w:r>
    </w:p>
    <w:p>
      <w:pPr>
        <w:spacing w:after="0" w:line="170" w:lineRule="exact"/>
        <w:rPr>
          <w:rFonts w:ascii="Arial" w:cs="Arial" w:eastAsia="Arial" w:hAnsi="Arial"/>
          <w:sz w:val="18"/>
          <w:szCs w:val="18"/>
          <w:color w:val="auto"/>
        </w:rPr>
      </w:pPr>
    </w:p>
    <w:p>
      <w:pPr>
        <w:ind w:firstLine="602"/>
        <w:spacing w:after="0" w:line="277" w:lineRule="auto"/>
        <w:tabs>
          <w:tab w:leader="none" w:pos="1038" w:val="left"/>
        </w:tabs>
        <w:numPr>
          <w:ilvl w:val="1"/>
          <w:numId w:val="4"/>
        </w:numPr>
        <w:rPr>
          <w:rFonts w:ascii="Arial" w:cs="Arial" w:eastAsia="Arial" w:hAnsi="Arial"/>
          <w:sz w:val="18"/>
          <w:szCs w:val="18"/>
          <w:color w:val="auto"/>
        </w:rPr>
      </w:pPr>
      <w:r>
        <w:rPr>
          <w:rFonts w:ascii="Arial" w:cs="Arial" w:eastAsia="Arial" w:hAnsi="Arial"/>
          <w:sz w:val="18"/>
          <w:szCs w:val="18"/>
          <w:color w:val="auto"/>
        </w:rPr>
        <w:t>“Award” means a grant made under the Plan in the form of Options, Stock Appreciation Rights, Restricted Stock, Stock Units or any Other Stock-Based Award.</w:t>
      </w:r>
    </w:p>
    <w:p>
      <w:pPr>
        <w:spacing w:after="0" w:line="170" w:lineRule="exact"/>
        <w:rPr>
          <w:rFonts w:ascii="Arial" w:cs="Arial" w:eastAsia="Arial" w:hAnsi="Arial"/>
          <w:sz w:val="18"/>
          <w:szCs w:val="18"/>
          <w:color w:val="auto"/>
        </w:rPr>
      </w:pPr>
    </w:p>
    <w:p>
      <w:pPr>
        <w:ind w:left="1000" w:hanging="398"/>
        <w:spacing w:after="0"/>
        <w:tabs>
          <w:tab w:leader="none" w:pos="1000" w:val="left"/>
        </w:tabs>
        <w:numPr>
          <w:ilvl w:val="1"/>
          <w:numId w:val="4"/>
        </w:numPr>
        <w:rPr>
          <w:rFonts w:ascii="Arial" w:cs="Arial" w:eastAsia="Arial" w:hAnsi="Arial"/>
          <w:sz w:val="18"/>
          <w:szCs w:val="18"/>
          <w:color w:val="auto"/>
        </w:rPr>
      </w:pPr>
      <w:r>
        <w:rPr>
          <w:rFonts w:ascii="Arial" w:cs="Arial" w:eastAsia="Arial" w:hAnsi="Arial"/>
          <w:sz w:val="18"/>
          <w:szCs w:val="18"/>
          <w:color w:val="auto"/>
        </w:rPr>
        <w:t>“Board” means the Board of Directors of the Company.</w:t>
      </w:r>
    </w:p>
    <w:p>
      <w:pPr>
        <w:spacing w:after="0" w:line="225" w:lineRule="exact"/>
        <w:rPr>
          <w:rFonts w:ascii="Arial" w:cs="Arial" w:eastAsia="Arial" w:hAnsi="Arial"/>
          <w:sz w:val="18"/>
          <w:szCs w:val="18"/>
          <w:color w:val="auto"/>
        </w:rPr>
      </w:pPr>
    </w:p>
    <w:p>
      <w:pPr>
        <w:jc w:val="both"/>
        <w:ind w:firstLine="602"/>
        <w:spacing w:after="0" w:line="254" w:lineRule="auto"/>
        <w:tabs>
          <w:tab w:leader="none" w:pos="1105" w:val="left"/>
        </w:tabs>
        <w:numPr>
          <w:ilvl w:val="1"/>
          <w:numId w:val="4"/>
        </w:numPr>
        <w:rPr>
          <w:rFonts w:ascii="Arial" w:cs="Arial" w:eastAsia="Arial" w:hAnsi="Arial"/>
          <w:sz w:val="18"/>
          <w:szCs w:val="18"/>
          <w:color w:val="auto"/>
        </w:rPr>
      </w:pPr>
      <w:r>
        <w:rPr>
          <w:rFonts w:ascii="Arial" w:cs="Arial" w:eastAsia="Arial" w:hAnsi="Arial"/>
          <w:sz w:val="18"/>
          <w:szCs w:val="18"/>
          <w:color w:val="auto"/>
        </w:rPr>
        <w:t>“Cause” means, unless otherwise defined in a then-effective written agreement (including an Agreement) between a Participant and the Company or any Affiliate, a Participant’s (i) failure to perform satisfactorily the duties reasonably required of the Participant by the Company (other than by reason of Disability); (ii) material violation of any law, rule, regulation, court order or regulatory directive (other than traffic violations, misdemeanors or other minor offenses); (iii) material breach of the Company’s business conduct or ethics code or of any fiduciary duty or nondisclosure, non-solicitation, non-competition or similar obligation owed to the Company or any Affiliate; (iv) engaging in any act or practice that involves personal dishonesty on the part of the Participant or demonstrates a willful and continuing disregard for the best interests of the Company and its Affiliates; or (v) engaging in dishonorable or disruptive behavior, practices or acts which would be reasonably expected to harm or bring disrepute to the Company or any of its Affiliates, their business or any of their customers, employees or vendors.</w:t>
      </w:r>
    </w:p>
    <w:p>
      <w:pPr>
        <w:spacing w:after="0" w:line="192" w:lineRule="exact"/>
        <w:rPr>
          <w:rFonts w:ascii="Arial" w:cs="Arial" w:eastAsia="Arial" w:hAnsi="Arial"/>
          <w:sz w:val="18"/>
          <w:szCs w:val="18"/>
          <w:color w:val="auto"/>
        </w:rPr>
      </w:pPr>
    </w:p>
    <w:p>
      <w:pPr>
        <w:ind w:firstLine="656"/>
        <w:spacing w:after="0" w:line="277" w:lineRule="auto"/>
        <w:tabs>
          <w:tab w:leader="none" w:pos="1013" w:val="left"/>
        </w:tabs>
        <w:numPr>
          <w:ilvl w:val="2"/>
          <w:numId w:val="4"/>
        </w:numPr>
        <w:rPr>
          <w:rFonts w:ascii="Arial" w:cs="Arial" w:eastAsia="Arial" w:hAnsi="Arial"/>
          <w:sz w:val="18"/>
          <w:szCs w:val="18"/>
          <w:color w:val="auto"/>
        </w:rPr>
      </w:pPr>
      <w:r>
        <w:rPr>
          <w:rFonts w:ascii="Arial" w:cs="Arial" w:eastAsia="Arial" w:hAnsi="Arial"/>
          <w:sz w:val="18"/>
          <w:szCs w:val="18"/>
          <w:color w:val="auto"/>
        </w:rPr>
        <w:t>“Change in Control” means, unless otherwise defined in a then-effective written agreement (including an Agreement) between a Participant and the Company or any Affiliate, one of the following:</w:t>
      </w:r>
    </w:p>
    <w:p>
      <w:pPr>
        <w:spacing w:after="0" w:line="170" w:lineRule="exact"/>
        <w:rPr>
          <w:rFonts w:ascii="Arial" w:cs="Arial" w:eastAsia="Arial" w:hAnsi="Arial"/>
          <w:sz w:val="18"/>
          <w:szCs w:val="18"/>
          <w:color w:val="auto"/>
        </w:rPr>
      </w:pPr>
    </w:p>
    <w:p>
      <w:pPr>
        <w:jc w:val="both"/>
        <w:ind w:firstLine="1305"/>
        <w:spacing w:after="0" w:line="264" w:lineRule="auto"/>
        <w:tabs>
          <w:tab w:leader="none" w:pos="1715" w:val="left"/>
        </w:tabs>
        <w:numPr>
          <w:ilvl w:val="3"/>
          <w:numId w:val="4"/>
        </w:numPr>
        <w:rPr>
          <w:rFonts w:ascii="Arial" w:cs="Arial" w:eastAsia="Arial" w:hAnsi="Arial"/>
          <w:sz w:val="18"/>
          <w:szCs w:val="18"/>
          <w:color w:val="auto"/>
        </w:rPr>
      </w:pPr>
      <w:r>
        <w:rPr>
          <w:rFonts w:ascii="Arial" w:cs="Arial" w:eastAsia="Arial" w:hAnsi="Arial"/>
          <w:sz w:val="18"/>
          <w:szCs w:val="18"/>
          <w:color w:val="auto"/>
        </w:rPr>
        <w:t>An Exchange Act Person becomes the beneficial owner (within the meaning of Rule 13d-3 under the Exchange Act) of securities of the Company representing more than 50% of the combined voting power of the Company’s then outstanding Voting Securities, except that the following will not constitute a Change in Control:</w:t>
      </w:r>
    </w:p>
    <w:p>
      <w:pPr>
        <w:spacing w:after="0" w:line="181" w:lineRule="exact"/>
        <w:rPr>
          <w:rFonts w:ascii="Arial" w:cs="Arial" w:eastAsia="Arial" w:hAnsi="Arial"/>
          <w:sz w:val="18"/>
          <w:szCs w:val="18"/>
          <w:color w:val="auto"/>
        </w:rPr>
      </w:pPr>
    </w:p>
    <w:p>
      <w:pPr>
        <w:ind w:left="2440" w:hanging="487"/>
        <w:spacing w:after="0"/>
        <w:tabs>
          <w:tab w:leader="none" w:pos="2440" w:val="left"/>
        </w:tabs>
        <w:numPr>
          <w:ilvl w:val="4"/>
          <w:numId w:val="4"/>
        </w:numPr>
        <w:rPr>
          <w:rFonts w:ascii="Arial" w:cs="Arial" w:eastAsia="Arial" w:hAnsi="Arial"/>
          <w:sz w:val="16"/>
          <w:szCs w:val="16"/>
          <w:color w:val="auto"/>
        </w:rPr>
      </w:pPr>
      <w:r>
        <w:rPr>
          <w:rFonts w:ascii="Arial" w:cs="Arial" w:eastAsia="Arial" w:hAnsi="Arial"/>
          <w:sz w:val="16"/>
          <w:szCs w:val="16"/>
          <w:color w:val="auto"/>
        </w:rPr>
        <w:t>any acquisition of securities of the Company by an Exchange Act Person from the Company for the purpose of providing</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financing to the Company;</w:t>
      </w:r>
    </w:p>
    <w:p>
      <w:pPr>
        <w:spacing w:after="0" w:line="210" w:lineRule="exact"/>
        <w:rPr>
          <w:rFonts w:ascii="Arial" w:cs="Arial" w:eastAsia="Arial" w:hAnsi="Arial"/>
          <w:sz w:val="16"/>
          <w:szCs w:val="16"/>
          <w:color w:val="auto"/>
        </w:rPr>
      </w:pPr>
    </w:p>
    <w:p>
      <w:pPr>
        <w:ind w:left="2400" w:hanging="447"/>
        <w:spacing w:after="0"/>
        <w:tabs>
          <w:tab w:leader="none" w:pos="2400" w:val="left"/>
        </w:tabs>
        <w:numPr>
          <w:ilvl w:val="4"/>
          <w:numId w:val="4"/>
        </w:numPr>
        <w:rPr>
          <w:rFonts w:ascii="Arial" w:cs="Arial" w:eastAsia="Arial" w:hAnsi="Arial"/>
          <w:sz w:val="16"/>
          <w:szCs w:val="16"/>
          <w:color w:val="auto"/>
        </w:rPr>
      </w:pPr>
      <w:r>
        <w:rPr>
          <w:rFonts w:ascii="Arial" w:cs="Arial" w:eastAsia="Arial" w:hAnsi="Arial"/>
          <w:sz w:val="16"/>
          <w:szCs w:val="16"/>
          <w:color w:val="auto"/>
        </w:rPr>
        <w:t>any formation of a Group consisting solely of beneficial owners of the Company’s Voting Securities as of the effective date</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of this Plan; or</w:t>
      </w:r>
    </w:p>
    <w:p>
      <w:pPr>
        <w:spacing w:after="0" w:line="210" w:lineRule="exact"/>
        <w:rPr>
          <w:rFonts w:ascii="Arial" w:cs="Arial" w:eastAsia="Arial" w:hAnsi="Arial"/>
          <w:sz w:val="16"/>
          <w:szCs w:val="16"/>
          <w:color w:val="auto"/>
        </w:rPr>
      </w:pPr>
    </w:p>
    <w:p>
      <w:pPr>
        <w:ind w:right="20" w:firstLine="1953"/>
        <w:spacing w:after="0" w:line="277" w:lineRule="auto"/>
        <w:tabs>
          <w:tab w:leader="none" w:pos="2376" w:val="left"/>
        </w:tabs>
        <w:numPr>
          <w:ilvl w:val="4"/>
          <w:numId w:val="4"/>
        </w:numPr>
        <w:rPr>
          <w:rFonts w:ascii="Arial" w:cs="Arial" w:eastAsia="Arial" w:hAnsi="Arial"/>
          <w:sz w:val="18"/>
          <w:szCs w:val="18"/>
          <w:color w:val="auto"/>
        </w:rPr>
      </w:pPr>
      <w:r>
        <w:rPr>
          <w:rFonts w:ascii="Arial" w:cs="Arial" w:eastAsia="Arial" w:hAnsi="Arial"/>
          <w:sz w:val="18"/>
          <w:szCs w:val="18"/>
          <w:color w:val="auto"/>
        </w:rPr>
        <w:t>any repurchase or other acquisition by the Company of its Voting Securities that causes any Exchange Act Person to become the beneficial owner of more than 50% of the Company’s Voting Securities.</w:t>
      </w:r>
    </w:p>
    <w:p>
      <w:pPr>
        <w:spacing w:after="0" w:line="17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If, however, an Exchange Act Person or Group referenced in clause (A), (B) or (C) above acquires beneficial ownership of additional Company Voting Securities after initially becoming the beneficial owner of more than 50% of the combined voting power of the Company’s Voting Securities by one of the means described in those clauses, then a Change in Control will be deemed to have occurred. Furthermore, a Change in Control will occur if a Person becomes the beneficial owner of more than 50% of the Company’s Voting Securities as the result of a Corporate Transaction only if the Corporate Transaction is itself a Change in Control pursuant to subsection 2(f)(3).</w:t>
      </w:r>
    </w:p>
    <w:p>
      <w:pPr>
        <w:spacing w:after="0" w:line="188" w:lineRule="exact"/>
        <w:rPr>
          <w:sz w:val="20"/>
          <w:szCs w:val="20"/>
          <w:color w:val="auto"/>
        </w:rPr>
      </w:pPr>
    </w:p>
    <w:p>
      <w:pPr>
        <w:ind w:left="1700" w:hanging="395"/>
        <w:spacing w:after="0"/>
        <w:tabs>
          <w:tab w:leader="none" w:pos="1700" w:val="left"/>
        </w:tabs>
        <w:numPr>
          <w:ilvl w:val="0"/>
          <w:numId w:val="5"/>
        </w:numPr>
        <w:rPr>
          <w:rFonts w:ascii="Arial" w:cs="Arial" w:eastAsia="Arial" w:hAnsi="Arial"/>
          <w:sz w:val="18"/>
          <w:szCs w:val="18"/>
          <w:color w:val="auto"/>
        </w:rPr>
      </w:pPr>
      <w:r>
        <w:rPr>
          <w:rFonts w:ascii="Arial" w:cs="Arial" w:eastAsia="Arial" w:hAnsi="Arial"/>
          <w:sz w:val="18"/>
          <w:szCs w:val="18"/>
          <w:color w:val="auto"/>
        </w:rPr>
        <w:t>Individuals who are Continuing Directors cease for any reason to constitute a majority of the members of the Board.</w:t>
      </w:r>
    </w:p>
    <w:p>
      <w:pPr>
        <w:spacing w:after="0" w:line="225" w:lineRule="exact"/>
        <w:rPr>
          <w:rFonts w:ascii="Arial" w:cs="Arial" w:eastAsia="Arial" w:hAnsi="Arial"/>
          <w:sz w:val="18"/>
          <w:szCs w:val="18"/>
          <w:color w:val="auto"/>
        </w:rPr>
      </w:pPr>
    </w:p>
    <w:p>
      <w:pPr>
        <w:ind w:right="20" w:firstLine="1305"/>
        <w:spacing w:after="0" w:line="277" w:lineRule="auto"/>
        <w:tabs>
          <w:tab w:leader="none" w:pos="1741" w:val="left"/>
        </w:tabs>
        <w:numPr>
          <w:ilvl w:val="0"/>
          <w:numId w:val="5"/>
        </w:numPr>
        <w:rPr>
          <w:rFonts w:ascii="Arial" w:cs="Arial" w:eastAsia="Arial" w:hAnsi="Arial"/>
          <w:sz w:val="18"/>
          <w:szCs w:val="18"/>
          <w:color w:val="auto"/>
        </w:rPr>
      </w:pPr>
      <w:r>
        <w:rPr>
          <w:rFonts w:ascii="Arial" w:cs="Arial" w:eastAsia="Arial" w:hAnsi="Arial"/>
          <w:sz w:val="18"/>
          <w:szCs w:val="18"/>
          <w:color w:val="auto"/>
        </w:rPr>
        <w:t>A Corporate Transaction is consummated, unless, immediately following such Corporate Transaction, all or substantially all of the individuals and entities who were the beneficial owners of the Company's Voting Securities immediately</w:t>
      </w:r>
    </w:p>
    <w:p>
      <w:pPr>
        <w:sectPr>
          <w:pgSz w:w="11900" w:h="16838" w:orient="portrait"/>
          <w:cols w:equalWidth="0" w:num="1">
            <w:col w:w="11420"/>
          </w:cols>
          <w:pgMar w:left="240" w:top="580" w:right="239" w:bottom="1440" w:gutter="0" w:footer="0" w:header="0"/>
        </w:sectPr>
      </w:pPr>
    </w:p>
    <w:bookmarkStart w:id="26" w:name="page27"/>
    <w:bookmarkEnd w:id="26"/>
    <w:p>
      <w:pPr>
        <w:jc w:val="both"/>
        <w:ind w:right="20"/>
        <w:spacing w:after="0" w:line="286" w:lineRule="auto"/>
        <w:rPr>
          <w:sz w:val="20"/>
          <w:szCs w:val="20"/>
          <w:color w:val="auto"/>
        </w:rPr>
      </w:pPr>
      <w:r>
        <w:rPr>
          <w:rFonts w:ascii="Arial" w:cs="Arial" w:eastAsia="Arial" w:hAnsi="Arial"/>
          <w:sz w:val="17"/>
          <w:szCs w:val="17"/>
          <w:color w:val="auto"/>
        </w:rPr>
        <w:t>prior to such Corporate Transaction beneficially own, directly or indirectly, more than 50% of the combined voting power of the then outstanding Voting Securities of the surviving or acquiring entity resulting from such Corporate Transaction (including beneficial ownership through any Parent of such entity) in substantially the same proportions as their ownership, immediately prior to such Corporate Transaction, of the Company's Voting Securities.</w:t>
      </w:r>
    </w:p>
    <w:p>
      <w:pPr>
        <w:spacing w:after="0" w:line="16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Notwithstanding the foregoing, to the extent that any Award constitutes a deferral of compensation subject to Code Section 409A, and if that Award provides for a change in the time or form of payment upon a Change in Control, then no Change in Control shall be deemed to have occurred upon an event described in this Section 2(f) unless the event would also constitute a change in ownership or effective control of, or a change in the ownership of a substantial portion of the assets of, the Company under Code Section 409A.</w:t>
      </w:r>
    </w:p>
    <w:p>
      <w:pPr>
        <w:spacing w:after="0" w:line="187" w:lineRule="exact"/>
        <w:rPr>
          <w:sz w:val="20"/>
          <w:szCs w:val="20"/>
          <w:color w:val="auto"/>
        </w:rPr>
      </w:pPr>
    </w:p>
    <w:p>
      <w:pPr>
        <w:ind w:firstLine="602"/>
        <w:spacing w:after="0" w:line="308" w:lineRule="auto"/>
        <w:tabs>
          <w:tab w:leader="none" w:pos="1002" w:val="left"/>
        </w:tabs>
        <w:numPr>
          <w:ilvl w:val="1"/>
          <w:numId w:val="6"/>
        </w:numPr>
        <w:rPr>
          <w:rFonts w:ascii="Arial" w:cs="Arial" w:eastAsia="Arial" w:hAnsi="Arial"/>
          <w:sz w:val="17"/>
          <w:szCs w:val="17"/>
          <w:color w:val="auto"/>
        </w:rPr>
      </w:pPr>
      <w:r>
        <w:rPr>
          <w:rFonts w:ascii="Arial" w:cs="Arial" w:eastAsia="Arial" w:hAnsi="Arial"/>
          <w:sz w:val="17"/>
          <w:szCs w:val="17"/>
          <w:color w:val="auto"/>
        </w:rPr>
        <w:t>“Code” means the Internal Revenue Code of 1986, as amended and in effect from time to time. For purposes of the Plan, references to sections of the Code shall be deemed to include any applicable regulations thereunder and any successor or similar statutory provisions.</w:t>
      </w:r>
    </w:p>
    <w:p>
      <w:pPr>
        <w:spacing w:after="0" w:line="146" w:lineRule="exact"/>
        <w:rPr>
          <w:rFonts w:ascii="Arial" w:cs="Arial" w:eastAsia="Arial" w:hAnsi="Arial"/>
          <w:sz w:val="17"/>
          <w:szCs w:val="17"/>
          <w:color w:val="auto"/>
        </w:rPr>
      </w:pPr>
    </w:p>
    <w:p>
      <w:pPr>
        <w:jc w:val="both"/>
        <w:ind w:firstLine="602"/>
        <w:spacing w:after="0" w:line="221" w:lineRule="exact"/>
        <w:tabs>
          <w:tab w:leader="none" w:pos="1040" w:val="left"/>
        </w:tabs>
        <w:numPr>
          <w:ilvl w:val="1"/>
          <w:numId w:val="6"/>
        </w:numPr>
        <w:rPr>
          <w:rFonts w:ascii="Arial" w:cs="Arial" w:eastAsia="Arial" w:hAnsi="Arial"/>
          <w:sz w:val="18"/>
          <w:szCs w:val="18"/>
          <w:color w:val="auto"/>
        </w:rPr>
      </w:pPr>
      <w:r>
        <w:rPr>
          <w:rFonts w:ascii="Arial" w:cs="Arial" w:eastAsia="Arial" w:hAnsi="Arial"/>
          <w:sz w:val="18"/>
          <w:szCs w:val="18"/>
          <w:color w:val="auto"/>
        </w:rPr>
        <w:t>“Committee” means two or more Non</w:t>
      </w:r>
      <w:r>
        <w:rPr>
          <w:rFonts w:ascii="MS PGothic" w:cs="MS PGothic" w:eastAsia="MS PGothic" w:hAnsi="MS PGothic"/>
          <w:sz w:val="18"/>
          <w:szCs w:val="18"/>
          <w:color w:val="auto"/>
        </w:rPr>
        <w:t>‑</w:t>
      </w:r>
      <w:r>
        <w:rPr>
          <w:rFonts w:ascii="Arial" w:cs="Arial" w:eastAsia="Arial" w:hAnsi="Arial"/>
          <w:sz w:val="18"/>
          <w:szCs w:val="18"/>
          <w:color w:val="auto"/>
        </w:rPr>
        <w:t>Employee Directors designated by the Board to administer the Plan under Section 3, each member of which shall be (i) an independent director within the meaning of applicable stock exchange rules and regulations and (ii) a non-employee director within the meaning of Exchange Act Rule 16b-3.</w:t>
      </w:r>
    </w:p>
    <w:p>
      <w:pPr>
        <w:spacing w:after="0" w:line="201" w:lineRule="exact"/>
        <w:rPr>
          <w:rFonts w:ascii="Arial" w:cs="Arial" w:eastAsia="Arial" w:hAnsi="Arial"/>
          <w:sz w:val="18"/>
          <w:szCs w:val="18"/>
          <w:color w:val="auto"/>
        </w:rPr>
      </w:pPr>
    </w:p>
    <w:p>
      <w:pPr>
        <w:ind w:left="960" w:hanging="358"/>
        <w:spacing w:after="0"/>
        <w:tabs>
          <w:tab w:leader="none" w:pos="960" w:val="left"/>
        </w:tabs>
        <w:numPr>
          <w:ilvl w:val="1"/>
          <w:numId w:val="6"/>
        </w:numPr>
        <w:rPr>
          <w:rFonts w:ascii="Arial" w:cs="Arial" w:eastAsia="Arial" w:hAnsi="Arial"/>
          <w:sz w:val="18"/>
          <w:szCs w:val="18"/>
          <w:color w:val="auto"/>
        </w:rPr>
      </w:pPr>
      <w:r>
        <w:rPr>
          <w:rFonts w:ascii="Arial" w:cs="Arial" w:eastAsia="Arial" w:hAnsi="Arial"/>
          <w:sz w:val="18"/>
          <w:szCs w:val="18"/>
          <w:color w:val="auto"/>
        </w:rPr>
        <w:t>“Company” means Hawkins, Inc., a Minnesota corporation, and any successor thereto.</w:t>
      </w:r>
    </w:p>
    <w:p>
      <w:pPr>
        <w:spacing w:after="0" w:line="225" w:lineRule="exact"/>
        <w:rPr>
          <w:rFonts w:ascii="Arial" w:cs="Arial" w:eastAsia="Arial" w:hAnsi="Arial"/>
          <w:sz w:val="18"/>
          <w:szCs w:val="18"/>
          <w:color w:val="auto"/>
        </w:rPr>
      </w:pPr>
    </w:p>
    <w:p>
      <w:pPr>
        <w:jc w:val="both"/>
        <w:ind w:firstLine="575"/>
        <w:spacing w:after="0" w:line="257" w:lineRule="auto"/>
        <w:tabs>
          <w:tab w:leader="none" w:pos="982" w:val="left"/>
        </w:tabs>
        <w:numPr>
          <w:ilvl w:val="0"/>
          <w:numId w:val="7"/>
        </w:numPr>
        <w:rPr>
          <w:rFonts w:ascii="Arial" w:cs="Arial" w:eastAsia="Arial" w:hAnsi="Arial"/>
          <w:sz w:val="18"/>
          <w:szCs w:val="18"/>
          <w:color w:val="auto"/>
        </w:rPr>
      </w:pPr>
      <w:r>
        <w:rPr>
          <w:rFonts w:ascii="Arial" w:cs="Arial" w:eastAsia="Arial" w:hAnsi="Arial"/>
          <w:sz w:val="18"/>
          <w:szCs w:val="18"/>
          <w:color w:val="auto"/>
        </w:rPr>
        <w:t>“Continuing Director” means an individual (i) who is, as of the effective date of the Plan, a director of the Company, or (ii) who becomes a director of the Company after the effective date hereof and whose initial election, or nomination for election by the Company’s shareholders, was approved by at least a majority of the then Continuing Directors, but excluding, for purposes of this clause (ii), an individual whose initial assumption of office occurs as the result of an actual proxy contest involving the solicitation of proxies or consents by a person or Group other than the Board, or by reason of an agreement intended to avoid or settle an actual or threatened proxy contest.</w:t>
      </w:r>
    </w:p>
    <w:p>
      <w:pPr>
        <w:spacing w:after="0" w:line="188" w:lineRule="exact"/>
        <w:rPr>
          <w:rFonts w:ascii="Arial" w:cs="Arial" w:eastAsia="Arial" w:hAnsi="Arial"/>
          <w:sz w:val="18"/>
          <w:szCs w:val="18"/>
          <w:color w:val="auto"/>
        </w:rPr>
      </w:pPr>
    </w:p>
    <w:p>
      <w:pPr>
        <w:ind w:firstLine="602"/>
        <w:spacing w:after="0" w:line="277" w:lineRule="auto"/>
        <w:tabs>
          <w:tab w:leader="none" w:pos="1118" w:val="left"/>
        </w:tabs>
        <w:numPr>
          <w:ilvl w:val="1"/>
          <w:numId w:val="7"/>
        </w:numPr>
        <w:rPr>
          <w:rFonts w:ascii="Arial" w:cs="Arial" w:eastAsia="Arial" w:hAnsi="Arial"/>
          <w:sz w:val="18"/>
          <w:szCs w:val="18"/>
          <w:color w:val="auto"/>
        </w:rPr>
      </w:pPr>
      <w:r>
        <w:rPr>
          <w:rFonts w:ascii="Arial" w:cs="Arial" w:eastAsia="Arial" w:hAnsi="Arial"/>
          <w:sz w:val="18"/>
          <w:szCs w:val="18"/>
          <w:color w:val="auto"/>
        </w:rPr>
        <w:t>“Corporate Transaction” means (i) a sale or other disposition of all or substantially all of the assets of the Company, or (ii) a merger, consolidation, share exchange or similar transaction involving the Company, regardless of whether the Company is the surviving entity.</w:t>
      </w:r>
    </w:p>
    <w:p>
      <w:pPr>
        <w:spacing w:after="0" w:line="170" w:lineRule="exact"/>
        <w:rPr>
          <w:rFonts w:ascii="Arial" w:cs="Arial" w:eastAsia="Arial" w:hAnsi="Arial"/>
          <w:sz w:val="18"/>
          <w:szCs w:val="18"/>
          <w:color w:val="auto"/>
        </w:rPr>
      </w:pPr>
    </w:p>
    <w:p>
      <w:pPr>
        <w:jc w:val="both"/>
        <w:ind w:firstLine="602"/>
        <w:spacing w:after="0" w:line="291" w:lineRule="auto"/>
        <w:tabs>
          <w:tab w:leader="none" w:pos="1005" w:val="left"/>
        </w:tabs>
        <w:numPr>
          <w:ilvl w:val="1"/>
          <w:numId w:val="7"/>
        </w:numPr>
        <w:rPr>
          <w:rFonts w:ascii="Arial" w:cs="Arial" w:eastAsia="Arial" w:hAnsi="Arial"/>
          <w:sz w:val="16"/>
          <w:szCs w:val="16"/>
          <w:color w:val="auto"/>
        </w:rPr>
      </w:pPr>
      <w:r>
        <w:rPr>
          <w:rFonts w:ascii="Arial" w:cs="Arial" w:eastAsia="Arial" w:hAnsi="Arial"/>
          <w:sz w:val="16"/>
          <w:szCs w:val="16"/>
          <w:color w:val="auto"/>
        </w:rPr>
        <w:t>“Disability” means (A) any permanent and total disability under any long-term disability plan or policy of the Company or its Affiliates that covers the Participant, or (B) if there is no such long-term disability plan or policy, “total and permanent disability” within the meaning of Code Section 22(e)</w:t>
      </w:r>
    </w:p>
    <w:p>
      <w:pPr>
        <w:spacing w:after="0"/>
        <w:rPr>
          <w:rFonts w:ascii="Arial" w:cs="Arial" w:eastAsia="Arial" w:hAnsi="Arial"/>
          <w:sz w:val="16"/>
          <w:szCs w:val="16"/>
          <w:color w:val="auto"/>
        </w:rPr>
      </w:pPr>
      <w:r>
        <w:rPr>
          <w:rFonts w:ascii="Arial" w:cs="Arial" w:eastAsia="Arial" w:hAnsi="Arial"/>
          <w:sz w:val="18"/>
          <w:szCs w:val="18"/>
          <w:color w:val="auto"/>
        </w:rPr>
        <w:t>(3).</w:t>
      </w:r>
    </w:p>
    <w:p>
      <w:pPr>
        <w:spacing w:after="0" w:line="210" w:lineRule="exact"/>
        <w:rPr>
          <w:rFonts w:ascii="Arial" w:cs="Arial" w:eastAsia="Arial" w:hAnsi="Arial"/>
          <w:sz w:val="16"/>
          <w:szCs w:val="16"/>
          <w:color w:val="auto"/>
        </w:rPr>
      </w:pPr>
    </w:p>
    <w:p>
      <w:pPr>
        <w:ind w:left="1040" w:hanging="438"/>
        <w:spacing w:after="0"/>
        <w:tabs>
          <w:tab w:leader="none" w:pos="1040" w:val="left"/>
        </w:tabs>
        <w:numPr>
          <w:ilvl w:val="1"/>
          <w:numId w:val="7"/>
        </w:numPr>
        <w:rPr>
          <w:rFonts w:ascii="Arial" w:cs="Arial" w:eastAsia="Arial" w:hAnsi="Arial"/>
          <w:sz w:val="18"/>
          <w:szCs w:val="18"/>
          <w:color w:val="auto"/>
        </w:rPr>
      </w:pPr>
      <w:r>
        <w:rPr>
          <w:rFonts w:ascii="Arial" w:cs="Arial" w:eastAsia="Arial" w:hAnsi="Arial"/>
          <w:sz w:val="18"/>
          <w:szCs w:val="18"/>
          <w:color w:val="auto"/>
        </w:rPr>
        <w:t>“Employee” means an employee of the Company or an Affiliate.</w:t>
      </w:r>
    </w:p>
    <w:p>
      <w:pPr>
        <w:spacing w:after="0" w:line="225" w:lineRule="exact"/>
        <w:rPr>
          <w:sz w:val="20"/>
          <w:szCs w:val="20"/>
          <w:color w:val="auto"/>
        </w:rPr>
      </w:pPr>
    </w:p>
    <w:p>
      <w:pPr>
        <w:ind w:left="960" w:hanging="385"/>
        <w:spacing w:after="0"/>
        <w:tabs>
          <w:tab w:leader="none" w:pos="960" w:val="left"/>
        </w:tabs>
        <w:numPr>
          <w:ilvl w:val="0"/>
          <w:numId w:val="8"/>
        </w:numPr>
        <w:rPr>
          <w:rFonts w:ascii="Arial" w:cs="Arial" w:eastAsia="Arial" w:hAnsi="Arial"/>
          <w:sz w:val="18"/>
          <w:szCs w:val="18"/>
          <w:color w:val="auto"/>
        </w:rPr>
      </w:pPr>
      <w:r>
        <w:rPr>
          <w:rFonts w:ascii="Arial" w:cs="Arial" w:eastAsia="Arial" w:hAnsi="Arial"/>
          <w:sz w:val="18"/>
          <w:szCs w:val="18"/>
          <w:color w:val="auto"/>
        </w:rPr>
        <w:t>“Exchange Act” means the Securities Exchange Act of 1934, as amended and in effect from time to time.</w:t>
      </w:r>
    </w:p>
    <w:p>
      <w:pPr>
        <w:spacing w:after="0" w:line="225" w:lineRule="exact"/>
        <w:rPr>
          <w:rFonts w:ascii="Arial" w:cs="Arial" w:eastAsia="Arial" w:hAnsi="Arial"/>
          <w:sz w:val="18"/>
          <w:szCs w:val="18"/>
          <w:color w:val="auto"/>
        </w:rPr>
      </w:pPr>
    </w:p>
    <w:p>
      <w:pPr>
        <w:jc w:val="both"/>
        <w:ind w:firstLine="575"/>
        <w:spacing w:after="0" w:line="279" w:lineRule="auto"/>
        <w:tabs>
          <w:tab w:leader="none" w:pos="957" w:val="left"/>
        </w:tabs>
        <w:numPr>
          <w:ilvl w:val="0"/>
          <w:numId w:val="8"/>
        </w:numPr>
        <w:rPr>
          <w:rFonts w:ascii="Arial" w:cs="Arial" w:eastAsia="Arial" w:hAnsi="Arial"/>
          <w:sz w:val="17"/>
          <w:szCs w:val="17"/>
          <w:color w:val="auto"/>
        </w:rPr>
      </w:pPr>
      <w:r>
        <w:rPr>
          <w:rFonts w:ascii="Arial" w:cs="Arial" w:eastAsia="Arial" w:hAnsi="Arial"/>
          <w:sz w:val="17"/>
          <w:szCs w:val="17"/>
          <w:color w:val="auto"/>
        </w:rPr>
        <w:t>“Exchange Act Person” means any natural person, entity or Group other than (i) the Company or any Affiliate; (ii) any employee benefit plan (or related trust) sponsored or maintained by the Company or any Affiliate; (iii) an underwriter temporarily holding securities in connection with a registered public offering of such securities; or (iv) an entity whose Voting Securities are beneficially owned by the beneficial owners of the Company’s Voting Securities in substantially the same proportions as their beneficial ownership of the Company’s Voting Securities.</w:t>
      </w:r>
    </w:p>
    <w:p>
      <w:pPr>
        <w:spacing w:after="0" w:line="171" w:lineRule="exact"/>
        <w:rPr>
          <w:rFonts w:ascii="Arial" w:cs="Arial" w:eastAsia="Arial" w:hAnsi="Arial"/>
          <w:sz w:val="17"/>
          <w:szCs w:val="17"/>
          <w:color w:val="auto"/>
        </w:rPr>
      </w:pPr>
    </w:p>
    <w:p>
      <w:pPr>
        <w:ind w:left="1040" w:hanging="384"/>
        <w:spacing w:after="0"/>
        <w:tabs>
          <w:tab w:leader="none" w:pos="1040" w:val="left"/>
        </w:tabs>
        <w:numPr>
          <w:ilvl w:val="1"/>
          <w:numId w:val="8"/>
        </w:numPr>
        <w:rPr>
          <w:rFonts w:ascii="Arial" w:cs="Arial" w:eastAsia="Arial" w:hAnsi="Arial"/>
          <w:sz w:val="18"/>
          <w:szCs w:val="18"/>
          <w:color w:val="auto"/>
        </w:rPr>
      </w:pPr>
      <w:r>
        <w:rPr>
          <w:rFonts w:ascii="Arial" w:cs="Arial" w:eastAsia="Arial" w:hAnsi="Arial"/>
          <w:sz w:val="18"/>
          <w:szCs w:val="18"/>
          <w:color w:val="auto"/>
        </w:rPr>
        <w:t>“Fair Market Value” means the fair market value of a Share determined as follows:</w:t>
      </w:r>
    </w:p>
    <w:p>
      <w:pPr>
        <w:spacing w:after="0" w:line="225" w:lineRule="exact"/>
        <w:rPr>
          <w:rFonts w:ascii="Arial" w:cs="Arial" w:eastAsia="Arial" w:hAnsi="Arial"/>
          <w:sz w:val="18"/>
          <w:szCs w:val="18"/>
          <w:color w:val="auto"/>
        </w:rPr>
      </w:pPr>
    </w:p>
    <w:p>
      <w:pPr>
        <w:jc w:val="both"/>
        <w:ind w:firstLine="1278"/>
        <w:spacing w:after="0" w:line="259" w:lineRule="auto"/>
        <w:tabs>
          <w:tab w:leader="none" w:pos="1662" w:val="left"/>
        </w:tabs>
        <w:numPr>
          <w:ilvl w:val="2"/>
          <w:numId w:val="8"/>
        </w:numPr>
        <w:rPr>
          <w:rFonts w:ascii="Arial" w:cs="Arial" w:eastAsia="Arial" w:hAnsi="Arial"/>
          <w:sz w:val="18"/>
          <w:szCs w:val="18"/>
          <w:color w:val="auto"/>
        </w:rPr>
      </w:pPr>
      <w:r>
        <w:rPr>
          <w:rFonts w:ascii="Arial" w:cs="Arial" w:eastAsia="Arial" w:hAnsi="Arial"/>
          <w:sz w:val="18"/>
          <w:szCs w:val="18"/>
          <w:color w:val="auto"/>
        </w:rPr>
        <w:t xml:space="preserve">If the Shares are readily tradable on an established securities market (as determined under Code Section 409A), then Fair Market Value will be the closing sales price for a Share on the principal securities market on which it trades on the date for which it is being determined, or if no sale of Shares occurred on that date, on the next preceding date on which a sale of Shares occurred, as reported in </w:t>
      </w:r>
      <w:r>
        <w:rPr>
          <w:rFonts w:ascii="Arial" w:cs="Arial" w:eastAsia="Arial" w:hAnsi="Arial"/>
          <w:sz w:val="18"/>
          <w:szCs w:val="18"/>
          <w:i w:val="1"/>
          <w:iCs w:val="1"/>
          <w:color w:val="auto"/>
        </w:rPr>
        <w:t>The Wall Street Journal</w:t>
      </w:r>
      <w:r>
        <w:rPr>
          <w:rFonts w:ascii="Arial" w:cs="Arial" w:eastAsia="Arial" w:hAnsi="Arial"/>
          <w:sz w:val="18"/>
          <w:szCs w:val="18"/>
          <w:color w:val="auto"/>
        </w:rPr>
        <w:t xml:space="preserve"> or such other source as the Committee deems reliable; or</w:t>
      </w:r>
    </w:p>
    <w:p>
      <w:pPr>
        <w:spacing w:after="0" w:line="186" w:lineRule="exact"/>
        <w:rPr>
          <w:rFonts w:ascii="Arial" w:cs="Arial" w:eastAsia="Arial" w:hAnsi="Arial"/>
          <w:sz w:val="18"/>
          <w:szCs w:val="18"/>
          <w:color w:val="auto"/>
        </w:rPr>
      </w:pPr>
    </w:p>
    <w:p>
      <w:pPr>
        <w:jc w:val="both"/>
        <w:ind w:firstLine="1305"/>
        <w:spacing w:after="0" w:line="264" w:lineRule="auto"/>
        <w:tabs>
          <w:tab w:leader="none" w:pos="1749" w:val="left"/>
        </w:tabs>
        <w:numPr>
          <w:ilvl w:val="3"/>
          <w:numId w:val="8"/>
        </w:numPr>
        <w:rPr>
          <w:rFonts w:ascii="Arial" w:cs="Arial" w:eastAsia="Arial" w:hAnsi="Arial"/>
          <w:sz w:val="18"/>
          <w:szCs w:val="18"/>
          <w:color w:val="auto"/>
        </w:rPr>
      </w:pPr>
      <w:r>
        <w:rPr>
          <w:rFonts w:ascii="Arial" w:cs="Arial" w:eastAsia="Arial" w:hAnsi="Arial"/>
          <w:sz w:val="18"/>
          <w:szCs w:val="18"/>
          <w:color w:val="auto"/>
        </w:rPr>
        <w:t>If the Shares are not then readily tradable on an established securities market (as determined under Code Section 409A), then Fair Market Value will be determined by the Committee as the result of a reasonable application of a reasonable valuation method that satisfies the requirements of Code Section 409A.</w:t>
      </w:r>
    </w:p>
    <w:p>
      <w:pPr>
        <w:spacing w:after="0" w:line="289" w:lineRule="exact"/>
        <w:rPr>
          <w:sz w:val="20"/>
          <w:szCs w:val="20"/>
          <w:color w:val="auto"/>
        </w:rPr>
      </w:pPr>
    </w:p>
    <w:p>
      <w:pPr>
        <w:ind w:left="580"/>
        <w:spacing w:after="0"/>
        <w:tabs>
          <w:tab w:leader="none" w:pos="940" w:val="left"/>
        </w:tabs>
        <w:rPr>
          <w:sz w:val="20"/>
          <w:szCs w:val="20"/>
          <w:color w:val="auto"/>
        </w:rPr>
      </w:pPr>
      <w:r>
        <w:rPr>
          <w:rFonts w:ascii="Arial" w:cs="Arial" w:eastAsia="Arial" w:hAnsi="Arial"/>
          <w:sz w:val="18"/>
          <w:szCs w:val="18"/>
          <w:color w:val="auto"/>
        </w:rPr>
        <w:t>(q)</w:t>
      </w:r>
      <w:r>
        <w:rPr>
          <w:sz w:val="20"/>
          <w:szCs w:val="20"/>
          <w:color w:val="auto"/>
        </w:rPr>
        <w:tab/>
      </w:r>
      <w:r>
        <w:rPr>
          <w:rFonts w:ascii="Arial" w:cs="Arial" w:eastAsia="Arial" w:hAnsi="Arial"/>
          <w:sz w:val="16"/>
          <w:szCs w:val="16"/>
          <w:color w:val="auto"/>
        </w:rPr>
        <w:t>“Full Value Award” means an Award other than an Option Award or Stock Appreciation Right Award.</w:t>
      </w:r>
    </w:p>
    <w:p>
      <w:pPr>
        <w:sectPr>
          <w:pgSz w:w="11900" w:h="16838" w:orient="portrait"/>
          <w:cols w:equalWidth="0" w:num="1">
            <w:col w:w="11420"/>
          </w:cols>
          <w:pgMar w:left="240" w:top="584" w:right="239" w:bottom="1440" w:gutter="0" w:footer="0" w:header="0"/>
        </w:sectPr>
      </w:pPr>
    </w:p>
    <w:bookmarkStart w:id="27" w:name="page28"/>
    <w:bookmarkEnd w:id="27"/>
    <w:p>
      <w:pPr>
        <w:ind w:left="-8" w:right="20" w:firstLine="575"/>
        <w:spacing w:after="0" w:line="277" w:lineRule="auto"/>
        <w:tabs>
          <w:tab w:leader="none" w:pos="944" w:val="left"/>
        </w:tabs>
        <w:numPr>
          <w:ilvl w:val="0"/>
          <w:numId w:val="9"/>
        </w:numPr>
        <w:rPr>
          <w:rFonts w:ascii="Arial" w:cs="Arial" w:eastAsia="Arial" w:hAnsi="Arial"/>
          <w:sz w:val="18"/>
          <w:szCs w:val="18"/>
          <w:color w:val="auto"/>
        </w:rPr>
      </w:pPr>
      <w:r>
        <w:rPr>
          <w:rFonts w:ascii="Arial" w:cs="Arial" w:eastAsia="Arial" w:hAnsi="Arial"/>
          <w:sz w:val="18"/>
          <w:szCs w:val="18"/>
          <w:color w:val="auto"/>
        </w:rPr>
        <w:t>“Grant Date” means the date on which the Committee approves the grant of an Award under the Plan, or such later date as may be specified by the Committee on the date the Committee approves the Award.</w:t>
      </w:r>
    </w:p>
    <w:p>
      <w:pPr>
        <w:spacing w:after="0" w:line="170" w:lineRule="exact"/>
        <w:rPr>
          <w:rFonts w:ascii="Arial" w:cs="Arial" w:eastAsia="Arial" w:hAnsi="Arial"/>
          <w:sz w:val="18"/>
          <w:szCs w:val="18"/>
          <w:color w:val="auto"/>
        </w:rPr>
      </w:pPr>
    </w:p>
    <w:p>
      <w:pPr>
        <w:ind w:left="-8" w:firstLine="575"/>
        <w:spacing w:after="0" w:line="277" w:lineRule="auto"/>
        <w:tabs>
          <w:tab w:leader="none" w:pos="993" w:val="left"/>
        </w:tabs>
        <w:numPr>
          <w:ilvl w:val="0"/>
          <w:numId w:val="9"/>
        </w:numPr>
        <w:rPr>
          <w:rFonts w:ascii="Arial" w:cs="Arial" w:eastAsia="Arial" w:hAnsi="Arial"/>
          <w:sz w:val="18"/>
          <w:szCs w:val="18"/>
          <w:color w:val="auto"/>
        </w:rPr>
      </w:pPr>
      <w:r>
        <w:rPr>
          <w:rFonts w:ascii="Arial" w:cs="Arial" w:eastAsia="Arial" w:hAnsi="Arial"/>
          <w:sz w:val="18"/>
          <w:szCs w:val="18"/>
          <w:color w:val="auto"/>
        </w:rPr>
        <w:t>“Group” means two or more persons who act, or agree to act together, as a partnership, limited partnership, syndicate or other group for the purpose of acquiring, holding, voting or disposing of securities of the Company.</w:t>
      </w:r>
    </w:p>
    <w:p>
      <w:pPr>
        <w:spacing w:after="0" w:line="170" w:lineRule="exact"/>
        <w:rPr>
          <w:rFonts w:ascii="Arial" w:cs="Arial" w:eastAsia="Arial" w:hAnsi="Arial"/>
          <w:sz w:val="18"/>
          <w:szCs w:val="18"/>
          <w:color w:val="auto"/>
        </w:rPr>
      </w:pPr>
    </w:p>
    <w:p>
      <w:pPr>
        <w:ind w:left="912" w:hanging="345"/>
        <w:spacing w:after="0"/>
        <w:tabs>
          <w:tab w:leader="none" w:pos="912" w:val="left"/>
        </w:tabs>
        <w:numPr>
          <w:ilvl w:val="0"/>
          <w:numId w:val="9"/>
        </w:numPr>
        <w:rPr>
          <w:rFonts w:ascii="Arial" w:cs="Arial" w:eastAsia="Arial" w:hAnsi="Arial"/>
          <w:sz w:val="18"/>
          <w:szCs w:val="18"/>
          <w:color w:val="auto"/>
        </w:rPr>
      </w:pPr>
      <w:r>
        <w:rPr>
          <w:rFonts w:ascii="Arial" w:cs="Arial" w:eastAsia="Arial" w:hAnsi="Arial"/>
          <w:sz w:val="18"/>
          <w:szCs w:val="18"/>
          <w:color w:val="auto"/>
        </w:rPr>
        <w:t>“Non-Employee Director” means a member of the Board who is not an Employee.</w:t>
      </w:r>
    </w:p>
    <w:p>
      <w:pPr>
        <w:spacing w:after="0" w:line="225" w:lineRule="exact"/>
        <w:rPr>
          <w:rFonts w:ascii="Arial" w:cs="Arial" w:eastAsia="Arial" w:hAnsi="Arial"/>
          <w:sz w:val="18"/>
          <w:szCs w:val="18"/>
          <w:color w:val="auto"/>
        </w:rPr>
      </w:pPr>
    </w:p>
    <w:p>
      <w:pPr>
        <w:jc w:val="both"/>
        <w:ind w:left="-8" w:firstLine="575"/>
        <w:spacing w:after="0" w:line="221" w:lineRule="exact"/>
        <w:tabs>
          <w:tab w:leader="none" w:pos="996" w:val="left"/>
        </w:tabs>
        <w:numPr>
          <w:ilvl w:val="0"/>
          <w:numId w:val="9"/>
        </w:numPr>
        <w:rPr>
          <w:rFonts w:ascii="Arial" w:cs="Arial" w:eastAsia="Arial" w:hAnsi="Arial"/>
          <w:sz w:val="18"/>
          <w:szCs w:val="18"/>
          <w:color w:val="auto"/>
        </w:rPr>
      </w:pPr>
      <w:r>
        <w:rPr>
          <w:rFonts w:ascii="Arial" w:cs="Arial" w:eastAsia="Arial" w:hAnsi="Arial"/>
          <w:sz w:val="18"/>
          <w:szCs w:val="18"/>
          <w:color w:val="auto"/>
        </w:rPr>
        <w:t>“Option” means a right granted under the Plan to purchase a specified number of Shares at a specified price. An “Incentive Stock Option” or “ISO” means any Option designated as such and granted in accordance with the requirements of Code Section 422. A “Non</w:t>
      </w:r>
      <w:r>
        <w:rPr>
          <w:rFonts w:ascii="MS PGothic" w:cs="MS PGothic" w:eastAsia="MS PGothic" w:hAnsi="MS PGothic"/>
          <w:sz w:val="18"/>
          <w:szCs w:val="18"/>
          <w:color w:val="auto"/>
        </w:rPr>
        <w:t>‑</w:t>
      </w:r>
      <w:r>
        <w:rPr>
          <w:rFonts w:ascii="Arial" w:cs="Arial" w:eastAsia="Arial" w:hAnsi="Arial"/>
          <w:sz w:val="18"/>
          <w:szCs w:val="18"/>
          <w:color w:val="auto"/>
        </w:rPr>
        <w:t>Qualified Stock Option” or “NQSO” means an Option other than an Incentive Stock Option.</w:t>
      </w:r>
    </w:p>
    <w:p>
      <w:pPr>
        <w:spacing w:after="0" w:line="201" w:lineRule="exact"/>
        <w:rPr>
          <w:rFonts w:ascii="Arial" w:cs="Arial" w:eastAsia="Arial" w:hAnsi="Arial"/>
          <w:sz w:val="18"/>
          <w:szCs w:val="18"/>
          <w:color w:val="auto"/>
        </w:rPr>
      </w:pPr>
    </w:p>
    <w:p>
      <w:pPr>
        <w:ind w:left="952" w:hanging="385"/>
        <w:spacing w:after="0"/>
        <w:tabs>
          <w:tab w:leader="none" w:pos="952" w:val="left"/>
        </w:tabs>
        <w:numPr>
          <w:ilvl w:val="0"/>
          <w:numId w:val="9"/>
        </w:numPr>
        <w:rPr>
          <w:rFonts w:ascii="Arial" w:cs="Arial" w:eastAsia="Arial" w:hAnsi="Arial"/>
          <w:sz w:val="18"/>
          <w:szCs w:val="18"/>
          <w:color w:val="auto"/>
        </w:rPr>
      </w:pPr>
      <w:r>
        <w:rPr>
          <w:rFonts w:ascii="Arial" w:cs="Arial" w:eastAsia="Arial" w:hAnsi="Arial"/>
          <w:sz w:val="18"/>
          <w:szCs w:val="18"/>
          <w:color w:val="auto"/>
        </w:rPr>
        <w:t>“Other Stock-Based Award” means an Award described in Section 11 of this Plan.</w:t>
      </w:r>
    </w:p>
    <w:p>
      <w:pPr>
        <w:spacing w:after="0" w:line="225" w:lineRule="exact"/>
        <w:rPr>
          <w:rFonts w:ascii="Arial" w:cs="Arial" w:eastAsia="Arial" w:hAnsi="Arial"/>
          <w:sz w:val="18"/>
          <w:szCs w:val="18"/>
          <w:color w:val="auto"/>
        </w:rPr>
      </w:pPr>
    </w:p>
    <w:p>
      <w:pPr>
        <w:ind w:left="992" w:hanging="425"/>
        <w:spacing w:after="0"/>
        <w:tabs>
          <w:tab w:leader="none" w:pos="992" w:val="left"/>
        </w:tabs>
        <w:numPr>
          <w:ilvl w:val="0"/>
          <w:numId w:val="9"/>
        </w:numPr>
        <w:rPr>
          <w:rFonts w:ascii="Arial" w:cs="Arial" w:eastAsia="Arial" w:hAnsi="Arial"/>
          <w:sz w:val="18"/>
          <w:szCs w:val="18"/>
          <w:color w:val="auto"/>
        </w:rPr>
      </w:pPr>
      <w:r>
        <w:rPr>
          <w:rFonts w:ascii="Arial" w:cs="Arial" w:eastAsia="Arial" w:hAnsi="Arial"/>
          <w:sz w:val="18"/>
          <w:szCs w:val="18"/>
          <w:color w:val="auto"/>
        </w:rPr>
        <w:t>“Parent” means a “parent corporation,” as defined in Code Section 424(e).</w:t>
      </w:r>
    </w:p>
    <w:p>
      <w:pPr>
        <w:spacing w:after="0" w:line="225" w:lineRule="exact"/>
        <w:rPr>
          <w:rFonts w:ascii="Arial" w:cs="Arial" w:eastAsia="Arial" w:hAnsi="Arial"/>
          <w:sz w:val="18"/>
          <w:szCs w:val="18"/>
          <w:color w:val="auto"/>
        </w:rPr>
      </w:pPr>
    </w:p>
    <w:p>
      <w:pPr>
        <w:ind w:left="952" w:hanging="385"/>
        <w:spacing w:after="0"/>
        <w:tabs>
          <w:tab w:leader="none" w:pos="952" w:val="left"/>
        </w:tabs>
        <w:numPr>
          <w:ilvl w:val="0"/>
          <w:numId w:val="9"/>
        </w:numPr>
        <w:rPr>
          <w:rFonts w:ascii="Arial" w:cs="Arial" w:eastAsia="Arial" w:hAnsi="Arial"/>
          <w:sz w:val="18"/>
          <w:szCs w:val="18"/>
          <w:color w:val="auto"/>
        </w:rPr>
      </w:pPr>
      <w:r>
        <w:rPr>
          <w:rFonts w:ascii="Arial" w:cs="Arial" w:eastAsia="Arial" w:hAnsi="Arial"/>
          <w:sz w:val="18"/>
          <w:szCs w:val="18"/>
          <w:color w:val="auto"/>
        </w:rPr>
        <w:t>“Participant” means a Service Provider to whom a then-outstanding Award has been granted under the Plan.</w:t>
      </w:r>
    </w:p>
    <w:p>
      <w:pPr>
        <w:spacing w:after="0" w:line="225" w:lineRule="exact"/>
        <w:rPr>
          <w:rFonts w:ascii="Arial" w:cs="Arial" w:eastAsia="Arial" w:hAnsi="Arial"/>
          <w:sz w:val="18"/>
          <w:szCs w:val="18"/>
          <w:color w:val="auto"/>
        </w:rPr>
      </w:pPr>
    </w:p>
    <w:p>
      <w:pPr>
        <w:ind w:left="952" w:hanging="385"/>
        <w:spacing w:after="0"/>
        <w:tabs>
          <w:tab w:leader="none" w:pos="952" w:val="left"/>
        </w:tabs>
        <w:numPr>
          <w:ilvl w:val="0"/>
          <w:numId w:val="9"/>
        </w:numPr>
        <w:rPr>
          <w:rFonts w:ascii="Arial" w:cs="Arial" w:eastAsia="Arial" w:hAnsi="Arial"/>
          <w:sz w:val="18"/>
          <w:szCs w:val="18"/>
          <w:color w:val="auto"/>
        </w:rPr>
      </w:pPr>
      <w:r>
        <w:rPr>
          <w:rFonts w:ascii="Arial" w:cs="Arial" w:eastAsia="Arial" w:hAnsi="Arial"/>
          <w:sz w:val="18"/>
          <w:szCs w:val="18"/>
          <w:color w:val="auto"/>
        </w:rPr>
        <w:t>“Plan” means this Hawkins, Inc. 2019 Equity Incentive Plan, as amended and in effect from time to time.</w:t>
      </w:r>
    </w:p>
    <w:p>
      <w:pPr>
        <w:spacing w:after="0" w:line="225" w:lineRule="exact"/>
        <w:rPr>
          <w:rFonts w:ascii="Arial" w:cs="Arial" w:eastAsia="Arial" w:hAnsi="Arial"/>
          <w:sz w:val="18"/>
          <w:szCs w:val="18"/>
          <w:color w:val="auto"/>
        </w:rPr>
      </w:pPr>
    </w:p>
    <w:p>
      <w:pPr>
        <w:ind w:left="952" w:hanging="385"/>
        <w:spacing w:after="0"/>
        <w:tabs>
          <w:tab w:leader="none" w:pos="952" w:val="left"/>
        </w:tabs>
        <w:numPr>
          <w:ilvl w:val="0"/>
          <w:numId w:val="9"/>
        </w:numPr>
        <w:rPr>
          <w:rFonts w:ascii="Arial" w:cs="Arial" w:eastAsia="Arial" w:hAnsi="Arial"/>
          <w:sz w:val="18"/>
          <w:szCs w:val="18"/>
          <w:color w:val="auto"/>
        </w:rPr>
      </w:pPr>
      <w:r>
        <w:rPr>
          <w:rFonts w:ascii="Arial" w:cs="Arial" w:eastAsia="Arial" w:hAnsi="Arial"/>
          <w:sz w:val="18"/>
          <w:szCs w:val="18"/>
          <w:color w:val="auto"/>
        </w:rPr>
        <w:t>“Prior Plan” means the Hawkins, Inc. 2010 Omnibus Incentive Plan.</w:t>
      </w:r>
    </w:p>
    <w:p>
      <w:pPr>
        <w:spacing w:after="0" w:line="225" w:lineRule="exact"/>
        <w:rPr>
          <w:sz w:val="20"/>
          <w:szCs w:val="20"/>
          <w:color w:val="auto"/>
        </w:rPr>
      </w:pPr>
    </w:p>
    <w:p>
      <w:pPr>
        <w:ind w:left="-8" w:firstLine="575"/>
        <w:spacing w:after="0" w:line="277" w:lineRule="auto"/>
        <w:tabs>
          <w:tab w:leader="none" w:pos="1028" w:val="left"/>
        </w:tabs>
        <w:numPr>
          <w:ilvl w:val="1"/>
          <w:numId w:val="10"/>
        </w:numPr>
        <w:rPr>
          <w:rFonts w:ascii="Arial" w:cs="Arial" w:eastAsia="Arial" w:hAnsi="Arial"/>
          <w:sz w:val="18"/>
          <w:szCs w:val="18"/>
          <w:color w:val="auto"/>
        </w:rPr>
      </w:pPr>
      <w:r>
        <w:rPr>
          <w:rFonts w:ascii="Arial" w:cs="Arial" w:eastAsia="Arial" w:hAnsi="Arial"/>
          <w:sz w:val="18"/>
          <w:szCs w:val="18"/>
          <w:color w:val="auto"/>
        </w:rPr>
        <w:t>“Restricted Stock” means Shares issued to a Participant that are subject to such restrictions on transfer, vesting conditions and other restrictions or limitations as may be set forth in this Plan and the applicable Agreement.</w:t>
      </w:r>
    </w:p>
    <w:p>
      <w:pPr>
        <w:spacing w:after="0" w:line="170" w:lineRule="exact"/>
        <w:rPr>
          <w:rFonts w:ascii="Arial" w:cs="Arial" w:eastAsia="Arial" w:hAnsi="Arial"/>
          <w:sz w:val="18"/>
          <w:szCs w:val="18"/>
          <w:color w:val="auto"/>
        </w:rPr>
      </w:pPr>
    </w:p>
    <w:p>
      <w:pPr>
        <w:jc w:val="both"/>
        <w:ind w:left="-8" w:firstLine="575"/>
        <w:spacing w:after="0" w:line="286" w:lineRule="auto"/>
        <w:tabs>
          <w:tab w:leader="none" w:pos="1143" w:val="left"/>
        </w:tabs>
        <w:numPr>
          <w:ilvl w:val="1"/>
          <w:numId w:val="10"/>
        </w:numPr>
        <w:rPr>
          <w:rFonts w:ascii="Arial" w:cs="Arial" w:eastAsia="Arial" w:hAnsi="Arial"/>
          <w:sz w:val="16"/>
          <w:szCs w:val="16"/>
          <w:color w:val="auto"/>
        </w:rPr>
      </w:pPr>
      <w:r>
        <w:rPr>
          <w:rFonts w:ascii="Arial" w:cs="Arial" w:eastAsia="Arial" w:hAnsi="Arial"/>
          <w:sz w:val="16"/>
          <w:szCs w:val="16"/>
          <w:color w:val="auto"/>
        </w:rPr>
        <w:t>“Service” means the provision of services by a Participant to the Company or any Affiliate in any Service Provider capacity. A Service Provider’s Service shall be deemed to have terminated either upon an actual cessation of providing services to the Company or any Affiliate or upon the entity to which the Service Provider provides services ceasing to be an Affiliate. Except as otherwise provided in this Plan or any Agreement, Service shall not be deemed terminated in the case of (i) any approved leave of absence; (ii) transfers among the Company and any Affiliates in any Service Provider capacity; or</w:t>
      </w:r>
    </w:p>
    <w:p>
      <w:pPr>
        <w:spacing w:after="0" w:line="1" w:lineRule="exact"/>
        <w:rPr>
          <w:rFonts w:ascii="Arial" w:cs="Arial" w:eastAsia="Arial" w:hAnsi="Arial"/>
          <w:sz w:val="16"/>
          <w:szCs w:val="16"/>
          <w:color w:val="auto"/>
        </w:rPr>
      </w:pPr>
    </w:p>
    <w:p>
      <w:pPr>
        <w:ind w:left="312" w:hanging="312"/>
        <w:spacing w:after="0"/>
        <w:tabs>
          <w:tab w:leader="none" w:pos="312" w:val="left"/>
        </w:tabs>
        <w:numPr>
          <w:ilvl w:val="0"/>
          <w:numId w:val="11"/>
        </w:numPr>
        <w:rPr>
          <w:rFonts w:ascii="Arial" w:cs="Arial" w:eastAsia="Arial" w:hAnsi="Arial"/>
          <w:sz w:val="18"/>
          <w:szCs w:val="18"/>
          <w:color w:val="auto"/>
        </w:rPr>
      </w:pPr>
      <w:r>
        <w:rPr>
          <w:rFonts w:ascii="Arial" w:cs="Arial" w:eastAsia="Arial" w:hAnsi="Arial"/>
          <w:sz w:val="18"/>
          <w:szCs w:val="18"/>
          <w:color w:val="auto"/>
        </w:rPr>
        <w:t>any change in status so long as the individual remains in the service of the Company or any Affiliate in any Service Provider capacity.</w:t>
      </w:r>
    </w:p>
    <w:p>
      <w:pPr>
        <w:spacing w:after="0" w:line="210" w:lineRule="exact"/>
        <w:rPr>
          <w:rFonts w:ascii="Arial" w:cs="Arial" w:eastAsia="Arial" w:hAnsi="Arial"/>
          <w:sz w:val="18"/>
          <w:szCs w:val="18"/>
          <w:color w:val="auto"/>
        </w:rPr>
      </w:pPr>
    </w:p>
    <w:p>
      <w:pPr>
        <w:jc w:val="both"/>
        <w:ind w:left="-8" w:firstLine="575"/>
        <w:spacing w:after="0" w:line="291" w:lineRule="auto"/>
        <w:tabs>
          <w:tab w:leader="none" w:pos="1058" w:val="left"/>
        </w:tabs>
        <w:numPr>
          <w:ilvl w:val="1"/>
          <w:numId w:val="11"/>
        </w:numPr>
        <w:rPr>
          <w:rFonts w:ascii="Arial" w:cs="Arial" w:eastAsia="Arial" w:hAnsi="Arial"/>
          <w:sz w:val="16"/>
          <w:szCs w:val="16"/>
          <w:color w:val="auto"/>
        </w:rPr>
      </w:pPr>
      <w:r>
        <w:rPr>
          <w:rFonts w:ascii="Arial" w:cs="Arial" w:eastAsia="Arial" w:hAnsi="Arial"/>
          <w:sz w:val="16"/>
          <w:szCs w:val="16"/>
          <w:color w:val="auto"/>
        </w:rPr>
        <w:t>“Service Provider” means an Employee, a Non-Employee Director, or any natural person who is a consultant or advisor, or is employed by a consultant or advisor retained by the Company or any Affiliate, and who provides services (other than in connection with (i) a capital-raising transaction or</w:t>
      </w:r>
    </w:p>
    <w:p>
      <w:pPr>
        <w:ind w:left="272" w:hanging="272"/>
        <w:spacing w:after="0"/>
        <w:tabs>
          <w:tab w:leader="none" w:pos="272" w:val="left"/>
        </w:tabs>
        <w:numPr>
          <w:ilvl w:val="0"/>
          <w:numId w:val="12"/>
        </w:numPr>
        <w:rPr>
          <w:rFonts w:ascii="Arial" w:cs="Arial" w:eastAsia="Arial" w:hAnsi="Arial"/>
          <w:sz w:val="18"/>
          <w:szCs w:val="18"/>
          <w:color w:val="auto"/>
        </w:rPr>
      </w:pPr>
      <w:r>
        <w:rPr>
          <w:rFonts w:ascii="Arial" w:cs="Arial" w:eastAsia="Arial" w:hAnsi="Arial"/>
          <w:sz w:val="18"/>
          <w:szCs w:val="18"/>
          <w:color w:val="auto"/>
        </w:rPr>
        <w:t>promoting or maintaining a market in Company securities) to the Company or any Affiliate.</w:t>
      </w:r>
    </w:p>
    <w:p>
      <w:pPr>
        <w:spacing w:after="0" w:line="210" w:lineRule="exact"/>
        <w:rPr>
          <w:rFonts w:ascii="Arial" w:cs="Arial" w:eastAsia="Arial" w:hAnsi="Arial"/>
          <w:sz w:val="18"/>
          <w:szCs w:val="18"/>
          <w:color w:val="auto"/>
        </w:rPr>
      </w:pPr>
    </w:p>
    <w:p>
      <w:pPr>
        <w:ind w:left="1052" w:hanging="485"/>
        <w:spacing w:after="0"/>
        <w:tabs>
          <w:tab w:leader="none" w:pos="1052" w:val="left"/>
        </w:tabs>
        <w:numPr>
          <w:ilvl w:val="1"/>
          <w:numId w:val="12"/>
        </w:numPr>
        <w:rPr>
          <w:rFonts w:ascii="Arial" w:cs="Arial" w:eastAsia="Arial" w:hAnsi="Arial"/>
          <w:sz w:val="18"/>
          <w:szCs w:val="18"/>
          <w:color w:val="auto"/>
        </w:rPr>
      </w:pPr>
      <w:r>
        <w:rPr>
          <w:rFonts w:ascii="Arial" w:cs="Arial" w:eastAsia="Arial" w:hAnsi="Arial"/>
          <w:sz w:val="18"/>
          <w:szCs w:val="18"/>
          <w:color w:val="auto"/>
        </w:rPr>
        <w:t>“Share” means a share of Stock.</w:t>
      </w:r>
    </w:p>
    <w:p>
      <w:pPr>
        <w:spacing w:after="0" w:line="225" w:lineRule="exact"/>
        <w:rPr>
          <w:rFonts w:ascii="Arial" w:cs="Arial" w:eastAsia="Arial" w:hAnsi="Arial"/>
          <w:sz w:val="18"/>
          <w:szCs w:val="18"/>
          <w:color w:val="auto"/>
        </w:rPr>
      </w:pPr>
    </w:p>
    <w:p>
      <w:pPr>
        <w:ind w:left="1032" w:hanging="465"/>
        <w:spacing w:after="0"/>
        <w:tabs>
          <w:tab w:leader="none" w:pos="1032" w:val="left"/>
        </w:tabs>
        <w:numPr>
          <w:ilvl w:val="1"/>
          <w:numId w:val="12"/>
        </w:numPr>
        <w:rPr>
          <w:rFonts w:ascii="Arial" w:cs="Arial" w:eastAsia="Arial" w:hAnsi="Arial"/>
          <w:sz w:val="18"/>
          <w:szCs w:val="18"/>
          <w:color w:val="auto"/>
        </w:rPr>
      </w:pPr>
      <w:r>
        <w:rPr>
          <w:rFonts w:ascii="Arial" w:cs="Arial" w:eastAsia="Arial" w:hAnsi="Arial"/>
          <w:sz w:val="18"/>
          <w:szCs w:val="18"/>
          <w:color w:val="auto"/>
        </w:rPr>
        <w:t>“Stock” means the common stock, $.05 par value per Share, of the Company.</w:t>
      </w:r>
    </w:p>
    <w:p>
      <w:pPr>
        <w:spacing w:after="0" w:line="225" w:lineRule="exact"/>
        <w:rPr>
          <w:rFonts w:ascii="Arial" w:cs="Arial" w:eastAsia="Arial" w:hAnsi="Arial"/>
          <w:sz w:val="18"/>
          <w:szCs w:val="18"/>
          <w:color w:val="auto"/>
        </w:rPr>
      </w:pPr>
    </w:p>
    <w:p>
      <w:pPr>
        <w:ind w:left="-8" w:firstLine="575"/>
        <w:spacing w:after="0" w:line="277" w:lineRule="auto"/>
        <w:tabs>
          <w:tab w:leader="none" w:pos="980" w:val="left"/>
        </w:tabs>
        <w:numPr>
          <w:ilvl w:val="1"/>
          <w:numId w:val="12"/>
        </w:numPr>
        <w:rPr>
          <w:rFonts w:ascii="Arial" w:cs="Arial" w:eastAsia="Arial" w:hAnsi="Arial"/>
          <w:sz w:val="18"/>
          <w:szCs w:val="18"/>
          <w:color w:val="auto"/>
        </w:rPr>
      </w:pPr>
      <w:r>
        <w:rPr>
          <w:rFonts w:ascii="Arial" w:cs="Arial" w:eastAsia="Arial" w:hAnsi="Arial"/>
          <w:sz w:val="18"/>
          <w:szCs w:val="18"/>
          <w:color w:val="auto"/>
        </w:rPr>
        <w:t>“Stock Appreciation Right” or “SAR” means the right to receive, in cash and/or Shares as determined by the Committee, an amount equal to the appreciation in value of a specified number of Shares between the Grant Date of the SAR and its exercise date.</w:t>
      </w:r>
    </w:p>
    <w:p>
      <w:pPr>
        <w:spacing w:after="0" w:line="170" w:lineRule="exact"/>
        <w:rPr>
          <w:rFonts w:ascii="Arial" w:cs="Arial" w:eastAsia="Arial" w:hAnsi="Arial"/>
          <w:sz w:val="18"/>
          <w:szCs w:val="18"/>
          <w:color w:val="auto"/>
        </w:rPr>
      </w:pPr>
    </w:p>
    <w:p>
      <w:pPr>
        <w:ind w:left="-8" w:firstLine="575"/>
        <w:spacing w:after="0" w:line="308" w:lineRule="auto"/>
        <w:tabs>
          <w:tab w:leader="none" w:pos="1047" w:val="left"/>
        </w:tabs>
        <w:numPr>
          <w:ilvl w:val="1"/>
          <w:numId w:val="12"/>
        </w:numPr>
        <w:rPr>
          <w:rFonts w:ascii="Arial" w:cs="Arial" w:eastAsia="Arial" w:hAnsi="Arial"/>
          <w:sz w:val="17"/>
          <w:szCs w:val="17"/>
          <w:color w:val="auto"/>
        </w:rPr>
      </w:pPr>
      <w:r>
        <w:rPr>
          <w:rFonts w:ascii="Arial" w:cs="Arial" w:eastAsia="Arial" w:hAnsi="Arial"/>
          <w:sz w:val="17"/>
          <w:szCs w:val="17"/>
          <w:color w:val="auto"/>
        </w:rPr>
        <w:t>“Stock Unit” means a right to receive, in cash and/or Shares as determined by the Committee, the Fair Market Value of a Share, subject to such restrictions on transfer, vesting conditions and other restrictions or limitations as may be set forth in this Plan and the applicable Agreement.</w:t>
      </w:r>
    </w:p>
    <w:p>
      <w:pPr>
        <w:spacing w:after="0" w:line="146" w:lineRule="exact"/>
        <w:rPr>
          <w:rFonts w:ascii="Arial" w:cs="Arial" w:eastAsia="Arial" w:hAnsi="Arial"/>
          <w:sz w:val="17"/>
          <w:szCs w:val="17"/>
          <w:color w:val="auto"/>
        </w:rPr>
      </w:pPr>
    </w:p>
    <w:p>
      <w:pPr>
        <w:ind w:left="1052" w:hanging="485"/>
        <w:spacing w:after="0"/>
        <w:tabs>
          <w:tab w:leader="none" w:pos="1052" w:val="left"/>
        </w:tabs>
        <w:numPr>
          <w:ilvl w:val="1"/>
          <w:numId w:val="12"/>
        </w:numPr>
        <w:rPr>
          <w:rFonts w:ascii="Arial" w:cs="Arial" w:eastAsia="Arial" w:hAnsi="Arial"/>
          <w:sz w:val="18"/>
          <w:szCs w:val="18"/>
          <w:color w:val="auto"/>
        </w:rPr>
      </w:pPr>
      <w:r>
        <w:rPr>
          <w:rFonts w:ascii="Arial" w:cs="Arial" w:eastAsia="Arial" w:hAnsi="Arial"/>
          <w:sz w:val="18"/>
          <w:szCs w:val="18"/>
          <w:color w:val="auto"/>
        </w:rPr>
        <w:t>“Subsidiary” means a “subsidiary corporation,” as defined in Code Section 424(f), of the Company.</w:t>
      </w:r>
    </w:p>
    <w:p>
      <w:pPr>
        <w:spacing w:after="0" w:line="225" w:lineRule="exact"/>
        <w:rPr>
          <w:rFonts w:ascii="Arial" w:cs="Arial" w:eastAsia="Arial" w:hAnsi="Arial"/>
          <w:sz w:val="18"/>
          <w:szCs w:val="18"/>
          <w:color w:val="auto"/>
        </w:rPr>
      </w:pPr>
    </w:p>
    <w:p>
      <w:pPr>
        <w:jc w:val="both"/>
        <w:ind w:left="-8" w:firstLine="575"/>
        <w:spacing w:after="0" w:line="259" w:lineRule="auto"/>
        <w:tabs>
          <w:tab w:leader="none" w:pos="1058" w:val="left"/>
        </w:tabs>
        <w:numPr>
          <w:ilvl w:val="1"/>
          <w:numId w:val="12"/>
        </w:numPr>
        <w:rPr>
          <w:rFonts w:ascii="Arial" w:cs="Arial" w:eastAsia="Arial" w:hAnsi="Arial"/>
          <w:sz w:val="18"/>
          <w:szCs w:val="18"/>
          <w:color w:val="auto"/>
        </w:rPr>
      </w:pPr>
      <w:r>
        <w:rPr>
          <w:rFonts w:ascii="Arial" w:cs="Arial" w:eastAsia="Arial" w:hAnsi="Arial"/>
          <w:sz w:val="18"/>
          <w:szCs w:val="18"/>
          <w:color w:val="auto"/>
        </w:rPr>
        <w:t>“Substitute Award” means an Award granted upon the assumption of, or in substitution or exchange for, outstanding awards granted by a company or other entity acquired by the Company or any Affiliate or with which the Company or any Affiliate combines. The terms and conditions of a Substitute Award may vary from the terms and conditions set forth in the Plan to the extent that the Committee at the time of the grant may deem appropriate to conform, in whole or in part, to the provisions of the award in substitution for which it has been granted.</w:t>
      </w:r>
    </w:p>
    <w:p>
      <w:pPr>
        <w:sectPr>
          <w:pgSz w:w="11900" w:h="16838" w:orient="portrait"/>
          <w:cols w:equalWidth="0" w:num="1">
            <w:col w:w="11412"/>
          </w:cols>
          <w:pgMar w:left="248" w:top="800" w:right="239" w:bottom="1440" w:gutter="0" w:footer="0" w:header="0"/>
        </w:sectPr>
      </w:pPr>
    </w:p>
    <w:bookmarkStart w:id="28" w:name="page29"/>
    <w:bookmarkEnd w:id="28"/>
    <w:p>
      <w:pPr>
        <w:ind w:firstLine="575"/>
        <w:spacing w:after="0" w:line="277" w:lineRule="auto"/>
        <w:tabs>
          <w:tab w:leader="none" w:pos="978" w:val="left"/>
        </w:tabs>
        <w:numPr>
          <w:ilvl w:val="1"/>
          <w:numId w:val="13"/>
        </w:numPr>
        <w:rPr>
          <w:rFonts w:ascii="Arial" w:cs="Arial" w:eastAsia="Arial" w:hAnsi="Arial"/>
          <w:sz w:val="18"/>
          <w:szCs w:val="18"/>
          <w:color w:val="auto"/>
        </w:rPr>
      </w:pPr>
      <w:r>
        <w:rPr>
          <w:rFonts w:ascii="Arial" w:cs="Arial" w:eastAsia="Arial" w:hAnsi="Arial"/>
          <w:sz w:val="18"/>
          <w:szCs w:val="18"/>
          <w:color w:val="auto"/>
        </w:rPr>
        <w:t>“Voting Securities” of an entity means the outstanding equity securities (or comparable equity interests) entitled to vote generally in the election of directors of such entity.</w:t>
      </w:r>
    </w:p>
    <w:p>
      <w:pPr>
        <w:spacing w:after="0" w:line="166" w:lineRule="exact"/>
        <w:rPr>
          <w:rFonts w:ascii="Arial" w:cs="Arial" w:eastAsia="Arial" w:hAnsi="Arial"/>
          <w:sz w:val="18"/>
          <w:szCs w:val="18"/>
          <w:color w:val="auto"/>
        </w:rPr>
      </w:pPr>
    </w:p>
    <w:p>
      <w:pPr>
        <w:ind w:left="320" w:hanging="312"/>
        <w:spacing w:after="0"/>
        <w:tabs>
          <w:tab w:leader="none" w:pos="320" w:val="left"/>
        </w:tabs>
        <w:numPr>
          <w:ilvl w:val="0"/>
          <w:numId w:val="14"/>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Administration of the Plan</w:t>
      </w:r>
      <w:r>
        <w:rPr>
          <w:rFonts w:ascii="Arial" w:cs="Arial" w:eastAsia="Arial" w:hAnsi="Arial"/>
          <w:sz w:val="18"/>
          <w:szCs w:val="18"/>
          <w:b w:val="1"/>
          <w:bCs w:val="1"/>
          <w:color w:val="auto"/>
        </w:rPr>
        <w:t>.</w:t>
      </w:r>
    </w:p>
    <w:p>
      <w:pPr>
        <w:spacing w:after="0" w:line="229" w:lineRule="exact"/>
        <w:rPr>
          <w:rFonts w:ascii="Arial" w:cs="Arial" w:eastAsia="Arial" w:hAnsi="Arial"/>
          <w:sz w:val="18"/>
          <w:szCs w:val="18"/>
          <w:b w:val="1"/>
          <w:bCs w:val="1"/>
          <w:color w:val="auto"/>
        </w:rPr>
      </w:pPr>
    </w:p>
    <w:p>
      <w:pPr>
        <w:ind w:firstLine="602"/>
        <w:spacing w:after="0" w:line="277" w:lineRule="auto"/>
        <w:tabs>
          <w:tab w:leader="none" w:pos="1095" w:val="left"/>
        </w:tabs>
        <w:numPr>
          <w:ilvl w:val="1"/>
          <w:numId w:val="14"/>
        </w:numPr>
        <w:rPr>
          <w:rFonts w:ascii="Arial" w:cs="Arial" w:eastAsia="Arial" w:hAnsi="Arial"/>
          <w:sz w:val="18"/>
          <w:szCs w:val="18"/>
          <w:color w:val="auto"/>
        </w:rPr>
      </w:pPr>
      <w:r>
        <w:rPr>
          <w:rFonts w:ascii="Arial" w:cs="Arial" w:eastAsia="Arial" w:hAnsi="Arial"/>
          <w:sz w:val="18"/>
          <w:szCs w:val="18"/>
          <w:u w:val="single" w:color="auto"/>
          <w:color w:val="auto"/>
        </w:rPr>
        <w:t>Administration</w:t>
      </w:r>
      <w:r>
        <w:rPr>
          <w:rFonts w:ascii="Arial" w:cs="Arial" w:eastAsia="Arial" w:hAnsi="Arial"/>
          <w:sz w:val="18"/>
          <w:szCs w:val="18"/>
          <w:color w:val="auto"/>
        </w:rPr>
        <w:t>. The authority to control and manage the operations and administration of the Plan shall be vested in the Committee in accordance with this Section 3.</w:t>
      </w:r>
    </w:p>
    <w:p>
      <w:pPr>
        <w:spacing w:after="0" w:line="170" w:lineRule="exact"/>
        <w:rPr>
          <w:rFonts w:ascii="Arial" w:cs="Arial" w:eastAsia="Arial" w:hAnsi="Arial"/>
          <w:sz w:val="18"/>
          <w:szCs w:val="18"/>
          <w:color w:val="auto"/>
        </w:rPr>
      </w:pPr>
    </w:p>
    <w:p>
      <w:pPr>
        <w:ind w:firstLine="602"/>
        <w:spacing w:after="0" w:line="277" w:lineRule="auto"/>
        <w:tabs>
          <w:tab w:leader="none" w:pos="1011" w:val="left"/>
        </w:tabs>
        <w:numPr>
          <w:ilvl w:val="2"/>
          <w:numId w:val="14"/>
        </w:numPr>
        <w:rPr>
          <w:rFonts w:ascii="Arial" w:cs="Arial" w:eastAsia="Arial" w:hAnsi="Arial"/>
          <w:sz w:val="18"/>
          <w:szCs w:val="18"/>
          <w:color w:val="auto"/>
        </w:rPr>
      </w:pPr>
      <w:r>
        <w:rPr>
          <w:rFonts w:ascii="Arial" w:cs="Arial" w:eastAsia="Arial" w:hAnsi="Arial"/>
          <w:sz w:val="18"/>
          <w:szCs w:val="18"/>
          <w:u w:val="single" w:color="auto"/>
          <w:color w:val="auto"/>
        </w:rPr>
        <w:t>Scope of Authority</w:t>
      </w:r>
      <w:r>
        <w:rPr>
          <w:rFonts w:ascii="Arial" w:cs="Arial" w:eastAsia="Arial" w:hAnsi="Arial"/>
          <w:sz w:val="18"/>
          <w:szCs w:val="18"/>
          <w:color w:val="auto"/>
        </w:rPr>
        <w:t>. Subject to the terms of the Plan, the Committee shall have the authority, in its discretion, to take such actions as it deems necessary or advisable to administer the Plan, including:</w:t>
      </w:r>
    </w:p>
    <w:p>
      <w:pPr>
        <w:spacing w:after="0" w:line="170" w:lineRule="exact"/>
        <w:rPr>
          <w:rFonts w:ascii="Arial" w:cs="Arial" w:eastAsia="Arial" w:hAnsi="Arial"/>
          <w:sz w:val="18"/>
          <w:szCs w:val="18"/>
          <w:color w:val="auto"/>
        </w:rPr>
      </w:pPr>
    </w:p>
    <w:p>
      <w:pPr>
        <w:jc w:val="both"/>
        <w:ind w:firstLine="1305"/>
        <w:spacing w:after="0" w:line="264" w:lineRule="auto"/>
        <w:tabs>
          <w:tab w:leader="none" w:pos="1743" w:val="left"/>
        </w:tabs>
        <w:numPr>
          <w:ilvl w:val="3"/>
          <w:numId w:val="14"/>
        </w:numPr>
        <w:rPr>
          <w:rFonts w:ascii="Arial" w:cs="Arial" w:eastAsia="Arial" w:hAnsi="Arial"/>
          <w:sz w:val="18"/>
          <w:szCs w:val="18"/>
          <w:color w:val="auto"/>
        </w:rPr>
      </w:pPr>
      <w:r>
        <w:rPr>
          <w:rFonts w:ascii="Arial" w:cs="Arial" w:eastAsia="Arial" w:hAnsi="Arial"/>
          <w:sz w:val="18"/>
          <w:szCs w:val="18"/>
          <w:color w:val="auto"/>
        </w:rPr>
        <w:t>determining the Service Providers to whom Awards will be granted, the timing of each such Award, the type of and the number of Shares covered by each Award, the terms, conditions, performance criteria, restrictions and other provisions of Awards, and the manner in which Awards are paid or settled;</w:t>
      </w:r>
    </w:p>
    <w:p>
      <w:pPr>
        <w:spacing w:after="0" w:line="181" w:lineRule="exact"/>
        <w:rPr>
          <w:rFonts w:ascii="Arial" w:cs="Arial" w:eastAsia="Arial" w:hAnsi="Arial"/>
          <w:sz w:val="18"/>
          <w:szCs w:val="18"/>
          <w:color w:val="auto"/>
        </w:rPr>
      </w:pPr>
    </w:p>
    <w:p>
      <w:pPr>
        <w:ind w:firstLine="1305"/>
        <w:spacing w:after="0" w:line="277" w:lineRule="auto"/>
        <w:tabs>
          <w:tab w:leader="none" w:pos="1708" w:val="left"/>
        </w:tabs>
        <w:numPr>
          <w:ilvl w:val="3"/>
          <w:numId w:val="14"/>
        </w:numPr>
        <w:rPr>
          <w:rFonts w:ascii="Arial" w:cs="Arial" w:eastAsia="Arial" w:hAnsi="Arial"/>
          <w:sz w:val="18"/>
          <w:szCs w:val="18"/>
          <w:color w:val="auto"/>
        </w:rPr>
      </w:pPr>
      <w:r>
        <w:rPr>
          <w:rFonts w:ascii="Arial" w:cs="Arial" w:eastAsia="Arial" w:hAnsi="Arial"/>
          <w:sz w:val="18"/>
          <w:szCs w:val="18"/>
          <w:color w:val="auto"/>
        </w:rPr>
        <w:t>cancelling or suspending an Award, accelerating the vesting or extending the exercise period of an Award, or otherwise amending the terms and conditions of any outstanding Award, subject to the requirements of Sections 6(b), 15(d) and 15(e);</w:t>
      </w:r>
    </w:p>
    <w:p>
      <w:pPr>
        <w:spacing w:after="0" w:line="170" w:lineRule="exact"/>
        <w:rPr>
          <w:rFonts w:ascii="Arial" w:cs="Arial" w:eastAsia="Arial" w:hAnsi="Arial"/>
          <w:sz w:val="18"/>
          <w:szCs w:val="18"/>
          <w:color w:val="auto"/>
        </w:rPr>
      </w:pPr>
    </w:p>
    <w:p>
      <w:pPr>
        <w:jc w:val="both"/>
        <w:ind w:firstLine="1305"/>
        <w:spacing w:after="0" w:line="264" w:lineRule="auto"/>
        <w:tabs>
          <w:tab w:leader="none" w:pos="1778" w:val="left"/>
        </w:tabs>
        <w:numPr>
          <w:ilvl w:val="3"/>
          <w:numId w:val="14"/>
        </w:numPr>
        <w:rPr>
          <w:rFonts w:ascii="Arial" w:cs="Arial" w:eastAsia="Arial" w:hAnsi="Arial"/>
          <w:sz w:val="18"/>
          <w:szCs w:val="18"/>
          <w:color w:val="auto"/>
        </w:rPr>
      </w:pPr>
      <w:r>
        <w:rPr>
          <w:rFonts w:ascii="Arial" w:cs="Arial" w:eastAsia="Arial" w:hAnsi="Arial"/>
          <w:sz w:val="18"/>
          <w:szCs w:val="18"/>
          <w:color w:val="auto"/>
        </w:rPr>
        <w:t>adopting sub-plans or special provisions applicable to Awards, establishing, amending or rescinding rules to administer the Plan, interpreting the Plan and any Award or Agreement, reconciling any inconsistency, correcting any defect or supplying an omission in the Plan or any Agreement, and making all other determinations necessary or desirable for the administration of the Plan;</w:t>
      </w:r>
    </w:p>
    <w:p>
      <w:pPr>
        <w:spacing w:after="0" w:line="181" w:lineRule="exact"/>
        <w:rPr>
          <w:rFonts w:ascii="Arial" w:cs="Arial" w:eastAsia="Arial" w:hAnsi="Arial"/>
          <w:sz w:val="18"/>
          <w:szCs w:val="18"/>
          <w:color w:val="auto"/>
        </w:rPr>
      </w:pPr>
    </w:p>
    <w:p>
      <w:pPr>
        <w:ind w:left="1700" w:hanging="395"/>
        <w:spacing w:after="0"/>
        <w:tabs>
          <w:tab w:leader="none" w:pos="1700" w:val="left"/>
        </w:tabs>
        <w:numPr>
          <w:ilvl w:val="3"/>
          <w:numId w:val="14"/>
        </w:numPr>
        <w:rPr>
          <w:rFonts w:ascii="Arial" w:cs="Arial" w:eastAsia="Arial" w:hAnsi="Arial"/>
          <w:sz w:val="18"/>
          <w:szCs w:val="18"/>
          <w:color w:val="auto"/>
        </w:rPr>
      </w:pPr>
      <w:r>
        <w:rPr>
          <w:rFonts w:ascii="Arial" w:cs="Arial" w:eastAsia="Arial" w:hAnsi="Arial"/>
          <w:sz w:val="18"/>
          <w:szCs w:val="18"/>
          <w:color w:val="auto"/>
        </w:rPr>
        <w:t>granting Substitute Awards under the Plan; and</w:t>
      </w:r>
    </w:p>
    <w:p>
      <w:pPr>
        <w:spacing w:after="0" w:line="333" w:lineRule="exact"/>
        <w:rPr>
          <w:rFonts w:ascii="Arial" w:cs="Arial" w:eastAsia="Arial" w:hAnsi="Arial"/>
          <w:sz w:val="18"/>
          <w:szCs w:val="18"/>
          <w:color w:val="auto"/>
        </w:rPr>
      </w:pPr>
    </w:p>
    <w:p>
      <w:pPr>
        <w:ind w:left="1700" w:hanging="395"/>
        <w:spacing w:after="0"/>
        <w:tabs>
          <w:tab w:leader="none" w:pos="1700" w:val="left"/>
        </w:tabs>
        <w:numPr>
          <w:ilvl w:val="3"/>
          <w:numId w:val="14"/>
        </w:numPr>
        <w:rPr>
          <w:rFonts w:ascii="Arial" w:cs="Arial" w:eastAsia="Arial" w:hAnsi="Arial"/>
          <w:sz w:val="17"/>
          <w:szCs w:val="17"/>
          <w:color w:val="auto"/>
        </w:rPr>
      </w:pPr>
      <w:r>
        <w:rPr>
          <w:rFonts w:ascii="Arial" w:cs="Arial" w:eastAsia="Arial" w:hAnsi="Arial"/>
          <w:sz w:val="17"/>
          <w:szCs w:val="17"/>
          <w:color w:val="auto"/>
        </w:rPr>
        <w:t>requiring or permitting the deferral of the settlement of an Award, and establishing the terms and conditions of any such deferral.</w:t>
      </w:r>
    </w:p>
    <w:p>
      <w:pPr>
        <w:spacing w:after="0" w:line="1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Notwithstanding the foregoing, the Board shall perform the duties and have the responsibilities of the Committee with respect to Awards made to Non-Employee Directors.</w:t>
      </w:r>
    </w:p>
    <w:p>
      <w:pPr>
        <w:spacing w:after="0" w:line="170" w:lineRule="exact"/>
        <w:rPr>
          <w:sz w:val="20"/>
          <w:szCs w:val="20"/>
          <w:color w:val="auto"/>
        </w:rPr>
      </w:pPr>
    </w:p>
    <w:p>
      <w:pPr>
        <w:jc w:val="both"/>
        <w:ind w:firstLine="494"/>
        <w:spacing w:after="0" w:line="272" w:lineRule="auto"/>
        <w:tabs>
          <w:tab w:leader="none" w:pos="879" w:val="left"/>
        </w:tabs>
        <w:numPr>
          <w:ilvl w:val="0"/>
          <w:numId w:val="15"/>
        </w:numPr>
        <w:rPr>
          <w:rFonts w:ascii="Arial" w:cs="Arial" w:eastAsia="Arial" w:hAnsi="Arial"/>
          <w:sz w:val="17"/>
          <w:szCs w:val="17"/>
          <w:color w:val="auto"/>
        </w:rPr>
      </w:pPr>
      <w:r>
        <w:rPr>
          <w:rFonts w:ascii="Arial" w:cs="Arial" w:eastAsia="Arial" w:hAnsi="Arial"/>
          <w:sz w:val="17"/>
          <w:szCs w:val="17"/>
          <w:u w:val="single" w:color="auto"/>
          <w:color w:val="auto"/>
        </w:rPr>
        <w:t>Awards to Foreign Service Providers</w:t>
      </w:r>
      <w:r>
        <w:rPr>
          <w:rFonts w:ascii="Arial" w:cs="Arial" w:eastAsia="Arial" w:hAnsi="Arial"/>
          <w:sz w:val="17"/>
          <w:szCs w:val="17"/>
          <w:color w:val="auto"/>
        </w:rPr>
        <w:t>. The Committee may grant Awards to Service Providers who are foreign nationals, who are located outside of the United States or who are not compensated from a payroll maintained in the United States, or who are otherwise subject to (or could cause the Company to be subject to) legal or regulatory requirements of countries outside of the United States, on such terms and conditions different from those specified in the Plan as may, in the judgment of the Committee, be necessary or desirable to comply with applicable foreign laws and regulatory requirements and to promote achievement of the purposes of the Plan. In connection therewith, the Committee may establish such subplans and modify exercise procedures and other Plan rules and procedures to the extent such actions are deemed necessary or desirable, and may take any other action that it deems advisable to obtain local regulatory approvals or to comply with any necessary local governmental regulatory exemptions.</w:t>
      </w:r>
    </w:p>
    <w:p>
      <w:pPr>
        <w:spacing w:after="0" w:line="177" w:lineRule="exact"/>
        <w:rPr>
          <w:rFonts w:ascii="Arial" w:cs="Arial" w:eastAsia="Arial" w:hAnsi="Arial"/>
          <w:sz w:val="17"/>
          <w:szCs w:val="17"/>
          <w:color w:val="auto"/>
        </w:rPr>
      </w:pPr>
    </w:p>
    <w:p>
      <w:pPr>
        <w:jc w:val="both"/>
        <w:ind w:firstLine="494"/>
        <w:spacing w:after="0" w:line="271" w:lineRule="auto"/>
        <w:tabs>
          <w:tab w:leader="none" w:pos="916" w:val="left"/>
        </w:tabs>
        <w:numPr>
          <w:ilvl w:val="0"/>
          <w:numId w:val="15"/>
        </w:numPr>
        <w:rPr>
          <w:rFonts w:ascii="Arial" w:cs="Arial" w:eastAsia="Arial" w:hAnsi="Arial"/>
          <w:sz w:val="17"/>
          <w:szCs w:val="17"/>
          <w:color w:val="auto"/>
        </w:rPr>
      </w:pPr>
      <w:r>
        <w:rPr>
          <w:rFonts w:ascii="Arial" w:cs="Arial" w:eastAsia="Arial" w:hAnsi="Arial"/>
          <w:sz w:val="17"/>
          <w:szCs w:val="17"/>
          <w:u w:val="single" w:color="auto"/>
          <w:color w:val="auto"/>
        </w:rPr>
        <w:t>Acts of the Committee; Delegation</w:t>
      </w:r>
      <w:r>
        <w:rPr>
          <w:rFonts w:ascii="Arial" w:cs="Arial" w:eastAsia="Arial" w:hAnsi="Arial"/>
          <w:sz w:val="17"/>
          <w:szCs w:val="17"/>
          <w:color w:val="auto"/>
        </w:rPr>
        <w:t>. A majority of the members of the Committee shall constitute a quorum for any meeting of the Committee, and any act of a majority of the members present at any meeting at which a quorum is present or any act unanimously approved in writing by all members of the Committee shall be the act of the Committee. Any such action of the Committee shall be valid and effective even if one or more members of the Committee at the time of such action are later determined not to have satisfied all of the criteria for membership in clauses (i) and (ii) of Section 2(h). To the extent not inconsistent with applicable law or stock exchange rules, the Committee may delegate all or any portion of its authority under the Plan to any one or more of its members or, as to Awards to Participants who are not subject to Section 16 of the Exchange Act, to one or more directors or executive officers of the Company or to a committee of the Board comprised of one or more directors of the Company. The Committee may also delegate non-discretionary administrative responsibilities in connection with the Plan to such other persons as it deems advisable.</w:t>
      </w:r>
    </w:p>
    <w:p>
      <w:pPr>
        <w:spacing w:after="0" w:line="178" w:lineRule="exact"/>
        <w:rPr>
          <w:rFonts w:ascii="Arial" w:cs="Arial" w:eastAsia="Arial" w:hAnsi="Arial"/>
          <w:sz w:val="17"/>
          <w:szCs w:val="17"/>
          <w:color w:val="auto"/>
        </w:rPr>
      </w:pPr>
    </w:p>
    <w:p>
      <w:pPr>
        <w:ind w:firstLine="494"/>
        <w:spacing w:after="0" w:line="277" w:lineRule="auto"/>
        <w:tabs>
          <w:tab w:leader="none" w:pos="866" w:val="left"/>
        </w:tabs>
        <w:numPr>
          <w:ilvl w:val="0"/>
          <w:numId w:val="15"/>
        </w:numPr>
        <w:rPr>
          <w:rFonts w:ascii="Arial" w:cs="Arial" w:eastAsia="Arial" w:hAnsi="Arial"/>
          <w:sz w:val="18"/>
          <w:szCs w:val="18"/>
          <w:color w:val="auto"/>
        </w:rPr>
      </w:pPr>
      <w:r>
        <w:rPr>
          <w:rFonts w:ascii="Arial" w:cs="Arial" w:eastAsia="Arial" w:hAnsi="Arial"/>
          <w:sz w:val="18"/>
          <w:szCs w:val="18"/>
          <w:u w:val="single" w:color="auto"/>
          <w:color w:val="auto"/>
        </w:rPr>
        <w:t>Finality of Decisions</w:t>
      </w:r>
      <w:r>
        <w:rPr>
          <w:rFonts w:ascii="Arial" w:cs="Arial" w:eastAsia="Arial" w:hAnsi="Arial"/>
          <w:sz w:val="18"/>
          <w:szCs w:val="18"/>
          <w:color w:val="auto"/>
        </w:rPr>
        <w:t>. The Committee’s interpretation of the Plan and of any Award or Agreement made under the Plan and all related decisions or resolutions of the Board or Committee shall be final and binding on all parties with an interest therein.</w:t>
      </w:r>
    </w:p>
    <w:p>
      <w:pPr>
        <w:spacing w:after="0" w:line="170" w:lineRule="exact"/>
        <w:rPr>
          <w:rFonts w:ascii="Arial" w:cs="Arial" w:eastAsia="Arial" w:hAnsi="Arial"/>
          <w:sz w:val="18"/>
          <w:szCs w:val="18"/>
          <w:color w:val="auto"/>
        </w:rPr>
      </w:pPr>
    </w:p>
    <w:p>
      <w:pPr>
        <w:ind w:firstLine="494"/>
        <w:spacing w:after="0" w:line="277" w:lineRule="auto"/>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u w:val="single" w:color="auto"/>
          <w:color w:val="auto"/>
        </w:rPr>
        <w:t>Indemnification</w:t>
      </w:r>
      <w:r>
        <w:rPr>
          <w:rFonts w:ascii="Arial" w:cs="Arial" w:eastAsia="Arial" w:hAnsi="Arial"/>
          <w:sz w:val="18"/>
          <w:szCs w:val="18"/>
          <w:color w:val="auto"/>
        </w:rPr>
        <w:t>. Each person who is or has been a member of the Committee or of the Board, and any other person to whom the Committee delegates authority under the Plan, shall be indemnified by the Company, to the maximum extent</w:t>
      </w:r>
    </w:p>
    <w:p>
      <w:pPr>
        <w:sectPr>
          <w:pgSz w:w="11900" w:h="16838" w:orient="portrait"/>
          <w:cols w:equalWidth="0" w:num="1">
            <w:col w:w="11420"/>
          </w:cols>
          <w:pgMar w:left="240" w:top="584" w:right="239" w:bottom="1440" w:gutter="0" w:footer="0" w:header="0"/>
        </w:sectPr>
      </w:pPr>
    </w:p>
    <w:bookmarkStart w:id="29" w:name="page30"/>
    <w:bookmarkEnd w:id="29"/>
    <w:p>
      <w:pPr>
        <w:jc w:val="both"/>
        <w:spacing w:after="0" w:line="293" w:lineRule="auto"/>
        <w:rPr>
          <w:sz w:val="20"/>
          <w:szCs w:val="20"/>
          <w:color w:val="auto"/>
        </w:rPr>
      </w:pPr>
      <w:r>
        <w:rPr>
          <w:rFonts w:ascii="Arial" w:cs="Arial" w:eastAsia="Arial" w:hAnsi="Arial"/>
          <w:sz w:val="16"/>
          <w:szCs w:val="16"/>
          <w:color w:val="auto"/>
        </w:rPr>
        <w:t>permitted by law, against liabilities and expenses imposed upon or reasonably incurred by such person in connection with or resulting from any claims against such person by reason of the performance of the individual's duties under the Plan. This right to indemnification is conditioned upon such person providing the Company an opportunity, at the Company’s expense, to handle and defend the claims before such person undertakes to handle and defend them on such person’s own behalf. The Company will not be required to indemnify any person for any amount paid in settlement of a claim unless the Company has first consented in writing to the settlement. The foregoing right of indemnification shall not be exclusive of any other rights of indemnification to which such person or persons may be entitled under the Company’s Certificate of Incorporation or Bylaws, as a matter of law, or otherwise.</w:t>
      </w:r>
    </w:p>
    <w:p>
      <w:pPr>
        <w:spacing w:after="0" w:line="161" w:lineRule="exact"/>
        <w:rPr>
          <w:sz w:val="20"/>
          <w:szCs w:val="20"/>
          <w:color w:val="auto"/>
        </w:rPr>
      </w:pPr>
    </w:p>
    <w:p>
      <w:pPr>
        <w:ind w:left="320" w:hanging="312"/>
        <w:spacing w:after="0"/>
        <w:tabs>
          <w:tab w:leader="none" w:pos="320" w:val="left"/>
        </w:tabs>
        <w:numPr>
          <w:ilvl w:val="0"/>
          <w:numId w:val="16"/>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Shares Available Under the Plan</w:t>
      </w:r>
      <w:r>
        <w:rPr>
          <w:rFonts w:ascii="Arial" w:cs="Arial" w:eastAsia="Arial" w:hAnsi="Arial"/>
          <w:sz w:val="18"/>
          <w:szCs w:val="18"/>
          <w:b w:val="1"/>
          <w:bCs w:val="1"/>
          <w:color w:val="auto"/>
        </w:rPr>
        <w:t>.</w:t>
      </w:r>
    </w:p>
    <w:p>
      <w:pPr>
        <w:spacing w:after="0" w:line="229" w:lineRule="exact"/>
        <w:rPr>
          <w:rFonts w:ascii="Arial" w:cs="Arial" w:eastAsia="Arial" w:hAnsi="Arial"/>
          <w:sz w:val="18"/>
          <w:szCs w:val="18"/>
          <w:b w:val="1"/>
          <w:bCs w:val="1"/>
          <w:color w:val="auto"/>
        </w:rPr>
      </w:pPr>
    </w:p>
    <w:p>
      <w:pPr>
        <w:jc w:val="both"/>
        <w:ind w:firstLine="602"/>
        <w:spacing w:after="0" w:line="259" w:lineRule="auto"/>
        <w:tabs>
          <w:tab w:leader="none" w:pos="1041" w:val="left"/>
        </w:tabs>
        <w:numPr>
          <w:ilvl w:val="2"/>
          <w:numId w:val="16"/>
        </w:numPr>
        <w:rPr>
          <w:rFonts w:ascii="Arial" w:cs="Arial" w:eastAsia="Arial" w:hAnsi="Arial"/>
          <w:sz w:val="18"/>
          <w:szCs w:val="18"/>
          <w:color w:val="auto"/>
        </w:rPr>
      </w:pPr>
      <w:r>
        <w:rPr>
          <w:rFonts w:ascii="Arial" w:cs="Arial" w:eastAsia="Arial" w:hAnsi="Arial"/>
          <w:sz w:val="18"/>
          <w:szCs w:val="18"/>
          <w:u w:val="single" w:color="auto"/>
          <w:color w:val="auto"/>
        </w:rPr>
        <w:t>Maximum Shares Available</w:t>
      </w:r>
      <w:r>
        <w:rPr>
          <w:rFonts w:ascii="Arial" w:cs="Arial" w:eastAsia="Arial" w:hAnsi="Arial"/>
          <w:sz w:val="18"/>
          <w:szCs w:val="18"/>
          <w:color w:val="auto"/>
        </w:rPr>
        <w:t>. Subject to Section 4(b) and to adjustment as provided in Section 12(a), the number of Shares that may be the subject of Awards and issued under the Plan shall be 750,000. No further awards may be made under the Prior Plan after the effective date of this Plan. Shares issued under the Plan may come from authorized and unissued shares. In determining the number of Shares to be counted against this share reserve in connection with any Award, the following rules shall apply:</w:t>
      </w:r>
    </w:p>
    <w:p>
      <w:pPr>
        <w:spacing w:after="0" w:line="186" w:lineRule="exact"/>
        <w:rPr>
          <w:rFonts w:ascii="Arial" w:cs="Arial" w:eastAsia="Arial" w:hAnsi="Arial"/>
          <w:sz w:val="18"/>
          <w:szCs w:val="18"/>
          <w:color w:val="auto"/>
        </w:rPr>
      </w:pPr>
    </w:p>
    <w:p>
      <w:pPr>
        <w:jc w:val="both"/>
        <w:ind w:firstLine="1305"/>
        <w:spacing w:after="0" w:line="264" w:lineRule="auto"/>
        <w:tabs>
          <w:tab w:leader="none" w:pos="1710" w:val="left"/>
        </w:tabs>
        <w:numPr>
          <w:ilvl w:val="4"/>
          <w:numId w:val="16"/>
        </w:numPr>
        <w:rPr>
          <w:rFonts w:ascii="Arial" w:cs="Arial" w:eastAsia="Arial" w:hAnsi="Arial"/>
          <w:sz w:val="18"/>
          <w:szCs w:val="18"/>
          <w:color w:val="auto"/>
        </w:rPr>
      </w:pPr>
      <w:r>
        <w:rPr>
          <w:rFonts w:ascii="Arial" w:cs="Arial" w:eastAsia="Arial" w:hAnsi="Arial"/>
          <w:sz w:val="18"/>
          <w:szCs w:val="18"/>
          <w:color w:val="auto"/>
        </w:rPr>
        <w:t>Where the number of Shares subject to an Award is variable on the Grant Date, the number of Shares to be counted against the share reserve shall be the maximum number of Shares that could be received under that particular Award, until such time as it can be determined that only a lesser number of shares could be received.</w:t>
      </w:r>
    </w:p>
    <w:p>
      <w:pPr>
        <w:spacing w:after="0" w:line="181" w:lineRule="exact"/>
        <w:rPr>
          <w:rFonts w:ascii="Arial" w:cs="Arial" w:eastAsia="Arial" w:hAnsi="Arial"/>
          <w:sz w:val="18"/>
          <w:szCs w:val="18"/>
          <w:color w:val="auto"/>
        </w:rPr>
      </w:pPr>
    </w:p>
    <w:p>
      <w:pPr>
        <w:jc w:val="both"/>
        <w:ind w:firstLine="1305"/>
        <w:spacing w:after="0" w:line="264" w:lineRule="auto"/>
        <w:tabs>
          <w:tab w:leader="none" w:pos="1685" w:val="left"/>
        </w:tabs>
        <w:numPr>
          <w:ilvl w:val="4"/>
          <w:numId w:val="16"/>
        </w:numPr>
        <w:rPr>
          <w:rFonts w:ascii="Arial" w:cs="Arial" w:eastAsia="Arial" w:hAnsi="Arial"/>
          <w:sz w:val="18"/>
          <w:szCs w:val="18"/>
          <w:color w:val="auto"/>
        </w:rPr>
      </w:pPr>
      <w:r>
        <w:rPr>
          <w:rFonts w:ascii="Arial" w:cs="Arial" w:eastAsia="Arial" w:hAnsi="Arial"/>
          <w:sz w:val="18"/>
          <w:szCs w:val="18"/>
          <w:color w:val="auto"/>
        </w:rPr>
        <w:t>Where two or more types of Awards are granted to a Participant in tandem with each other, such that the exercise of one type of Award with respect to a number of Shares cancels at least an equal number of Shares of the other, the number of Shares to be counted against the share reserve shall be the largest number of Shares that would be counted against the share reserve under either of the Awards.</w:t>
      </w:r>
    </w:p>
    <w:p>
      <w:pPr>
        <w:spacing w:after="0" w:line="181" w:lineRule="exact"/>
        <w:rPr>
          <w:rFonts w:ascii="Arial" w:cs="Arial" w:eastAsia="Arial" w:hAnsi="Arial"/>
          <w:sz w:val="18"/>
          <w:szCs w:val="18"/>
          <w:color w:val="auto"/>
        </w:rPr>
      </w:pPr>
    </w:p>
    <w:p>
      <w:pPr>
        <w:ind w:firstLine="1305"/>
        <w:spacing w:after="0" w:line="277" w:lineRule="auto"/>
        <w:tabs>
          <w:tab w:leader="none" w:pos="1754" w:val="left"/>
        </w:tabs>
        <w:numPr>
          <w:ilvl w:val="4"/>
          <w:numId w:val="16"/>
        </w:numPr>
        <w:rPr>
          <w:rFonts w:ascii="Arial" w:cs="Arial" w:eastAsia="Arial" w:hAnsi="Arial"/>
          <w:sz w:val="18"/>
          <w:szCs w:val="18"/>
          <w:color w:val="auto"/>
        </w:rPr>
      </w:pPr>
      <w:r>
        <w:rPr>
          <w:rFonts w:ascii="Arial" w:cs="Arial" w:eastAsia="Arial" w:hAnsi="Arial"/>
          <w:sz w:val="18"/>
          <w:szCs w:val="18"/>
          <w:color w:val="auto"/>
        </w:rPr>
        <w:t>Shares subject to Substitute Awards shall not be counted against the share reserve, nor shall they reduce the Shares authorized for grant to a Participant in any calendar year.</w:t>
      </w:r>
    </w:p>
    <w:p>
      <w:pPr>
        <w:spacing w:after="0" w:line="170" w:lineRule="exact"/>
        <w:rPr>
          <w:rFonts w:ascii="Arial" w:cs="Arial" w:eastAsia="Arial" w:hAnsi="Arial"/>
          <w:sz w:val="18"/>
          <w:szCs w:val="18"/>
          <w:color w:val="auto"/>
        </w:rPr>
      </w:pPr>
    </w:p>
    <w:p>
      <w:pPr>
        <w:ind w:right="20" w:firstLine="1305"/>
        <w:spacing w:after="0" w:line="277" w:lineRule="auto"/>
        <w:tabs>
          <w:tab w:leader="none" w:pos="1678" w:val="left"/>
        </w:tabs>
        <w:numPr>
          <w:ilvl w:val="4"/>
          <w:numId w:val="16"/>
        </w:numPr>
        <w:rPr>
          <w:rFonts w:ascii="Arial" w:cs="Arial" w:eastAsia="Arial" w:hAnsi="Arial"/>
          <w:sz w:val="18"/>
          <w:szCs w:val="18"/>
          <w:color w:val="auto"/>
        </w:rPr>
      </w:pPr>
      <w:r>
        <w:rPr>
          <w:rFonts w:ascii="Arial" w:cs="Arial" w:eastAsia="Arial" w:hAnsi="Arial"/>
          <w:sz w:val="18"/>
          <w:szCs w:val="18"/>
          <w:color w:val="auto"/>
        </w:rPr>
        <w:t>Awards that may be settled solely in cash shall not be counted against the share reserve, nor shall they reduce the Shares authorized for grant to a Participant in any calendar year.</w:t>
      </w:r>
    </w:p>
    <w:p>
      <w:pPr>
        <w:spacing w:after="0" w:line="170" w:lineRule="exact"/>
        <w:rPr>
          <w:rFonts w:ascii="Arial" w:cs="Arial" w:eastAsia="Arial" w:hAnsi="Arial"/>
          <w:sz w:val="18"/>
          <w:szCs w:val="18"/>
          <w:color w:val="auto"/>
        </w:rPr>
      </w:pPr>
    </w:p>
    <w:p>
      <w:pPr>
        <w:jc w:val="both"/>
        <w:ind w:firstLine="656"/>
        <w:spacing w:after="0" w:line="270" w:lineRule="auto"/>
        <w:tabs>
          <w:tab w:leader="none" w:pos="1038" w:val="left"/>
        </w:tabs>
        <w:numPr>
          <w:ilvl w:val="3"/>
          <w:numId w:val="16"/>
        </w:numPr>
        <w:rPr>
          <w:rFonts w:ascii="Arial" w:cs="Arial" w:eastAsia="Arial" w:hAnsi="Arial"/>
          <w:sz w:val="17"/>
          <w:szCs w:val="17"/>
          <w:color w:val="auto"/>
        </w:rPr>
      </w:pPr>
      <w:r>
        <w:rPr>
          <w:rFonts w:ascii="Arial" w:cs="Arial" w:eastAsia="Arial" w:hAnsi="Arial"/>
          <w:sz w:val="17"/>
          <w:szCs w:val="17"/>
          <w:u w:val="single" w:color="auto"/>
          <w:color w:val="auto"/>
        </w:rPr>
        <w:t>Effect of Forfeitures and Other Actions</w:t>
      </w:r>
      <w:r>
        <w:rPr>
          <w:rFonts w:ascii="Arial" w:cs="Arial" w:eastAsia="Arial" w:hAnsi="Arial"/>
          <w:sz w:val="17"/>
          <w:szCs w:val="17"/>
          <w:color w:val="auto"/>
        </w:rPr>
        <w:t>. Any Shares subject to an Award, or to an award granted under the Prior Plan that is outstanding on the effective date of this Plan (a “Prior Plan Award”), that expires, is cancelled or forfeited or is settled for cash shall, to the extent of such cancellation, forfeiture, expiration or cash settlement, again become available for Awards under this Plan, and the share reserve under Section 4(a) shall be correspondingly replenished. The following Shares shall not, however, again become available for Awards or replenish the share reserve under Section 4(a): (i) Shares tendered (either actually or by attestation) by the Participant or withheld by the Company in payment of the exercise price of a stock option issued under this Plan or the Prior Plan, (ii) Shares tendered (either actually or by attestation) by the Participant or withheld by the Company to satisfy any tax withholding obligation with respect to an award under this Plan or the Prior Plan, (iii) Shares repurchased by the Company with proceeds received from the exercise of a stock option issued under this Plan or the Prior Plan, and (iv) Shares subject to a stock appreciation right award issued under this Plan or the Prior Plan that are not issued in connection with the stock settlement of that award upon its exercise.</w:t>
      </w:r>
    </w:p>
    <w:p>
      <w:pPr>
        <w:spacing w:after="0" w:line="181" w:lineRule="exact"/>
        <w:rPr>
          <w:rFonts w:ascii="Arial" w:cs="Arial" w:eastAsia="Arial" w:hAnsi="Arial"/>
          <w:sz w:val="17"/>
          <w:szCs w:val="17"/>
          <w:color w:val="auto"/>
        </w:rPr>
      </w:pPr>
    </w:p>
    <w:p>
      <w:pPr>
        <w:jc w:val="both"/>
        <w:ind w:firstLine="575"/>
        <w:spacing w:after="0" w:line="254" w:lineRule="auto"/>
        <w:tabs>
          <w:tab w:leader="none" w:pos="960" w:val="left"/>
        </w:tabs>
        <w:numPr>
          <w:ilvl w:val="1"/>
          <w:numId w:val="16"/>
        </w:numPr>
        <w:rPr>
          <w:rFonts w:ascii="Arial" w:cs="Arial" w:eastAsia="Arial" w:hAnsi="Arial"/>
          <w:sz w:val="18"/>
          <w:szCs w:val="18"/>
          <w:color w:val="auto"/>
        </w:rPr>
      </w:pPr>
      <w:r>
        <w:rPr>
          <w:rFonts w:ascii="Arial" w:cs="Arial" w:eastAsia="Arial" w:hAnsi="Arial"/>
          <w:sz w:val="18"/>
          <w:szCs w:val="18"/>
          <w:u w:val="single" w:color="auto"/>
          <w:color w:val="auto"/>
        </w:rPr>
        <w:t>Effect of Plans Operated by Acquired Companies</w:t>
      </w:r>
      <w:r>
        <w:rPr>
          <w:rFonts w:ascii="Arial" w:cs="Arial" w:eastAsia="Arial" w:hAnsi="Arial"/>
          <w:sz w:val="18"/>
          <w:szCs w:val="18"/>
          <w:color w:val="auto"/>
        </w:rPr>
        <w:t>. If a company acquired by the Company or any Subsidiary or with which the Company or any Subsidiary combines has shares available under a pre-existing plan approved by shareholders and not adopted in contemplation of such acquisition or combination, the shares available for grant pursuant to the terms of such pre-existing plan (as adjusted, to the extent appropriate, using the exchange ratio or other adjustment or valuation ratio or formula used in such acquisition or combination to determine the consideration payable to the holders of common stock of the entities party to such acquisition or combination) may be used for Awards under the Plan and shall supplement the Share reserve under Section 4(a). Awards using such available shares shall not be made after the date awards or grants could have been made under the terms of the pre-existing plan absent the acquisition or combination, and shall only be made to individuals who were not Employees or Non-Employee Directors prior to such acquisition or combination.</w:t>
      </w:r>
    </w:p>
    <w:p>
      <w:pPr>
        <w:spacing w:after="0" w:line="192" w:lineRule="exact"/>
        <w:rPr>
          <w:rFonts w:ascii="Arial" w:cs="Arial" w:eastAsia="Arial" w:hAnsi="Arial"/>
          <w:sz w:val="18"/>
          <w:szCs w:val="18"/>
          <w:color w:val="auto"/>
        </w:rPr>
      </w:pPr>
    </w:p>
    <w:p>
      <w:pPr>
        <w:jc w:val="both"/>
        <w:ind w:firstLine="575"/>
        <w:spacing w:after="0" w:line="264" w:lineRule="auto"/>
        <w:tabs>
          <w:tab w:leader="none" w:pos="1038" w:val="left"/>
        </w:tabs>
        <w:numPr>
          <w:ilvl w:val="1"/>
          <w:numId w:val="16"/>
        </w:numPr>
        <w:rPr>
          <w:rFonts w:ascii="Arial" w:cs="Arial" w:eastAsia="Arial" w:hAnsi="Arial"/>
          <w:sz w:val="18"/>
          <w:szCs w:val="18"/>
          <w:color w:val="auto"/>
        </w:rPr>
      </w:pPr>
      <w:r>
        <w:rPr>
          <w:rFonts w:ascii="Arial" w:cs="Arial" w:eastAsia="Arial" w:hAnsi="Arial"/>
          <w:sz w:val="18"/>
          <w:szCs w:val="18"/>
          <w:u w:val="single" w:color="auto"/>
          <w:color w:val="auto"/>
        </w:rPr>
        <w:t>No Fractional Shares</w:t>
      </w:r>
      <w:r>
        <w:rPr>
          <w:rFonts w:ascii="Arial" w:cs="Arial" w:eastAsia="Arial" w:hAnsi="Arial"/>
          <w:sz w:val="18"/>
          <w:szCs w:val="18"/>
          <w:color w:val="auto"/>
        </w:rPr>
        <w:t>. Unless otherwise determined by the Committee, the number of Shares subject to an Award shall always be a whole number. No fractional Shares may be issued under the Plan, but the Committee may, in its discretion, adopt any rounding convention it deems suitable or pay cash in lieu of any fractional Share in settlement of an Award.</w:t>
      </w:r>
    </w:p>
    <w:p>
      <w:pPr>
        <w:sectPr>
          <w:pgSz w:w="11900" w:h="16838" w:orient="portrait"/>
          <w:cols w:equalWidth="0" w:num="1">
            <w:col w:w="11420"/>
          </w:cols>
          <w:pgMar w:left="240" w:top="584" w:right="239" w:bottom="1440" w:gutter="0" w:footer="0" w:header="0"/>
        </w:sectPr>
      </w:pPr>
    </w:p>
    <w:bookmarkStart w:id="30" w:name="page31"/>
    <w:bookmarkEnd w:id="30"/>
    <w:p>
      <w:pPr>
        <w:ind w:left="312" w:hanging="312"/>
        <w:spacing w:after="0"/>
        <w:tabs>
          <w:tab w:leader="none" w:pos="312" w:val="left"/>
        </w:tabs>
        <w:numPr>
          <w:ilvl w:val="0"/>
          <w:numId w:val="17"/>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Eligibility</w:t>
      </w:r>
      <w:r>
        <w:rPr>
          <w:rFonts w:ascii="Arial" w:cs="Arial" w:eastAsia="Arial" w:hAnsi="Arial"/>
          <w:sz w:val="18"/>
          <w:szCs w:val="18"/>
          <w:b w:val="1"/>
          <w:bCs w:val="1"/>
          <w:color w:val="auto"/>
        </w:rPr>
        <w:t xml:space="preserve">. </w:t>
      </w:r>
      <w:r>
        <w:rPr>
          <w:rFonts w:ascii="Arial" w:cs="Arial" w:eastAsia="Arial" w:hAnsi="Arial"/>
          <w:sz w:val="18"/>
          <w:szCs w:val="18"/>
          <w:color w:val="auto"/>
        </w:rPr>
        <w:t>Participation in the Plan is limited to Service Providers. Incentive Stock Options may only be granted to Employees.</w:t>
      </w:r>
    </w:p>
    <w:p>
      <w:pPr>
        <w:spacing w:after="0" w:line="225" w:lineRule="exact"/>
        <w:rPr>
          <w:rFonts w:ascii="Arial" w:cs="Arial" w:eastAsia="Arial" w:hAnsi="Arial"/>
          <w:sz w:val="18"/>
          <w:szCs w:val="18"/>
          <w:b w:val="1"/>
          <w:bCs w:val="1"/>
          <w:color w:val="auto"/>
        </w:rPr>
      </w:pPr>
    </w:p>
    <w:p>
      <w:pPr>
        <w:ind w:left="312" w:hanging="312"/>
        <w:spacing w:after="0"/>
        <w:tabs>
          <w:tab w:leader="none" w:pos="312" w:val="left"/>
        </w:tabs>
        <w:numPr>
          <w:ilvl w:val="0"/>
          <w:numId w:val="17"/>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General Terms of Awards</w:t>
      </w:r>
      <w:r>
        <w:rPr>
          <w:rFonts w:ascii="Arial" w:cs="Arial" w:eastAsia="Arial" w:hAnsi="Arial"/>
          <w:sz w:val="18"/>
          <w:szCs w:val="18"/>
          <w:b w:val="1"/>
          <w:bCs w:val="1"/>
          <w:color w:val="auto"/>
        </w:rPr>
        <w:t>.</w:t>
      </w:r>
    </w:p>
    <w:p>
      <w:pPr>
        <w:spacing w:after="0" w:line="229" w:lineRule="exact"/>
        <w:rPr>
          <w:rFonts w:ascii="Arial" w:cs="Arial" w:eastAsia="Arial" w:hAnsi="Arial"/>
          <w:sz w:val="18"/>
          <w:szCs w:val="18"/>
          <w:b w:val="1"/>
          <w:bCs w:val="1"/>
          <w:color w:val="auto"/>
        </w:rPr>
      </w:pPr>
    </w:p>
    <w:p>
      <w:pPr>
        <w:jc w:val="both"/>
        <w:ind w:left="-8" w:firstLine="575"/>
        <w:spacing w:after="0" w:line="279" w:lineRule="auto"/>
        <w:tabs>
          <w:tab w:leader="none" w:pos="966" w:val="left"/>
        </w:tabs>
        <w:numPr>
          <w:ilvl w:val="1"/>
          <w:numId w:val="17"/>
        </w:numPr>
        <w:rPr>
          <w:rFonts w:ascii="Arial" w:cs="Arial" w:eastAsia="Arial" w:hAnsi="Arial"/>
          <w:sz w:val="17"/>
          <w:szCs w:val="17"/>
          <w:color w:val="auto"/>
        </w:rPr>
      </w:pPr>
      <w:r>
        <w:rPr>
          <w:rFonts w:ascii="Arial" w:cs="Arial" w:eastAsia="Arial" w:hAnsi="Arial"/>
          <w:sz w:val="17"/>
          <w:szCs w:val="17"/>
          <w:u w:val="single" w:color="auto"/>
          <w:color w:val="auto"/>
        </w:rPr>
        <w:t>Award Agreement</w:t>
      </w:r>
      <w:r>
        <w:rPr>
          <w:rFonts w:ascii="Arial" w:cs="Arial" w:eastAsia="Arial" w:hAnsi="Arial"/>
          <w:sz w:val="17"/>
          <w:szCs w:val="17"/>
          <w:color w:val="auto"/>
        </w:rPr>
        <w:t>. Each Award shall be evidenced by an Agreement setting forth the amount of the Award together with such other terms and conditions applicable to the Award (and not inconsistent with the Plan) as determined by the Committee. An Award to a Participant may be made singly or in combination with any form of Award. Two types of Awards may be made in tandem with each other such that the exercise of one type of Award with respect to a number of Shares reduces the number of Shares subject to the related Award by at least an equal amount.</w:t>
      </w:r>
    </w:p>
    <w:p>
      <w:pPr>
        <w:spacing w:after="0" w:line="171" w:lineRule="exact"/>
        <w:rPr>
          <w:rFonts w:ascii="Arial" w:cs="Arial" w:eastAsia="Arial" w:hAnsi="Arial"/>
          <w:sz w:val="17"/>
          <w:szCs w:val="17"/>
          <w:color w:val="auto"/>
        </w:rPr>
      </w:pPr>
    </w:p>
    <w:p>
      <w:pPr>
        <w:jc w:val="both"/>
        <w:ind w:left="-8" w:firstLine="575"/>
        <w:spacing w:after="0" w:line="269" w:lineRule="auto"/>
        <w:tabs>
          <w:tab w:leader="none" w:pos="990" w:val="left"/>
        </w:tabs>
        <w:numPr>
          <w:ilvl w:val="1"/>
          <w:numId w:val="17"/>
        </w:numPr>
        <w:rPr>
          <w:rFonts w:ascii="Arial" w:cs="Arial" w:eastAsia="Arial" w:hAnsi="Arial"/>
          <w:sz w:val="17"/>
          <w:szCs w:val="17"/>
          <w:color w:val="auto"/>
        </w:rPr>
      </w:pPr>
      <w:r>
        <w:rPr>
          <w:rFonts w:ascii="Arial" w:cs="Arial" w:eastAsia="Arial" w:hAnsi="Arial"/>
          <w:sz w:val="17"/>
          <w:szCs w:val="17"/>
          <w:u w:val="single" w:color="auto"/>
          <w:color w:val="auto"/>
        </w:rPr>
        <w:t>Vesting and Term</w:t>
      </w:r>
      <w:r>
        <w:rPr>
          <w:rFonts w:ascii="Arial" w:cs="Arial" w:eastAsia="Arial" w:hAnsi="Arial"/>
          <w:sz w:val="17"/>
          <w:szCs w:val="17"/>
          <w:color w:val="auto"/>
        </w:rPr>
        <w:t>. Each Agreement shall set forth the period until the applicable Award is scheduled to vest and, if applicable, expire (which shall not be more than ten years from the Grant Date), and, consistent with the requirements of this Section 6(b), the applicable vesting conditions and any applicable performance period. Awards that vest based solely on the satisfaction by the Participant of service-based vesting conditions shall be subject to a vesting period of not less than one year from the applicable Grant Date (during which no portion of the award may be scheduled to vest), and Awards whose grant or vesting is subject to the satisfaction of performance goals over a performance period shall be subject to a performance period of not less than one year. The foregoing minimum vesting and performance periods will not, however, apply in connection with: (i) a Change in Control as provided in Section 12(b)(2), 12(b)(4) or 12(c), (ii) a termination of Service due to death or Disability, (iii) to a Substitute Award that does not reduce the vesting period of the award being replaced, (iv) Awards made in payment of or exchange for other compensation already earned and payable, and (v) outstanding, exercised and settled Awards involving an aggregate number of Shares not in excess of 5% of the Plan’s share reserve specified in Section 4(a). For purposes of Awards to Non-Employee Directors, a vesting period will be deemed to be one year if runs from the date of one annual meeting of the Company’s shareholders to the date of the next annual meeting of the Company’s shareholders.</w:t>
      </w:r>
    </w:p>
    <w:p>
      <w:pPr>
        <w:spacing w:after="0" w:line="182" w:lineRule="exact"/>
        <w:rPr>
          <w:rFonts w:ascii="Arial" w:cs="Arial" w:eastAsia="Arial" w:hAnsi="Arial"/>
          <w:sz w:val="17"/>
          <w:szCs w:val="17"/>
          <w:color w:val="auto"/>
        </w:rPr>
      </w:pPr>
    </w:p>
    <w:p>
      <w:pPr>
        <w:jc w:val="both"/>
        <w:ind w:left="-8" w:firstLine="575"/>
        <w:spacing w:after="0" w:line="270" w:lineRule="auto"/>
        <w:tabs>
          <w:tab w:leader="none" w:pos="952" w:val="left"/>
        </w:tabs>
        <w:numPr>
          <w:ilvl w:val="1"/>
          <w:numId w:val="17"/>
        </w:numPr>
        <w:rPr>
          <w:rFonts w:ascii="Arial" w:cs="Arial" w:eastAsia="Arial" w:hAnsi="Arial"/>
          <w:sz w:val="17"/>
          <w:szCs w:val="17"/>
          <w:color w:val="auto"/>
        </w:rPr>
      </w:pPr>
      <w:r>
        <w:rPr>
          <w:rFonts w:ascii="Arial" w:cs="Arial" w:eastAsia="Arial" w:hAnsi="Arial"/>
          <w:sz w:val="17"/>
          <w:szCs w:val="17"/>
          <w:u w:val="single" w:color="auto"/>
          <w:color w:val="auto"/>
        </w:rPr>
        <w:t>Transferability</w:t>
      </w:r>
      <w:r>
        <w:rPr>
          <w:rFonts w:ascii="Arial" w:cs="Arial" w:eastAsia="Arial" w:hAnsi="Arial"/>
          <w:sz w:val="17"/>
          <w:szCs w:val="17"/>
          <w:color w:val="auto"/>
        </w:rPr>
        <w:t>. Except as provided in this Section 6(c), (i) during the lifetime of a Participant, only the Participant or the Participant’s guardian or legal representative may exercise an Option or SAR, or receive payment with respect to any other Award; and (ii) no Award may be sold, assigned, transferred, exchanged or encumbered, voluntarily or involuntarily, other than by will or the laws of descent and distribution. Any attempted transfer in violation of this Section 6(c) shall be of no effect. The Committee may, however, provide in an Agreement or otherwise that an Award (other than an Incentive Stock Option) may be transferred pursuant to a domestic relations order or may be transferable by gift to any “family member” (as defined in General Instruction A.1(a)(5) to Form S-8 under the Securities Act of 1933) of the Participant. Any Award held by a transferee shall continue to be subject to the same terms and conditions that were applicable to that Award immediately before the transfer thereof. For purposes of any provision of the Plan relating to notice to a Participant or to acceleration or termination of an Award upon the death or termination of Service of a Participant, the references to “Participant” shall mean the original grantee of an Award and not any transferee.</w:t>
      </w:r>
    </w:p>
    <w:p>
      <w:pPr>
        <w:spacing w:after="0" w:line="181" w:lineRule="exact"/>
        <w:rPr>
          <w:rFonts w:ascii="Arial" w:cs="Arial" w:eastAsia="Arial" w:hAnsi="Arial"/>
          <w:sz w:val="17"/>
          <w:szCs w:val="17"/>
          <w:color w:val="auto"/>
        </w:rPr>
      </w:pPr>
    </w:p>
    <w:p>
      <w:pPr>
        <w:jc w:val="both"/>
        <w:ind w:left="-8" w:firstLine="575"/>
        <w:spacing w:after="0" w:line="264" w:lineRule="auto"/>
        <w:tabs>
          <w:tab w:leader="none" w:pos="949" w:val="left"/>
        </w:tabs>
        <w:numPr>
          <w:ilvl w:val="1"/>
          <w:numId w:val="17"/>
        </w:numPr>
        <w:rPr>
          <w:rFonts w:ascii="Arial" w:cs="Arial" w:eastAsia="Arial" w:hAnsi="Arial"/>
          <w:sz w:val="18"/>
          <w:szCs w:val="18"/>
          <w:color w:val="auto"/>
        </w:rPr>
      </w:pPr>
      <w:r>
        <w:rPr>
          <w:rFonts w:ascii="Arial" w:cs="Arial" w:eastAsia="Arial" w:hAnsi="Arial"/>
          <w:sz w:val="18"/>
          <w:szCs w:val="18"/>
          <w:u w:val="single" w:color="auto"/>
          <w:color w:val="auto"/>
        </w:rPr>
        <w:t>Designation of Beneficiary</w:t>
      </w:r>
      <w:r>
        <w:rPr>
          <w:rFonts w:ascii="Arial" w:cs="Arial" w:eastAsia="Arial" w:hAnsi="Arial"/>
          <w:sz w:val="18"/>
          <w:szCs w:val="18"/>
          <w:color w:val="auto"/>
        </w:rPr>
        <w:t>. To the extent permitted by the Committee, a Participant may designate a beneficiary or beneficiaries to exercise any Award or receive a payment under any Award that is exercisable or payable on or after the Participant’s death. Any such designation shall be on a form approved by the Company and shall be effective upon its receipt by the Company.</w:t>
      </w:r>
    </w:p>
    <w:p>
      <w:pPr>
        <w:spacing w:after="0" w:line="181" w:lineRule="exact"/>
        <w:rPr>
          <w:rFonts w:ascii="Arial" w:cs="Arial" w:eastAsia="Arial" w:hAnsi="Arial"/>
          <w:sz w:val="18"/>
          <w:szCs w:val="18"/>
          <w:color w:val="auto"/>
        </w:rPr>
      </w:pPr>
    </w:p>
    <w:p>
      <w:pPr>
        <w:jc w:val="both"/>
        <w:ind w:left="-8" w:firstLine="575"/>
        <w:spacing w:after="0" w:line="264" w:lineRule="auto"/>
        <w:tabs>
          <w:tab w:leader="none" w:pos="939" w:val="left"/>
        </w:tabs>
        <w:numPr>
          <w:ilvl w:val="1"/>
          <w:numId w:val="17"/>
        </w:numPr>
        <w:rPr>
          <w:rFonts w:ascii="Arial" w:cs="Arial" w:eastAsia="Arial" w:hAnsi="Arial"/>
          <w:sz w:val="18"/>
          <w:szCs w:val="18"/>
          <w:color w:val="auto"/>
        </w:rPr>
      </w:pPr>
      <w:r>
        <w:rPr>
          <w:rFonts w:ascii="Arial" w:cs="Arial" w:eastAsia="Arial" w:hAnsi="Arial"/>
          <w:sz w:val="18"/>
          <w:szCs w:val="18"/>
          <w:u w:val="single" w:color="auto"/>
          <w:color w:val="auto"/>
        </w:rPr>
        <w:t>Termination of Service</w:t>
      </w:r>
      <w:r>
        <w:rPr>
          <w:rFonts w:ascii="Arial" w:cs="Arial" w:eastAsia="Arial" w:hAnsi="Arial"/>
          <w:sz w:val="18"/>
          <w:szCs w:val="18"/>
          <w:color w:val="auto"/>
        </w:rPr>
        <w:t>. Unless otherwise provided in an applicable Agreement or another then-effective written agreement between a Participant and the Company, and subject to Section 12 of this Plan, if a Participant’s Service with the Company and all of its Affiliates terminates, the following provisions shall apply (in all cases subject to the scheduled expiration of an Option or SAR Award, as applicable):</w:t>
      </w:r>
    </w:p>
    <w:p>
      <w:pPr>
        <w:spacing w:after="0" w:line="181" w:lineRule="exact"/>
        <w:rPr>
          <w:rFonts w:ascii="Arial" w:cs="Arial" w:eastAsia="Arial" w:hAnsi="Arial"/>
          <w:sz w:val="18"/>
          <w:szCs w:val="18"/>
          <w:color w:val="auto"/>
        </w:rPr>
      </w:pPr>
    </w:p>
    <w:p>
      <w:pPr>
        <w:ind w:left="-8" w:firstLine="1305"/>
        <w:spacing w:after="0" w:line="277" w:lineRule="auto"/>
        <w:tabs>
          <w:tab w:leader="none" w:pos="1725" w:val="left"/>
        </w:tabs>
        <w:numPr>
          <w:ilvl w:val="2"/>
          <w:numId w:val="17"/>
        </w:numPr>
        <w:rPr>
          <w:rFonts w:ascii="Arial" w:cs="Arial" w:eastAsia="Arial" w:hAnsi="Arial"/>
          <w:sz w:val="18"/>
          <w:szCs w:val="18"/>
          <w:color w:val="auto"/>
        </w:rPr>
      </w:pPr>
      <w:r>
        <w:rPr>
          <w:rFonts w:ascii="Arial" w:cs="Arial" w:eastAsia="Arial" w:hAnsi="Arial"/>
          <w:sz w:val="18"/>
          <w:szCs w:val="18"/>
          <w:color w:val="auto"/>
        </w:rPr>
        <w:t>Upon termination of Service for Cause, all unexercised Option and SAR Awards and all unvested portions of any other outstanding Awards shall be immediately forfeited without consideration.</w:t>
      </w:r>
    </w:p>
    <w:p>
      <w:pPr>
        <w:spacing w:after="0" w:line="170" w:lineRule="exact"/>
        <w:rPr>
          <w:rFonts w:ascii="Arial" w:cs="Arial" w:eastAsia="Arial" w:hAnsi="Arial"/>
          <w:sz w:val="18"/>
          <w:szCs w:val="18"/>
          <w:color w:val="auto"/>
        </w:rPr>
      </w:pPr>
    </w:p>
    <w:p>
      <w:pPr>
        <w:ind w:left="-8" w:firstLine="1305"/>
        <w:spacing w:after="0" w:line="277" w:lineRule="auto"/>
        <w:tabs>
          <w:tab w:leader="none" w:pos="1801" w:val="left"/>
        </w:tabs>
        <w:numPr>
          <w:ilvl w:val="2"/>
          <w:numId w:val="17"/>
        </w:numPr>
        <w:rPr>
          <w:rFonts w:ascii="Arial" w:cs="Arial" w:eastAsia="Arial" w:hAnsi="Arial"/>
          <w:sz w:val="18"/>
          <w:szCs w:val="18"/>
          <w:color w:val="auto"/>
        </w:rPr>
      </w:pPr>
      <w:r>
        <w:rPr>
          <w:rFonts w:ascii="Arial" w:cs="Arial" w:eastAsia="Arial" w:hAnsi="Arial"/>
          <w:sz w:val="18"/>
          <w:szCs w:val="18"/>
          <w:color w:val="auto"/>
        </w:rPr>
        <w:t>Upon termination of Service for any other reason, all unvested and unexercisable portions of any outstanding Awards shall be immediately forfeited without consideration.</w:t>
      </w:r>
    </w:p>
    <w:p>
      <w:pPr>
        <w:spacing w:after="0" w:line="170" w:lineRule="exact"/>
        <w:rPr>
          <w:rFonts w:ascii="Arial" w:cs="Arial" w:eastAsia="Arial" w:hAnsi="Arial"/>
          <w:sz w:val="18"/>
          <w:szCs w:val="18"/>
          <w:color w:val="auto"/>
        </w:rPr>
      </w:pPr>
    </w:p>
    <w:p>
      <w:pPr>
        <w:jc w:val="both"/>
        <w:ind w:left="-8" w:firstLine="1305"/>
        <w:spacing w:after="0" w:line="259" w:lineRule="auto"/>
        <w:tabs>
          <w:tab w:leader="none" w:pos="1751" w:val="left"/>
        </w:tabs>
        <w:numPr>
          <w:ilvl w:val="2"/>
          <w:numId w:val="17"/>
        </w:numPr>
        <w:rPr>
          <w:rFonts w:ascii="Arial" w:cs="Arial" w:eastAsia="Arial" w:hAnsi="Arial"/>
          <w:sz w:val="18"/>
          <w:szCs w:val="18"/>
          <w:color w:val="auto"/>
        </w:rPr>
      </w:pPr>
      <w:r>
        <w:rPr>
          <w:rFonts w:ascii="Arial" w:cs="Arial" w:eastAsia="Arial" w:hAnsi="Arial"/>
          <w:sz w:val="18"/>
          <w:szCs w:val="18"/>
          <w:color w:val="auto"/>
        </w:rPr>
        <w:t>Upon termination of Service for any reason other than Cause, death or Disability, the currently vested and exercisable portions of Option and SAR Awards may be exercised for a period of three months after the date of such termination. However, if a Participant thereafter dies during such three-month period, the vested and exercisable portions of the Option and SAR Awards may be exercised for a period of one year after the date of such termination.</w:t>
      </w:r>
    </w:p>
    <w:p>
      <w:pPr>
        <w:sectPr>
          <w:pgSz w:w="11900" w:h="16838" w:orient="portrait"/>
          <w:cols w:equalWidth="0" w:num="1">
            <w:col w:w="11412"/>
          </w:cols>
          <w:pgMar w:left="248" w:top="580" w:right="239" w:bottom="1440" w:gutter="0" w:footer="0" w:header="0"/>
        </w:sectPr>
      </w:pPr>
    </w:p>
    <w:bookmarkStart w:id="31" w:name="page32"/>
    <w:bookmarkEnd w:id="31"/>
    <w:p>
      <w:pPr>
        <w:ind w:left="-8" w:right="20" w:firstLine="1305"/>
        <w:spacing w:after="0" w:line="277" w:lineRule="auto"/>
        <w:tabs>
          <w:tab w:leader="none" w:pos="1696" w:val="left"/>
        </w:tabs>
        <w:numPr>
          <w:ilvl w:val="3"/>
          <w:numId w:val="18"/>
        </w:numPr>
        <w:rPr>
          <w:rFonts w:ascii="Arial" w:cs="Arial" w:eastAsia="Arial" w:hAnsi="Arial"/>
          <w:sz w:val="18"/>
          <w:szCs w:val="18"/>
          <w:color w:val="auto"/>
        </w:rPr>
      </w:pPr>
      <w:r>
        <w:rPr>
          <w:rFonts w:ascii="Arial" w:cs="Arial" w:eastAsia="Arial" w:hAnsi="Arial"/>
          <w:sz w:val="18"/>
          <w:szCs w:val="18"/>
          <w:color w:val="auto"/>
        </w:rPr>
        <w:t>Upon termination of Service due to death or Disability, the currently vested and exercisable portions of Option and SAR Awards may be exercised for a period of one year after the date of such termination.</w:t>
      </w:r>
    </w:p>
    <w:p>
      <w:pPr>
        <w:spacing w:after="0" w:line="170" w:lineRule="exact"/>
        <w:rPr>
          <w:rFonts w:ascii="Arial" w:cs="Arial" w:eastAsia="Arial" w:hAnsi="Arial"/>
          <w:sz w:val="18"/>
          <w:szCs w:val="18"/>
          <w:color w:val="auto"/>
        </w:rPr>
      </w:pPr>
    </w:p>
    <w:p>
      <w:pPr>
        <w:ind w:left="-8" w:firstLine="494"/>
        <w:spacing w:after="0" w:line="277" w:lineRule="auto"/>
        <w:tabs>
          <w:tab w:leader="none" w:pos="852" w:val="left"/>
        </w:tabs>
        <w:numPr>
          <w:ilvl w:val="1"/>
          <w:numId w:val="19"/>
        </w:numPr>
        <w:rPr>
          <w:rFonts w:ascii="Arial" w:cs="Arial" w:eastAsia="Arial" w:hAnsi="Arial"/>
          <w:sz w:val="18"/>
          <w:szCs w:val="18"/>
          <w:color w:val="auto"/>
        </w:rPr>
      </w:pPr>
      <w:r>
        <w:rPr>
          <w:rFonts w:ascii="Arial" w:cs="Arial" w:eastAsia="Arial" w:hAnsi="Arial"/>
          <w:sz w:val="18"/>
          <w:szCs w:val="18"/>
          <w:u w:val="single" w:color="auto"/>
          <w:color w:val="auto"/>
        </w:rPr>
        <w:t>Rights as Shareholder</w:t>
      </w:r>
      <w:r>
        <w:rPr>
          <w:rFonts w:ascii="Arial" w:cs="Arial" w:eastAsia="Arial" w:hAnsi="Arial"/>
          <w:sz w:val="18"/>
          <w:szCs w:val="18"/>
          <w:color w:val="auto"/>
        </w:rPr>
        <w:t>. No Participant shall have any rights as a shareholder with respect to any Shares covered by an Award unless and until the date the Participant becomes the holder of record of the Shares, if any, to which the Award relates.</w:t>
      </w:r>
    </w:p>
    <w:p>
      <w:pPr>
        <w:spacing w:after="0" w:line="170" w:lineRule="exact"/>
        <w:rPr>
          <w:rFonts w:ascii="Arial" w:cs="Arial" w:eastAsia="Arial" w:hAnsi="Arial"/>
          <w:sz w:val="18"/>
          <w:szCs w:val="18"/>
          <w:color w:val="auto"/>
        </w:rPr>
      </w:pPr>
    </w:p>
    <w:p>
      <w:pPr>
        <w:jc w:val="both"/>
        <w:ind w:left="-8" w:firstLine="494"/>
        <w:spacing w:after="0" w:line="289" w:lineRule="auto"/>
        <w:tabs>
          <w:tab w:leader="none" w:pos="908" w:val="left"/>
        </w:tabs>
        <w:numPr>
          <w:ilvl w:val="1"/>
          <w:numId w:val="19"/>
        </w:numPr>
        <w:rPr>
          <w:rFonts w:ascii="Arial" w:cs="Arial" w:eastAsia="Arial" w:hAnsi="Arial"/>
          <w:sz w:val="16"/>
          <w:szCs w:val="16"/>
          <w:color w:val="auto"/>
        </w:rPr>
      </w:pPr>
      <w:r>
        <w:rPr>
          <w:rFonts w:ascii="Arial" w:cs="Arial" w:eastAsia="Arial" w:hAnsi="Arial"/>
          <w:sz w:val="16"/>
          <w:szCs w:val="16"/>
          <w:u w:val="single" w:color="auto"/>
          <w:color w:val="auto"/>
        </w:rPr>
        <w:t>Performance-Based Awards</w:t>
      </w:r>
      <w:r>
        <w:rPr>
          <w:rFonts w:ascii="Arial" w:cs="Arial" w:eastAsia="Arial" w:hAnsi="Arial"/>
          <w:sz w:val="16"/>
          <w:szCs w:val="16"/>
          <w:color w:val="auto"/>
        </w:rPr>
        <w:t>. Any Award may be granted as a performance-based Award if the Committee establishes one or more measures of corporate, business unit or individual performance which must be attained, and the performance period over which the specified performance is to be attained, as a condition to the grant, vesting, exercisability, lapse of restrictions and/or settlement in cash or Shares of such Award. In connection with any such Award, the Committee shall determine the extent to which performance measures have been attained and other applicable terms and conditions have been satisfied, and the degree to which the grant, vesting, exercisability, lapse of restrictions and/or settlement of such Award has been earned. The Committee shall also have the authority to provide, in an Agreement or otherwise, for the modification of a performance period and/or adjustments to or waivers of the achievement of performance goals under specified circumstances such as (i) the occurrence of events that are unusual in nature or infrequently occurring, such as a Change in Control, an equity restructuring (as described in Section 12(a)), acquisitions, divestitures, restructuring activities, recapitalizations, or asset write-downs, (ii) a change in applicable tax laws or accounting principles, or (iii) the Participant’s death or Disability.</w:t>
      </w:r>
    </w:p>
    <w:p>
      <w:pPr>
        <w:spacing w:after="0" w:line="166" w:lineRule="exact"/>
        <w:rPr>
          <w:rFonts w:ascii="Arial" w:cs="Arial" w:eastAsia="Arial" w:hAnsi="Arial"/>
          <w:sz w:val="16"/>
          <w:szCs w:val="16"/>
          <w:color w:val="auto"/>
        </w:rPr>
      </w:pPr>
    </w:p>
    <w:p>
      <w:pPr>
        <w:jc w:val="both"/>
        <w:ind w:left="-8" w:firstLine="494"/>
        <w:spacing w:after="0" w:line="269" w:lineRule="auto"/>
        <w:tabs>
          <w:tab w:leader="none" w:pos="868" w:val="left"/>
        </w:tabs>
        <w:numPr>
          <w:ilvl w:val="1"/>
          <w:numId w:val="19"/>
        </w:numPr>
        <w:rPr>
          <w:rFonts w:ascii="Arial" w:cs="Arial" w:eastAsia="Arial" w:hAnsi="Arial"/>
          <w:sz w:val="17"/>
          <w:szCs w:val="17"/>
          <w:color w:val="auto"/>
        </w:rPr>
      </w:pPr>
      <w:r>
        <w:rPr>
          <w:rFonts w:ascii="Arial" w:cs="Arial" w:eastAsia="Arial" w:hAnsi="Arial"/>
          <w:sz w:val="17"/>
          <w:szCs w:val="17"/>
          <w:u w:val="single" w:color="auto"/>
          <w:color w:val="auto"/>
        </w:rPr>
        <w:t>Dividends and Dividend Equivalents</w:t>
      </w:r>
      <w:r>
        <w:rPr>
          <w:rFonts w:ascii="Arial" w:cs="Arial" w:eastAsia="Arial" w:hAnsi="Arial"/>
          <w:sz w:val="17"/>
          <w:szCs w:val="17"/>
          <w:color w:val="auto"/>
        </w:rPr>
        <w:t>. No dividends, dividend equivalents or distributions will be paid with respect to Shares subject to an Option or SAR Award. Any dividends or distributions payable with respect to Shares that are subject to the unvested portion of a Restricted Stock Award will be subject to the same restrictions and risk of forfeiture as the Shares to which such dividends or distributions relate, except for regular cash dividends on Shares subject to the unvested portion of a Restricted Stock Award that is subject only to service-based vesting conditions. In its discretion, the Committee may provide in an Award Agreement for a Stock Unit Award or an Other Stock-Based Award that the Participant will be entitled to receive dividend equivalents, based on dividends actually declared and paid on outstanding Shares, on the units or other Share equivalents subject to the Stock Unit Award or Other Stock-Based Award, and such dividend equivalents will be subject to the same restrictions and risk of forfeiture as the units or other Share equivalents to which such dividend equivalents relate. The additional terms of any such dividend equivalents will be as set forth in the applicable Agreement, including the time and form of payment and whether such dividend equivalents will be credited with interest or deemed to be reinvested in additional units or Share equivalents. Any Shares issued or issuable during the term of this Plan as the result of the reinvestment of dividends or the deemed reinvestment of dividend equivalents in connection with an Award or a Prior Plan Award shall be counted against, and replenish upon any subsequent forfeiture, the Plan’s share reserve as provided in Section 4.</w:t>
      </w:r>
    </w:p>
    <w:p>
      <w:pPr>
        <w:spacing w:after="0" w:line="179" w:lineRule="exact"/>
        <w:rPr>
          <w:rFonts w:ascii="Arial" w:cs="Arial" w:eastAsia="Arial" w:hAnsi="Arial"/>
          <w:sz w:val="17"/>
          <w:szCs w:val="17"/>
          <w:color w:val="auto"/>
        </w:rPr>
      </w:pPr>
    </w:p>
    <w:p>
      <w:pPr>
        <w:jc w:val="both"/>
        <w:ind w:left="-8" w:firstLine="494"/>
        <w:spacing w:after="0" w:line="271" w:lineRule="auto"/>
        <w:tabs>
          <w:tab w:leader="none" w:pos="855" w:val="left"/>
        </w:tabs>
        <w:numPr>
          <w:ilvl w:val="1"/>
          <w:numId w:val="19"/>
        </w:numPr>
        <w:rPr>
          <w:rFonts w:ascii="Arial" w:cs="Arial" w:eastAsia="Arial" w:hAnsi="Arial"/>
          <w:sz w:val="17"/>
          <w:szCs w:val="17"/>
          <w:color w:val="auto"/>
        </w:rPr>
      </w:pPr>
      <w:r>
        <w:rPr>
          <w:rFonts w:ascii="Arial" w:cs="Arial" w:eastAsia="Arial" w:hAnsi="Arial"/>
          <w:sz w:val="17"/>
          <w:szCs w:val="17"/>
          <w:u w:val="single" w:color="auto"/>
          <w:color w:val="auto"/>
        </w:rPr>
        <w:t>Deferrals of Full Value Awards</w:t>
      </w:r>
      <w:r>
        <w:rPr>
          <w:rFonts w:ascii="Arial" w:cs="Arial" w:eastAsia="Arial" w:hAnsi="Arial"/>
          <w:sz w:val="17"/>
          <w:szCs w:val="17"/>
          <w:color w:val="auto"/>
        </w:rPr>
        <w:t>. The Committee may, in its discretion, permit or require the deferral by a Participant of the issuance of Shares or payment of cash in settlement of any Full Value Award, subject to such terms, conditions, rules and procedures as it may establish or prescribe for such purpose and with the intention of complying with the applicable requirements of Code Section 409A. The terms, conditions, rules and procedures for any such deferral shall be set forth in writing in the relevant Agreement or in such other agreement, plan or document as the Committee may determine, or some combination of such documents. The terms, conditions, rules and procedures for any such deferral shall address, to the extent relevant, matters such as: (i) the amount of compensation that may or must be deferred (or the method for calculating the amount); (ii) the permissible time(s) and form(s) of payment of deferred amounts; (iii) the terms and conditions of any deferral elections by a Participant or of any deferral required by the Company; and (iv) the crediting of interest or dividend equivalents on deferred amounts.</w:t>
      </w:r>
    </w:p>
    <w:p>
      <w:pPr>
        <w:spacing w:after="0" w:line="174" w:lineRule="exact"/>
        <w:rPr>
          <w:rFonts w:ascii="Arial" w:cs="Arial" w:eastAsia="Arial" w:hAnsi="Arial"/>
          <w:sz w:val="17"/>
          <w:szCs w:val="17"/>
          <w:color w:val="auto"/>
        </w:rPr>
      </w:pPr>
    </w:p>
    <w:p>
      <w:pPr>
        <w:ind w:left="312" w:hanging="312"/>
        <w:spacing w:after="0"/>
        <w:tabs>
          <w:tab w:leader="none" w:pos="312" w:val="left"/>
        </w:tabs>
        <w:numPr>
          <w:ilvl w:val="0"/>
          <w:numId w:val="20"/>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Stock Option Awards</w:t>
      </w:r>
      <w:r>
        <w:rPr>
          <w:rFonts w:ascii="Arial" w:cs="Arial" w:eastAsia="Arial" w:hAnsi="Arial"/>
          <w:sz w:val="18"/>
          <w:szCs w:val="18"/>
          <w:b w:val="1"/>
          <w:bCs w:val="1"/>
          <w:color w:val="auto"/>
        </w:rPr>
        <w:t>.</w:t>
      </w:r>
    </w:p>
    <w:p>
      <w:pPr>
        <w:spacing w:after="0" w:line="229" w:lineRule="exact"/>
        <w:rPr>
          <w:rFonts w:ascii="Arial" w:cs="Arial" w:eastAsia="Arial" w:hAnsi="Arial"/>
          <w:sz w:val="18"/>
          <w:szCs w:val="18"/>
          <w:b w:val="1"/>
          <w:bCs w:val="1"/>
          <w:color w:val="auto"/>
        </w:rPr>
      </w:pPr>
    </w:p>
    <w:p>
      <w:pPr>
        <w:jc w:val="both"/>
        <w:ind w:left="-8" w:firstLine="602"/>
        <w:spacing w:after="0" w:line="279" w:lineRule="auto"/>
        <w:tabs>
          <w:tab w:leader="none" w:pos="993" w:val="left"/>
        </w:tabs>
        <w:numPr>
          <w:ilvl w:val="2"/>
          <w:numId w:val="20"/>
        </w:numPr>
        <w:rPr>
          <w:rFonts w:ascii="Arial" w:cs="Arial" w:eastAsia="Arial" w:hAnsi="Arial"/>
          <w:sz w:val="17"/>
          <w:szCs w:val="17"/>
          <w:color w:val="auto"/>
        </w:rPr>
      </w:pPr>
      <w:r>
        <w:rPr>
          <w:rFonts w:ascii="Arial" w:cs="Arial" w:eastAsia="Arial" w:hAnsi="Arial"/>
          <w:sz w:val="17"/>
          <w:szCs w:val="17"/>
          <w:u w:val="single" w:color="auto"/>
          <w:color w:val="auto"/>
        </w:rPr>
        <w:t>Type and Exercise Price</w:t>
      </w:r>
      <w:r>
        <w:rPr>
          <w:rFonts w:ascii="Arial" w:cs="Arial" w:eastAsia="Arial" w:hAnsi="Arial"/>
          <w:sz w:val="17"/>
          <w:szCs w:val="17"/>
          <w:color w:val="auto"/>
        </w:rPr>
        <w:t>. The Agreement pursuant to which an Option Award is granted shall specify whether the Option is an Incentive Stock Option or a Non-Qualified Stock Option. The exercise price at which each Share subject to an Option Award may be purchased shall be determined by the Committee and set forth in the Agreement, and shall not be less than the Fair Market Value of a Share on the Grant Date, except in the case of Substitute Awards (to the extent consistent with Code Section 409A and, in the case of Incentive Stock Options, Code Section 424).</w:t>
      </w:r>
    </w:p>
    <w:p>
      <w:pPr>
        <w:spacing w:after="0" w:line="171" w:lineRule="exact"/>
        <w:rPr>
          <w:rFonts w:ascii="Arial" w:cs="Arial" w:eastAsia="Arial" w:hAnsi="Arial"/>
          <w:sz w:val="17"/>
          <w:szCs w:val="17"/>
          <w:color w:val="auto"/>
        </w:rPr>
      </w:pPr>
    </w:p>
    <w:p>
      <w:pPr>
        <w:jc w:val="both"/>
        <w:ind w:left="-8" w:firstLine="602"/>
        <w:spacing w:after="0" w:line="257" w:lineRule="auto"/>
        <w:tabs>
          <w:tab w:leader="none" w:pos="1003" w:val="left"/>
        </w:tabs>
        <w:numPr>
          <w:ilvl w:val="2"/>
          <w:numId w:val="20"/>
        </w:numPr>
        <w:rPr>
          <w:rFonts w:ascii="Arial" w:cs="Arial" w:eastAsia="Arial" w:hAnsi="Arial"/>
          <w:sz w:val="18"/>
          <w:szCs w:val="18"/>
          <w:color w:val="auto"/>
        </w:rPr>
      </w:pPr>
      <w:r>
        <w:rPr>
          <w:rFonts w:ascii="Arial" w:cs="Arial" w:eastAsia="Arial" w:hAnsi="Arial"/>
          <w:sz w:val="18"/>
          <w:szCs w:val="18"/>
          <w:u w:val="single" w:color="auto"/>
          <w:color w:val="auto"/>
        </w:rPr>
        <w:t>Payment of Exercise Price</w:t>
      </w:r>
      <w:r>
        <w:rPr>
          <w:rFonts w:ascii="Arial" w:cs="Arial" w:eastAsia="Arial" w:hAnsi="Arial"/>
          <w:sz w:val="18"/>
          <w:szCs w:val="18"/>
          <w:color w:val="auto"/>
        </w:rPr>
        <w:t>. The purchase price of the Shares with respect to which an Option Award is exercised shall be payable in full at the time of exercise. The purchase price may be paid in cash or in such other manner as the Committee may permit, including by payment under a broker-assisted sale and remittance program, by withholding Shares otherwise issuable to the Participant upon exercise of the Option or by delivery to the Company of Shares (by actual delivery or attestation) already owned by the Participant (in either case, such Shares having a Fair Market Value as of the date the Option is exercised equal to the purchase price of the Shares being purchased).</w:t>
      </w:r>
    </w:p>
    <w:p>
      <w:pPr>
        <w:sectPr>
          <w:pgSz w:w="11900" w:h="16838" w:orient="portrait"/>
          <w:cols w:equalWidth="0" w:num="1">
            <w:col w:w="11412"/>
          </w:cols>
          <w:pgMar w:left="248" w:top="584" w:right="239" w:bottom="1440" w:gutter="0" w:footer="0" w:header="0"/>
        </w:sectPr>
      </w:pPr>
    </w:p>
    <w:bookmarkStart w:id="32" w:name="page33"/>
    <w:bookmarkEnd w:id="32"/>
    <w:p>
      <w:pPr>
        <w:ind w:left="-8" w:firstLine="602"/>
        <w:spacing w:after="0" w:line="342" w:lineRule="auto"/>
        <w:tabs>
          <w:tab w:leader="none" w:pos="993" w:val="left"/>
        </w:tabs>
        <w:numPr>
          <w:ilvl w:val="1"/>
          <w:numId w:val="21"/>
        </w:numPr>
        <w:rPr>
          <w:rFonts w:ascii="Arial" w:cs="Arial" w:eastAsia="Arial" w:hAnsi="Arial"/>
          <w:sz w:val="16"/>
          <w:szCs w:val="16"/>
          <w:color w:val="auto"/>
        </w:rPr>
      </w:pPr>
      <w:r>
        <w:rPr>
          <w:rFonts w:ascii="Arial" w:cs="Arial" w:eastAsia="Arial" w:hAnsi="Arial"/>
          <w:sz w:val="16"/>
          <w:szCs w:val="16"/>
          <w:u w:val="single" w:color="auto"/>
          <w:color w:val="auto"/>
        </w:rPr>
        <w:t>Exercisability and Expiration</w:t>
      </w:r>
      <w:r>
        <w:rPr>
          <w:rFonts w:ascii="Arial" w:cs="Arial" w:eastAsia="Arial" w:hAnsi="Arial"/>
          <w:sz w:val="16"/>
          <w:szCs w:val="16"/>
          <w:color w:val="auto"/>
        </w:rPr>
        <w:t>. Each Option Award shall be exercisable in whole or in part on the terms provided in the Agreement. No Option Award shall be exercisable at any time after its scheduled expiration. When an Option Award is no longer exercisable, it shall be deemed to have terminated.</w:t>
      </w:r>
    </w:p>
    <w:p>
      <w:pPr>
        <w:spacing w:after="0" w:line="123" w:lineRule="exact"/>
        <w:rPr>
          <w:rFonts w:ascii="Arial" w:cs="Arial" w:eastAsia="Arial" w:hAnsi="Arial"/>
          <w:sz w:val="16"/>
          <w:szCs w:val="16"/>
          <w:color w:val="auto"/>
        </w:rPr>
      </w:pPr>
    </w:p>
    <w:p>
      <w:pPr>
        <w:ind w:left="992" w:hanging="398"/>
        <w:spacing w:after="0"/>
        <w:tabs>
          <w:tab w:leader="none" w:pos="992" w:val="left"/>
        </w:tabs>
        <w:numPr>
          <w:ilvl w:val="1"/>
          <w:numId w:val="21"/>
        </w:numPr>
        <w:rPr>
          <w:rFonts w:ascii="Arial" w:cs="Arial" w:eastAsia="Arial" w:hAnsi="Arial"/>
          <w:sz w:val="18"/>
          <w:szCs w:val="18"/>
          <w:color w:val="auto"/>
        </w:rPr>
      </w:pPr>
      <w:r>
        <w:rPr>
          <w:rFonts w:ascii="Arial" w:cs="Arial" w:eastAsia="Arial" w:hAnsi="Arial"/>
          <w:sz w:val="18"/>
          <w:szCs w:val="18"/>
          <w:u w:val="single" w:color="auto"/>
          <w:color w:val="auto"/>
        </w:rPr>
        <w:t>Incentive Stock Options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left="-8" w:firstLine="1305"/>
        <w:spacing w:after="0" w:line="293" w:lineRule="auto"/>
        <w:tabs>
          <w:tab w:leader="none" w:pos="1682" w:val="left"/>
        </w:tabs>
        <w:numPr>
          <w:ilvl w:val="4"/>
          <w:numId w:val="21"/>
        </w:numPr>
        <w:rPr>
          <w:rFonts w:ascii="Arial" w:cs="Arial" w:eastAsia="Arial" w:hAnsi="Arial"/>
          <w:sz w:val="16"/>
          <w:szCs w:val="16"/>
          <w:color w:val="auto"/>
        </w:rPr>
      </w:pPr>
      <w:r>
        <w:rPr>
          <w:rFonts w:ascii="Arial" w:cs="Arial" w:eastAsia="Arial" w:hAnsi="Arial"/>
          <w:sz w:val="16"/>
          <w:szCs w:val="16"/>
          <w:color w:val="auto"/>
        </w:rPr>
        <w:t>An Option Award will constitute an Incentive Stock Option Award only if the Participant receiving the Option Award is an Employee, and only to the extent that (i) it is so designated in the applicable Agreement and (ii) the aggregate Fair Market Value (determined as of the Option Award’s Grant Date) of the Shares with respect to which Incentive Stock Option Awards held by the Participant first become exercisable in any calendar year (under the Plan and all other plans of the Company and its Affiliates) does not exceed $100,000 or such other amount specified by the Code. To the extent an Option Award granted to a Participant exceeds this limit, the Option Award shall be treated as a Non-Qualified Stock Option Award. The maximum number of Shares that may be issued upon the exercise of Incentive Stock Option Awards under the Plan shall be 750,000, subject to adjustment as provided in Section 12(a).</w:t>
      </w:r>
    </w:p>
    <w:p>
      <w:pPr>
        <w:spacing w:after="0" w:line="164" w:lineRule="exact"/>
        <w:rPr>
          <w:rFonts w:ascii="Arial" w:cs="Arial" w:eastAsia="Arial" w:hAnsi="Arial"/>
          <w:sz w:val="16"/>
          <w:szCs w:val="16"/>
          <w:color w:val="auto"/>
        </w:rPr>
      </w:pPr>
    </w:p>
    <w:p>
      <w:pPr>
        <w:jc w:val="both"/>
        <w:ind w:left="-8" w:firstLine="1305"/>
        <w:spacing w:after="0" w:line="259" w:lineRule="auto"/>
        <w:tabs>
          <w:tab w:leader="none" w:pos="1782" w:val="left"/>
        </w:tabs>
        <w:numPr>
          <w:ilvl w:val="4"/>
          <w:numId w:val="21"/>
        </w:numPr>
        <w:rPr>
          <w:rFonts w:ascii="Arial" w:cs="Arial" w:eastAsia="Arial" w:hAnsi="Arial"/>
          <w:sz w:val="18"/>
          <w:szCs w:val="18"/>
          <w:color w:val="auto"/>
        </w:rPr>
      </w:pPr>
      <w:r>
        <w:rPr>
          <w:rFonts w:ascii="Arial" w:cs="Arial" w:eastAsia="Arial" w:hAnsi="Arial"/>
          <w:sz w:val="18"/>
          <w:szCs w:val="18"/>
          <w:color w:val="auto"/>
        </w:rPr>
        <w:t>No Participant may receive an Incentive Stock Option Award under the Plan if, immediately after the grant of such Award, the Participant would own (after application of the rules contained in Code Section 424(d)) Shares possessing more than 10% of the total combined Voting Power of all classes of stock of the Company or an Affiliate, unless (i) the per Share exercise price for such Award is at least 110% of the Fair Market Value of a Share on the Grant Date and (ii) such Award will expire no later than five years after its Grant Date.</w:t>
      </w:r>
    </w:p>
    <w:p>
      <w:pPr>
        <w:spacing w:after="0" w:line="186" w:lineRule="exact"/>
        <w:rPr>
          <w:rFonts w:ascii="Arial" w:cs="Arial" w:eastAsia="Arial" w:hAnsi="Arial"/>
          <w:sz w:val="18"/>
          <w:szCs w:val="18"/>
          <w:color w:val="auto"/>
        </w:rPr>
      </w:pPr>
    </w:p>
    <w:p>
      <w:pPr>
        <w:jc w:val="both"/>
        <w:ind w:left="-8" w:firstLine="1210"/>
        <w:spacing w:after="0" w:line="259" w:lineRule="auto"/>
        <w:tabs>
          <w:tab w:leader="none" w:pos="1669" w:val="left"/>
        </w:tabs>
        <w:numPr>
          <w:ilvl w:val="3"/>
          <w:numId w:val="21"/>
        </w:numPr>
        <w:rPr>
          <w:rFonts w:ascii="Arial" w:cs="Arial" w:eastAsia="Arial" w:hAnsi="Arial"/>
          <w:sz w:val="18"/>
          <w:szCs w:val="18"/>
          <w:color w:val="auto"/>
        </w:rPr>
      </w:pPr>
      <w:r>
        <w:rPr>
          <w:rFonts w:ascii="Arial" w:cs="Arial" w:eastAsia="Arial" w:hAnsi="Arial"/>
          <w:sz w:val="18"/>
          <w:szCs w:val="18"/>
          <w:color w:val="auto"/>
        </w:rPr>
        <w:t>For purposes of continued Service by a Participant who has been granted an Incentive Stock Option Award, no approved leave of absence may exceed three months unless reemployment upon expiration of such leave is provided by statute or contract. If reemployment is not so provided, then on the date six months following the first day of such leave, any Incentive Stock Option held by the Participant shall cease to be treated as an Incentive Stock Option and shall be treated for tax purposes as a Non-Qualified Stock Option.</w:t>
      </w:r>
    </w:p>
    <w:p>
      <w:pPr>
        <w:spacing w:after="0" w:line="186" w:lineRule="exact"/>
        <w:rPr>
          <w:rFonts w:ascii="Arial" w:cs="Arial" w:eastAsia="Arial" w:hAnsi="Arial"/>
          <w:sz w:val="18"/>
          <w:szCs w:val="18"/>
          <w:color w:val="auto"/>
        </w:rPr>
      </w:pPr>
    </w:p>
    <w:p>
      <w:pPr>
        <w:ind w:left="-8" w:firstLine="1210"/>
        <w:spacing w:after="0" w:line="277" w:lineRule="auto"/>
        <w:tabs>
          <w:tab w:leader="none" w:pos="1586" w:val="left"/>
        </w:tabs>
        <w:numPr>
          <w:ilvl w:val="3"/>
          <w:numId w:val="21"/>
        </w:numPr>
        <w:rPr>
          <w:rFonts w:ascii="Arial" w:cs="Arial" w:eastAsia="Arial" w:hAnsi="Arial"/>
          <w:sz w:val="18"/>
          <w:szCs w:val="18"/>
          <w:color w:val="auto"/>
        </w:rPr>
      </w:pPr>
      <w:r>
        <w:rPr>
          <w:rFonts w:ascii="Arial" w:cs="Arial" w:eastAsia="Arial" w:hAnsi="Arial"/>
          <w:sz w:val="18"/>
          <w:szCs w:val="18"/>
          <w:color w:val="auto"/>
        </w:rPr>
        <w:t>If an Incentive Stock Option Award is exercised after the expiration of the exercise periods that apply for purposes of Code Section 422, such Option shall thereafter be treated as a Non-Qualified Stock Option.</w:t>
      </w:r>
    </w:p>
    <w:p>
      <w:pPr>
        <w:spacing w:after="0" w:line="170" w:lineRule="exact"/>
        <w:rPr>
          <w:rFonts w:ascii="Arial" w:cs="Arial" w:eastAsia="Arial" w:hAnsi="Arial"/>
          <w:sz w:val="18"/>
          <w:szCs w:val="18"/>
          <w:color w:val="auto"/>
        </w:rPr>
      </w:pPr>
    </w:p>
    <w:p>
      <w:pPr>
        <w:ind w:left="-8" w:firstLine="1210"/>
        <w:spacing w:after="0" w:line="277" w:lineRule="auto"/>
        <w:tabs>
          <w:tab w:leader="none" w:pos="1583" w:val="left"/>
        </w:tabs>
        <w:numPr>
          <w:ilvl w:val="3"/>
          <w:numId w:val="21"/>
        </w:numPr>
        <w:rPr>
          <w:rFonts w:ascii="Arial" w:cs="Arial" w:eastAsia="Arial" w:hAnsi="Arial"/>
          <w:sz w:val="18"/>
          <w:szCs w:val="18"/>
          <w:color w:val="auto"/>
        </w:rPr>
      </w:pPr>
      <w:r>
        <w:rPr>
          <w:rFonts w:ascii="Arial" w:cs="Arial" w:eastAsia="Arial" w:hAnsi="Arial"/>
          <w:sz w:val="18"/>
          <w:szCs w:val="18"/>
          <w:color w:val="auto"/>
        </w:rPr>
        <w:t>The Agreement covering an Incentive Stock Option Award shall contain such other terms and provisions that the Committee determines necessary to qualify the Option Award as an Incentive Stock Option Award.</w:t>
      </w:r>
    </w:p>
    <w:p>
      <w:pPr>
        <w:spacing w:after="0" w:line="166" w:lineRule="exact"/>
        <w:rPr>
          <w:rFonts w:ascii="Arial" w:cs="Arial" w:eastAsia="Arial" w:hAnsi="Arial"/>
          <w:sz w:val="18"/>
          <w:szCs w:val="18"/>
          <w:color w:val="auto"/>
        </w:rPr>
      </w:pPr>
    </w:p>
    <w:p>
      <w:pPr>
        <w:ind w:left="312" w:hanging="312"/>
        <w:spacing w:after="0"/>
        <w:tabs>
          <w:tab w:leader="none" w:pos="312" w:val="left"/>
        </w:tabs>
        <w:numPr>
          <w:ilvl w:val="0"/>
          <w:numId w:val="22"/>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Stock Appreciation Right Awards</w:t>
      </w:r>
      <w:r>
        <w:rPr>
          <w:rFonts w:ascii="Arial" w:cs="Arial" w:eastAsia="Arial" w:hAnsi="Arial"/>
          <w:sz w:val="18"/>
          <w:szCs w:val="18"/>
          <w:b w:val="1"/>
          <w:bCs w:val="1"/>
          <w:color w:val="auto"/>
        </w:rPr>
        <w:t>.</w:t>
      </w:r>
    </w:p>
    <w:p>
      <w:pPr>
        <w:spacing w:after="0" w:line="229" w:lineRule="exact"/>
        <w:rPr>
          <w:rFonts w:ascii="Arial" w:cs="Arial" w:eastAsia="Arial" w:hAnsi="Arial"/>
          <w:sz w:val="18"/>
          <w:szCs w:val="18"/>
          <w:b w:val="1"/>
          <w:bCs w:val="1"/>
          <w:color w:val="auto"/>
        </w:rPr>
      </w:pPr>
    </w:p>
    <w:p>
      <w:pPr>
        <w:jc w:val="both"/>
        <w:ind w:left="-8" w:firstLine="656"/>
        <w:spacing w:after="0" w:line="297" w:lineRule="auto"/>
        <w:tabs>
          <w:tab w:leader="none" w:pos="1047" w:val="left"/>
        </w:tabs>
        <w:numPr>
          <w:ilvl w:val="2"/>
          <w:numId w:val="22"/>
        </w:numPr>
        <w:rPr>
          <w:rFonts w:ascii="Arial" w:cs="Arial" w:eastAsia="Arial" w:hAnsi="Arial"/>
          <w:sz w:val="16"/>
          <w:szCs w:val="16"/>
          <w:color w:val="auto"/>
        </w:rPr>
      </w:pPr>
      <w:r>
        <w:rPr>
          <w:rFonts w:ascii="Arial" w:cs="Arial" w:eastAsia="Arial" w:hAnsi="Arial"/>
          <w:sz w:val="16"/>
          <w:szCs w:val="16"/>
          <w:u w:val="single" w:color="auto"/>
          <w:color w:val="auto"/>
        </w:rPr>
        <w:t>Nature of Award</w:t>
      </w:r>
      <w:r>
        <w:rPr>
          <w:rFonts w:ascii="Arial" w:cs="Arial" w:eastAsia="Arial" w:hAnsi="Arial"/>
          <w:sz w:val="16"/>
          <w:szCs w:val="16"/>
          <w:color w:val="auto"/>
        </w:rPr>
        <w:t>. An Award of Stock Appreciation Rights shall be subject to such terms and conditions as are determined by the Committee, and shall provide a Participant the right to receive upon exercise of the SAR Award all or a portion of the excess of (i) the Fair Market Value as of the date of exercise of the SAR Award of the number of Shares as to which the SAR Award is being exercised, over (ii) the aggregate exercise price for such number of Shares. The per Share exercise price for any SAR Award shall be determined by the Committee and set forth in the applicable Agreement, and shall not be less than the Fair Market Value of a Share on the Grant Date, except in the case of Substitute Awards (to the extent consistent with Code Section 409A).</w:t>
      </w:r>
    </w:p>
    <w:p>
      <w:pPr>
        <w:spacing w:after="0" w:line="158" w:lineRule="exact"/>
        <w:rPr>
          <w:rFonts w:ascii="Arial" w:cs="Arial" w:eastAsia="Arial" w:hAnsi="Arial"/>
          <w:sz w:val="16"/>
          <w:szCs w:val="16"/>
          <w:color w:val="auto"/>
        </w:rPr>
      </w:pPr>
    </w:p>
    <w:p>
      <w:pPr>
        <w:jc w:val="both"/>
        <w:ind w:left="-8" w:firstLine="656"/>
        <w:spacing w:after="0" w:line="297" w:lineRule="auto"/>
        <w:tabs>
          <w:tab w:leader="none" w:pos="1111" w:val="left"/>
        </w:tabs>
        <w:numPr>
          <w:ilvl w:val="2"/>
          <w:numId w:val="22"/>
        </w:numPr>
        <w:rPr>
          <w:rFonts w:ascii="Arial" w:cs="Arial" w:eastAsia="Arial" w:hAnsi="Arial"/>
          <w:sz w:val="16"/>
          <w:szCs w:val="16"/>
          <w:color w:val="auto"/>
        </w:rPr>
      </w:pPr>
      <w:r>
        <w:rPr>
          <w:rFonts w:ascii="Arial" w:cs="Arial" w:eastAsia="Arial" w:hAnsi="Arial"/>
          <w:sz w:val="16"/>
          <w:szCs w:val="16"/>
          <w:u w:val="single" w:color="auto"/>
          <w:color w:val="auto"/>
        </w:rPr>
        <w:t>Exercise of SAR</w:t>
      </w:r>
      <w:r>
        <w:rPr>
          <w:rFonts w:ascii="Arial" w:cs="Arial" w:eastAsia="Arial" w:hAnsi="Arial"/>
          <w:sz w:val="16"/>
          <w:szCs w:val="16"/>
          <w:color w:val="auto"/>
        </w:rPr>
        <w:t>. Each SAR Award may be exercisable in whole or in part at the times, on the terms and in the manner provided in the Agreement. No SAR Award shall be exercisable at any time after its scheduled expiration. When a SAR Award is no longer exercisable, it shall be deemed to have terminated. Upon exercise of a SAR Award, payment to the Participant shall be made at such time or times as shall be provided in the Agreement in the form of cash, Shares or a combination of cash and Shares as determined by the Committee. The Agreement may provide for a limitation upon the amount or percentage of the total appreciation on which payment (whether in cash and/or Shares) may be made in the event of the exercise of a SAR Award.</w:t>
      </w:r>
    </w:p>
    <w:p>
      <w:pPr>
        <w:spacing w:after="0" w:line="154" w:lineRule="exact"/>
        <w:rPr>
          <w:rFonts w:ascii="Arial" w:cs="Arial" w:eastAsia="Arial" w:hAnsi="Arial"/>
          <w:sz w:val="16"/>
          <w:szCs w:val="16"/>
          <w:color w:val="auto"/>
        </w:rPr>
      </w:pPr>
    </w:p>
    <w:p>
      <w:pPr>
        <w:ind w:left="312" w:hanging="312"/>
        <w:spacing w:after="0"/>
        <w:tabs>
          <w:tab w:leader="none" w:pos="312" w:val="left"/>
        </w:tabs>
        <w:numPr>
          <w:ilvl w:val="0"/>
          <w:numId w:val="22"/>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Restricted Stock Awards</w:t>
      </w:r>
      <w:r>
        <w:rPr>
          <w:rFonts w:ascii="Arial" w:cs="Arial" w:eastAsia="Arial" w:hAnsi="Arial"/>
          <w:sz w:val="18"/>
          <w:szCs w:val="18"/>
          <w:b w:val="1"/>
          <w:bCs w:val="1"/>
          <w:color w:val="auto"/>
        </w:rPr>
        <w:t>.</w:t>
      </w:r>
    </w:p>
    <w:p>
      <w:pPr>
        <w:spacing w:after="0" w:line="229" w:lineRule="exact"/>
        <w:rPr>
          <w:rFonts w:ascii="Arial" w:cs="Arial" w:eastAsia="Arial" w:hAnsi="Arial"/>
          <w:sz w:val="18"/>
          <w:szCs w:val="18"/>
          <w:b w:val="1"/>
          <w:bCs w:val="1"/>
          <w:color w:val="auto"/>
        </w:rPr>
      </w:pPr>
    </w:p>
    <w:p>
      <w:pPr>
        <w:jc w:val="both"/>
        <w:ind w:left="-8" w:firstLine="602"/>
        <w:spacing w:after="0" w:line="257" w:lineRule="auto"/>
        <w:tabs>
          <w:tab w:leader="none" w:pos="993" w:val="left"/>
        </w:tabs>
        <w:numPr>
          <w:ilvl w:val="1"/>
          <w:numId w:val="22"/>
        </w:numPr>
        <w:rPr>
          <w:rFonts w:ascii="Arial" w:cs="Arial" w:eastAsia="Arial" w:hAnsi="Arial"/>
          <w:sz w:val="18"/>
          <w:szCs w:val="18"/>
          <w:color w:val="auto"/>
        </w:rPr>
      </w:pPr>
      <w:r>
        <w:rPr>
          <w:rFonts w:ascii="Arial" w:cs="Arial" w:eastAsia="Arial" w:hAnsi="Arial"/>
          <w:sz w:val="18"/>
          <w:szCs w:val="18"/>
          <w:u w:val="single" w:color="auto"/>
          <w:color w:val="auto"/>
        </w:rPr>
        <w:t>Vesting and Consideration</w:t>
      </w:r>
      <w:r>
        <w:rPr>
          <w:rFonts w:ascii="Arial" w:cs="Arial" w:eastAsia="Arial" w:hAnsi="Arial"/>
          <w:sz w:val="18"/>
          <w:szCs w:val="18"/>
          <w:color w:val="auto"/>
        </w:rPr>
        <w:t>. Shares subject to a Restricted Stock Award shall be subject to vesting and the lapse of applicable restrictions based on such conditions or factors and occurring over such period of time as the Committee may determine in its discretion, subject to the requirements of Section 6(b). The Committee may provide whether any consideration other than Services must be received by the Company or any Affiliate as a condition precedent to the grant of a Restricted Stock Award, and may correspondingly provide for Company reacquisition or repurchase rights if such additional consideration has been required and some or all of a Restricted Stock Award does not vest.</w:t>
      </w:r>
    </w:p>
    <w:p>
      <w:pPr>
        <w:sectPr>
          <w:pgSz w:w="11900" w:h="16838" w:orient="portrait"/>
          <w:cols w:equalWidth="0" w:num="1">
            <w:col w:w="11412"/>
          </w:cols>
          <w:pgMar w:left="248" w:top="584" w:right="239" w:bottom="1440" w:gutter="0" w:footer="0" w:header="0"/>
        </w:sectPr>
      </w:pPr>
    </w:p>
    <w:bookmarkStart w:id="33" w:name="page34"/>
    <w:bookmarkEnd w:id="33"/>
    <w:p>
      <w:pPr>
        <w:jc w:val="both"/>
        <w:ind w:left="-8" w:firstLine="602"/>
        <w:spacing w:after="0" w:line="270" w:lineRule="auto"/>
        <w:tabs>
          <w:tab w:leader="none" w:pos="976" w:val="left"/>
        </w:tabs>
        <w:numPr>
          <w:ilvl w:val="3"/>
          <w:numId w:val="23"/>
        </w:numPr>
        <w:rPr>
          <w:rFonts w:ascii="Arial" w:cs="Arial" w:eastAsia="Arial" w:hAnsi="Arial"/>
          <w:sz w:val="17"/>
          <w:szCs w:val="17"/>
          <w:color w:val="auto"/>
        </w:rPr>
      </w:pPr>
      <w:r>
        <w:rPr>
          <w:rFonts w:ascii="Arial" w:cs="Arial" w:eastAsia="Arial" w:hAnsi="Arial"/>
          <w:sz w:val="17"/>
          <w:szCs w:val="17"/>
          <w:u w:val="single" w:color="auto"/>
          <w:color w:val="auto"/>
        </w:rPr>
        <w:t>Shares Subject to Restricted Stock Awards</w:t>
      </w:r>
      <w:r>
        <w:rPr>
          <w:rFonts w:ascii="Arial" w:cs="Arial" w:eastAsia="Arial" w:hAnsi="Arial"/>
          <w:sz w:val="17"/>
          <w:szCs w:val="17"/>
          <w:color w:val="auto"/>
        </w:rPr>
        <w:t>. Unvested Shares subject to a Restricted Stock Award shall be evidenced by a book-entry in the name of the Participant with the Company’s transfer agent or by one or more Stock certificates issued in the name of the Participant. Any such Stock certificate shall be deposited with the Company or its designee, together with an assignment separate from the certificate, in blank, signed by the Participant, and bear an appropriate legend referring to the restricted nature of the Restricted Stock evidenced thereby. Any book-entry shall be subject to comparable restrictions and corresponding stop transfer instructions. Upon the vesting of Shares of Restricted Stock, and the Company’s determination that any necessary conditions precedent to the release of vested Shares (such as satisfaction of tax withholding obligations and compliance with applicable legal requirements) have been satisfied, such vested Shares shall be made available to the Participant in such manner as may be prescribed or permitted by the Committee. Except as otherwise provided in the Plan or an applicable Agreement, a Participant with a Restricted Stock Award shall have all the rights of a shareholder, including the right to vote the Shares of Restricted Stock.</w:t>
      </w:r>
    </w:p>
    <w:p>
      <w:pPr>
        <w:spacing w:after="0" w:line="177" w:lineRule="exact"/>
        <w:rPr>
          <w:rFonts w:ascii="Arial" w:cs="Arial" w:eastAsia="Arial" w:hAnsi="Arial"/>
          <w:sz w:val="17"/>
          <w:szCs w:val="17"/>
          <w:color w:val="auto"/>
        </w:rPr>
      </w:pPr>
    </w:p>
    <w:p>
      <w:pPr>
        <w:ind w:left="412" w:hanging="412"/>
        <w:spacing w:after="0"/>
        <w:tabs>
          <w:tab w:leader="none" w:pos="412" w:val="left"/>
        </w:tabs>
        <w:numPr>
          <w:ilvl w:val="0"/>
          <w:numId w:val="24"/>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Stock Unit Awards</w:t>
      </w:r>
      <w:r>
        <w:rPr>
          <w:rFonts w:ascii="Arial" w:cs="Arial" w:eastAsia="Arial" w:hAnsi="Arial"/>
          <w:sz w:val="18"/>
          <w:szCs w:val="18"/>
          <w:b w:val="1"/>
          <w:bCs w:val="1"/>
          <w:color w:val="auto"/>
        </w:rPr>
        <w:t>.</w:t>
      </w:r>
    </w:p>
    <w:p>
      <w:pPr>
        <w:spacing w:after="0" w:line="229" w:lineRule="exact"/>
        <w:rPr>
          <w:rFonts w:ascii="Arial" w:cs="Arial" w:eastAsia="Arial" w:hAnsi="Arial"/>
          <w:sz w:val="18"/>
          <w:szCs w:val="18"/>
          <w:b w:val="1"/>
          <w:bCs w:val="1"/>
          <w:color w:val="auto"/>
        </w:rPr>
      </w:pPr>
    </w:p>
    <w:p>
      <w:pPr>
        <w:jc w:val="both"/>
        <w:ind w:left="-8" w:firstLine="575"/>
        <w:spacing w:after="0" w:line="255" w:lineRule="auto"/>
        <w:tabs>
          <w:tab w:leader="none" w:pos="966" w:val="left"/>
        </w:tabs>
        <w:numPr>
          <w:ilvl w:val="2"/>
          <w:numId w:val="24"/>
        </w:numPr>
        <w:rPr>
          <w:rFonts w:ascii="Arial" w:cs="Arial" w:eastAsia="Arial" w:hAnsi="Arial"/>
          <w:sz w:val="18"/>
          <w:szCs w:val="18"/>
          <w:color w:val="auto"/>
        </w:rPr>
      </w:pPr>
      <w:r>
        <w:rPr>
          <w:rFonts w:ascii="Arial" w:cs="Arial" w:eastAsia="Arial" w:hAnsi="Arial"/>
          <w:sz w:val="18"/>
          <w:szCs w:val="18"/>
          <w:u w:val="single" w:color="auto"/>
          <w:color w:val="auto"/>
        </w:rPr>
        <w:t>Vesting and Consideration</w:t>
      </w:r>
      <w:r>
        <w:rPr>
          <w:rFonts w:ascii="Arial" w:cs="Arial" w:eastAsia="Arial" w:hAnsi="Arial"/>
          <w:sz w:val="18"/>
          <w:szCs w:val="18"/>
          <w:color w:val="auto"/>
        </w:rPr>
        <w:t>. A Stock Unit Award shall be subject to vesting and the lapse of applicable restrictions based on such conditions or factors and occurring over such period of time as the Committee may determine in its discretion, subject to the requirements of Section 6(b). If vesting of a Stock Unit Award is conditioned on the achievement of specified performance goals, the extent to which they are achieved over the specified performance period shall determine the number of Stock Units that will be earned and eligible to vest, which may be greater or less than the target number of Stock Units stated in the Agreement. The Committee may provide whether any consideration other than Services must be received by the Company or any Affiliate as a condition precedent to the settlement of a Stock Unit Award.</w:t>
      </w:r>
    </w:p>
    <w:p>
      <w:pPr>
        <w:spacing w:after="0" w:line="193" w:lineRule="exact"/>
        <w:rPr>
          <w:rFonts w:ascii="Arial" w:cs="Arial" w:eastAsia="Arial" w:hAnsi="Arial"/>
          <w:sz w:val="18"/>
          <w:szCs w:val="18"/>
          <w:color w:val="auto"/>
        </w:rPr>
      </w:pPr>
    </w:p>
    <w:p>
      <w:pPr>
        <w:jc w:val="both"/>
        <w:ind w:left="-8" w:firstLine="575"/>
        <w:spacing w:after="0" w:line="259" w:lineRule="auto"/>
        <w:tabs>
          <w:tab w:leader="none" w:pos="949" w:val="left"/>
        </w:tabs>
        <w:numPr>
          <w:ilvl w:val="2"/>
          <w:numId w:val="24"/>
        </w:numPr>
        <w:rPr>
          <w:rFonts w:ascii="Arial" w:cs="Arial" w:eastAsia="Arial" w:hAnsi="Arial"/>
          <w:sz w:val="18"/>
          <w:szCs w:val="18"/>
          <w:color w:val="auto"/>
        </w:rPr>
      </w:pPr>
      <w:r>
        <w:rPr>
          <w:rFonts w:ascii="Arial" w:cs="Arial" w:eastAsia="Arial" w:hAnsi="Arial"/>
          <w:sz w:val="18"/>
          <w:szCs w:val="18"/>
          <w:u w:val="single" w:color="auto"/>
          <w:color w:val="auto"/>
        </w:rPr>
        <w:t>Settlement of Award</w:t>
      </w:r>
      <w:r>
        <w:rPr>
          <w:rFonts w:ascii="Arial" w:cs="Arial" w:eastAsia="Arial" w:hAnsi="Arial"/>
          <w:sz w:val="18"/>
          <w:szCs w:val="18"/>
          <w:color w:val="auto"/>
        </w:rPr>
        <w:t>. Following the vesting of a Stock Unit Award, and the Company’s determination that any necessary conditions precedent to the settlement of the Award (such as satisfaction of tax withholding obligations and compliance with applicable legal requirements) have been satisfied, settlement of the Award and payment to the Participant shall be made at such time or times in the form of cash, Shares (which may themselves be considered Restricted Stock under the Plan) or a combination of cash and Shares as determined by the Committee.</w:t>
      </w:r>
    </w:p>
    <w:p>
      <w:pPr>
        <w:spacing w:after="0" w:line="182" w:lineRule="exact"/>
        <w:rPr>
          <w:rFonts w:ascii="Arial" w:cs="Arial" w:eastAsia="Arial" w:hAnsi="Arial"/>
          <w:sz w:val="18"/>
          <w:szCs w:val="18"/>
          <w:color w:val="auto"/>
        </w:rPr>
      </w:pPr>
    </w:p>
    <w:p>
      <w:pPr>
        <w:jc w:val="both"/>
        <w:ind w:left="-8" w:firstLine="8"/>
        <w:spacing w:after="0" w:line="261" w:lineRule="auto"/>
        <w:tabs>
          <w:tab w:leader="none" w:pos="428" w:val="left"/>
        </w:tabs>
        <w:numPr>
          <w:ilvl w:val="0"/>
          <w:numId w:val="24"/>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Other Stock-Based Awards</w:t>
      </w:r>
      <w:r>
        <w:rPr>
          <w:rFonts w:ascii="Arial" w:cs="Arial" w:eastAsia="Arial" w:hAnsi="Arial"/>
          <w:sz w:val="18"/>
          <w:szCs w:val="18"/>
          <w:b w:val="1"/>
          <w:bCs w:val="1"/>
          <w:color w:val="auto"/>
        </w:rPr>
        <w:t xml:space="preserve">. </w:t>
      </w:r>
      <w:r>
        <w:rPr>
          <w:rFonts w:ascii="Arial" w:cs="Arial" w:eastAsia="Arial" w:hAnsi="Arial"/>
          <w:sz w:val="18"/>
          <w:szCs w:val="18"/>
          <w:color w:val="auto"/>
        </w:rPr>
        <w:t>The Committee may from time to time grant Shares and other Awards that are valued by reference to and/or payable in</w:t>
      </w:r>
      <w:r>
        <w:rPr>
          <w:rFonts w:ascii="Arial" w:cs="Arial" w:eastAsia="Arial" w:hAnsi="Arial"/>
          <w:sz w:val="18"/>
          <w:szCs w:val="18"/>
          <w:b w:val="1"/>
          <w:bCs w:val="1"/>
          <w:color w:val="auto"/>
        </w:rPr>
        <w:t xml:space="preserve"> </w:t>
      </w:r>
      <w:r>
        <w:rPr>
          <w:rFonts w:ascii="Arial" w:cs="Arial" w:eastAsia="Arial" w:hAnsi="Arial"/>
          <w:sz w:val="18"/>
          <w:szCs w:val="18"/>
          <w:color w:val="auto"/>
        </w:rPr>
        <w:t>whole or in part in Shares under the Plan. The Committee shall determine the terms and conditions of such Awards, which shall be consistent with the terms and purposes of the Plan. The Committee may direct the Company to issue Shares subject to restrictive legends and/or stop transfer instructions that are consistent with the terms and conditions of the Award to which the Shares relate.</w:t>
      </w:r>
    </w:p>
    <w:p>
      <w:pPr>
        <w:spacing w:after="0" w:line="180" w:lineRule="exact"/>
        <w:rPr>
          <w:rFonts w:ascii="Arial" w:cs="Arial" w:eastAsia="Arial" w:hAnsi="Arial"/>
          <w:sz w:val="18"/>
          <w:szCs w:val="18"/>
          <w:b w:val="1"/>
          <w:bCs w:val="1"/>
          <w:color w:val="auto"/>
        </w:rPr>
      </w:pPr>
    </w:p>
    <w:p>
      <w:pPr>
        <w:ind w:left="412" w:hanging="412"/>
        <w:spacing w:after="0"/>
        <w:tabs>
          <w:tab w:leader="none" w:pos="412" w:val="left"/>
        </w:tabs>
        <w:numPr>
          <w:ilvl w:val="0"/>
          <w:numId w:val="24"/>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Changes in Capitalization, Corporate Transactions, Change in Control</w:t>
      </w:r>
      <w:r>
        <w:rPr>
          <w:rFonts w:ascii="Arial" w:cs="Arial" w:eastAsia="Arial" w:hAnsi="Arial"/>
          <w:sz w:val="18"/>
          <w:szCs w:val="18"/>
          <w:b w:val="1"/>
          <w:bCs w:val="1"/>
          <w:color w:val="auto"/>
        </w:rPr>
        <w:t>.</w:t>
      </w:r>
    </w:p>
    <w:p>
      <w:pPr>
        <w:spacing w:after="0" w:line="229" w:lineRule="exact"/>
        <w:rPr>
          <w:rFonts w:ascii="Arial" w:cs="Arial" w:eastAsia="Arial" w:hAnsi="Arial"/>
          <w:sz w:val="18"/>
          <w:szCs w:val="18"/>
          <w:b w:val="1"/>
          <w:bCs w:val="1"/>
          <w:color w:val="auto"/>
        </w:rPr>
      </w:pPr>
    </w:p>
    <w:p>
      <w:pPr>
        <w:jc w:val="both"/>
        <w:ind w:left="-8" w:firstLine="494"/>
        <w:spacing w:after="0" w:line="269" w:lineRule="auto"/>
        <w:tabs>
          <w:tab w:leader="none" w:pos="871" w:val="left"/>
        </w:tabs>
        <w:numPr>
          <w:ilvl w:val="1"/>
          <w:numId w:val="24"/>
        </w:numPr>
        <w:rPr>
          <w:rFonts w:ascii="Arial" w:cs="Arial" w:eastAsia="Arial" w:hAnsi="Arial"/>
          <w:sz w:val="17"/>
          <w:szCs w:val="17"/>
          <w:color w:val="auto"/>
        </w:rPr>
      </w:pPr>
      <w:r>
        <w:rPr>
          <w:rFonts w:ascii="Arial" w:cs="Arial" w:eastAsia="Arial" w:hAnsi="Arial"/>
          <w:sz w:val="17"/>
          <w:szCs w:val="17"/>
          <w:u w:val="single" w:color="auto"/>
          <w:color w:val="auto"/>
        </w:rPr>
        <w:t>Adjustments for Changes in Capitalization</w:t>
      </w:r>
      <w:r>
        <w:rPr>
          <w:rFonts w:ascii="Arial" w:cs="Arial" w:eastAsia="Arial" w:hAnsi="Arial"/>
          <w:sz w:val="17"/>
          <w:szCs w:val="17"/>
          <w:color w:val="auto"/>
        </w:rPr>
        <w:t>. In the event of any equity restructuring (within the meaning of FASB ASC Topic 718) that causes the per share value of Shares to change, such as a stock dividend, stock split, spinoff, rights offering or recapitalization through an extraordinary dividend, the Committee shall make such adjustments as it deems equitable and appropriate to (i) the aggregate number and kind of Shares or other securities issued or reserved for issuance under the Plan, (ii) the number and kind of Shares or other securities subject to outstanding Awards, (iii) the exercise price of outstanding Options and SARs, and (iv) any maximum limitations prescribed by the Plan with respect to certain types of Awards or the grants to individuals of certain types of Awards. In the event of any other change in corporate capitalization, including a merger, consolidation, reorganization, or partial or complete liquidation of the Company, such equitable adjustments described in the foregoing sentence may be made as determined to be appropriate and equitable by the Committee to prevent dilution or enlargement of rights of Participants. In either case, any such adjustment shall be conclusive and binding for all purposes of the Plan. No adjustment shall be made pursuant to this Section 12(a) in connection with the conversion of any convertible securities of the Company, or in a manner that would cause Incentive Stock Options to violate Section 422(b) of the Code or cause an Award to be subject to adverse tax consequences under Section 409A of the Code.</w:t>
      </w:r>
    </w:p>
    <w:p>
      <w:pPr>
        <w:spacing w:after="0" w:line="182" w:lineRule="exact"/>
        <w:rPr>
          <w:rFonts w:ascii="Arial" w:cs="Arial" w:eastAsia="Arial" w:hAnsi="Arial"/>
          <w:sz w:val="17"/>
          <w:szCs w:val="17"/>
          <w:color w:val="auto"/>
        </w:rPr>
      </w:pPr>
    </w:p>
    <w:p>
      <w:pPr>
        <w:ind w:left="-8" w:right="20" w:firstLine="494"/>
        <w:spacing w:after="0" w:line="308" w:lineRule="auto"/>
        <w:tabs>
          <w:tab w:leader="none" w:pos="963" w:val="left"/>
        </w:tabs>
        <w:numPr>
          <w:ilvl w:val="1"/>
          <w:numId w:val="24"/>
        </w:numPr>
        <w:rPr>
          <w:rFonts w:ascii="Arial" w:cs="Arial" w:eastAsia="Arial" w:hAnsi="Arial"/>
          <w:sz w:val="17"/>
          <w:szCs w:val="17"/>
          <w:color w:val="auto"/>
        </w:rPr>
      </w:pPr>
      <w:r>
        <w:rPr>
          <w:rFonts w:ascii="Arial" w:cs="Arial" w:eastAsia="Arial" w:hAnsi="Arial"/>
          <w:sz w:val="17"/>
          <w:szCs w:val="17"/>
          <w:u w:val="single" w:color="auto"/>
          <w:color w:val="auto"/>
        </w:rPr>
        <w:t>Corporate Transactions</w:t>
      </w:r>
      <w:r>
        <w:rPr>
          <w:rFonts w:ascii="Arial" w:cs="Arial" w:eastAsia="Arial" w:hAnsi="Arial"/>
          <w:sz w:val="17"/>
          <w:szCs w:val="17"/>
          <w:color w:val="auto"/>
        </w:rPr>
        <w:t>. Unless otherwise provided in an applicable Agreement or another written agreement between a Participant and the Company, the following provisions shall apply to outstanding Awards in the event of a Change in Control that involves a Corporate Transaction.</w:t>
      </w:r>
    </w:p>
    <w:p>
      <w:pPr>
        <w:spacing w:after="0" w:line="146" w:lineRule="exact"/>
        <w:rPr>
          <w:rFonts w:ascii="Arial" w:cs="Arial" w:eastAsia="Arial" w:hAnsi="Arial"/>
          <w:sz w:val="17"/>
          <w:szCs w:val="17"/>
          <w:color w:val="auto"/>
        </w:rPr>
      </w:pPr>
    </w:p>
    <w:p>
      <w:pPr>
        <w:jc w:val="both"/>
        <w:ind w:left="-8" w:firstLine="1305"/>
        <w:spacing w:after="0" w:line="257" w:lineRule="auto"/>
        <w:tabs>
          <w:tab w:leader="none" w:pos="1705" w:val="left"/>
        </w:tabs>
        <w:numPr>
          <w:ilvl w:val="4"/>
          <w:numId w:val="24"/>
        </w:numPr>
        <w:rPr>
          <w:rFonts w:ascii="Arial" w:cs="Arial" w:eastAsia="Arial" w:hAnsi="Arial"/>
          <w:sz w:val="18"/>
          <w:szCs w:val="18"/>
          <w:color w:val="auto"/>
        </w:rPr>
      </w:pPr>
      <w:r>
        <w:rPr>
          <w:rFonts w:ascii="Arial" w:cs="Arial" w:eastAsia="Arial" w:hAnsi="Arial"/>
          <w:sz w:val="18"/>
          <w:szCs w:val="18"/>
          <w:i w:val="1"/>
          <w:iCs w:val="1"/>
          <w:u w:val="single" w:color="auto"/>
          <w:color w:val="auto"/>
        </w:rPr>
        <w:t>Continuation, Assumption or Replacement of Awards</w:t>
      </w:r>
      <w:r>
        <w:rPr>
          <w:rFonts w:ascii="Arial" w:cs="Arial" w:eastAsia="Arial" w:hAnsi="Arial"/>
          <w:sz w:val="18"/>
          <w:szCs w:val="18"/>
          <w:color w:val="auto"/>
        </w:rPr>
        <w:t>. In the event of a Corporate Transaction, then the surviving or successor entity</w:t>
      </w:r>
      <w:r>
        <w:rPr>
          <w:rFonts w:ascii="Arial" w:cs="Arial" w:eastAsia="Arial" w:hAnsi="Arial"/>
          <w:sz w:val="18"/>
          <w:szCs w:val="18"/>
          <w:i w:val="1"/>
          <w:iCs w:val="1"/>
          <w:color w:val="auto"/>
        </w:rPr>
        <w:t xml:space="preserve"> </w:t>
      </w:r>
      <w:r>
        <w:rPr>
          <w:rFonts w:ascii="Arial" w:cs="Arial" w:eastAsia="Arial" w:hAnsi="Arial"/>
          <w:sz w:val="18"/>
          <w:szCs w:val="18"/>
          <w:color w:val="auto"/>
        </w:rPr>
        <w:t>(or its Parent) may continue, assume or replace Awards outstanding as of the date of the Corporate Transaction (with such adjustments as may be required or permitted by Section 12(a)), and such Awards or replacements therefor shall remain outstanding and be governed by their respective terms, subject to Section 12(b)(4) below. A surviving or successor entity may elect to continue, assume or replace only some Awards or portions of Awards. For purposes of this Section 12(b)(1),</w:t>
      </w:r>
    </w:p>
    <w:p>
      <w:pPr>
        <w:sectPr>
          <w:pgSz w:w="11900" w:h="16838" w:orient="portrait"/>
          <w:cols w:equalWidth="0" w:num="1">
            <w:col w:w="11412"/>
          </w:cols>
          <w:pgMar w:left="248" w:top="584" w:right="239" w:bottom="1440" w:gutter="0" w:footer="0" w:header="0"/>
        </w:sectPr>
      </w:pPr>
    </w:p>
    <w:bookmarkStart w:id="34" w:name="page35"/>
    <w:bookmarkEnd w:id="34"/>
    <w:p>
      <w:pPr>
        <w:jc w:val="both"/>
        <w:spacing w:after="0" w:line="255" w:lineRule="auto"/>
        <w:rPr>
          <w:sz w:val="20"/>
          <w:szCs w:val="20"/>
          <w:color w:val="auto"/>
        </w:rPr>
      </w:pPr>
      <w:r>
        <w:rPr>
          <w:rFonts w:ascii="Arial" w:cs="Arial" w:eastAsia="Arial" w:hAnsi="Arial"/>
          <w:sz w:val="18"/>
          <w:szCs w:val="18"/>
          <w:color w:val="auto"/>
        </w:rPr>
        <w:t>an Award shall be considered assumed or replaced if, in connection with the Corporate Transaction and in a manner consistent with Code Section 409A (and Code Section 424 if the Award is an ISO), either (i) the contractual obligations represented by the Award are expressly assumed by the surviving or successor entity (or its Parent) with appropriate adjustments to the number and type of securities subject to the Award and the exercise price thereof that preserves the intrinsic value of the Award existing at the time of the Corporate Transaction, or (ii) the Participant has received a comparable equity-based award that preserves the intrinsic value of the Award existing at the time of the Corporate Transaction and contains terms and conditions that are substantially similar to those of the Award.</w:t>
      </w:r>
    </w:p>
    <w:p>
      <w:pPr>
        <w:spacing w:after="0" w:line="193" w:lineRule="exact"/>
        <w:rPr>
          <w:sz w:val="20"/>
          <w:szCs w:val="20"/>
          <w:color w:val="auto"/>
        </w:rPr>
      </w:pPr>
    </w:p>
    <w:p>
      <w:pPr>
        <w:jc w:val="both"/>
        <w:ind w:firstLine="1305"/>
        <w:spacing w:after="0" w:line="285" w:lineRule="auto"/>
        <w:tabs>
          <w:tab w:leader="none" w:pos="1700" w:val="left"/>
        </w:tabs>
        <w:numPr>
          <w:ilvl w:val="2"/>
          <w:numId w:val="25"/>
        </w:numPr>
        <w:rPr>
          <w:rFonts w:ascii="Arial" w:cs="Arial" w:eastAsia="Arial" w:hAnsi="Arial"/>
          <w:sz w:val="16"/>
          <w:szCs w:val="16"/>
          <w:color w:val="auto"/>
        </w:rPr>
      </w:pPr>
      <w:r>
        <w:rPr>
          <w:rFonts w:ascii="Arial" w:cs="Arial" w:eastAsia="Arial" w:hAnsi="Arial"/>
          <w:sz w:val="16"/>
          <w:szCs w:val="16"/>
          <w:i w:val="1"/>
          <w:iCs w:val="1"/>
          <w:u w:val="single" w:color="auto"/>
          <w:color w:val="auto"/>
        </w:rPr>
        <w:t>Acceleration</w:t>
      </w:r>
      <w:r>
        <w:rPr>
          <w:rFonts w:ascii="Arial" w:cs="Arial" w:eastAsia="Arial" w:hAnsi="Arial"/>
          <w:sz w:val="16"/>
          <w:szCs w:val="16"/>
          <w:color w:val="auto"/>
        </w:rPr>
        <w:t>. If and to the extent that outstanding Awards under the Plan are not continued, assumed or replaced in connection with a</w:t>
      </w:r>
      <w:r>
        <w:rPr>
          <w:rFonts w:ascii="Arial" w:cs="Arial" w:eastAsia="Arial" w:hAnsi="Arial"/>
          <w:sz w:val="16"/>
          <w:szCs w:val="16"/>
          <w:i w:val="1"/>
          <w:iCs w:val="1"/>
          <w:color w:val="auto"/>
        </w:rPr>
        <w:t xml:space="preserve"> </w:t>
      </w:r>
      <w:r>
        <w:rPr>
          <w:rFonts w:ascii="Arial" w:cs="Arial" w:eastAsia="Arial" w:hAnsi="Arial"/>
          <w:sz w:val="16"/>
          <w:szCs w:val="16"/>
          <w:color w:val="auto"/>
        </w:rPr>
        <w:t>Corporate Transaction, then (i) all outstanding Option and SAR Awards shall become fully vested and exercisable for such period of time prior to the effective time of the Corporate Transaction as is deemed fair and equitable by the Committee, and shall terminate at the effective time of the Corporate Transaction, (ii) all outstanding Full Value Awards shall fully vest immediately prior to the effective time of the Corporate Transaction, and (iii) to the extent vesting of any Award is subject to satisfaction of specified performance goals, such Award shall be deemed “fully vested” for purposes of this Section 12(b)</w:t>
      </w:r>
    </w:p>
    <w:p>
      <w:pPr>
        <w:spacing w:after="0" w:line="2" w:lineRule="exact"/>
        <w:rPr>
          <w:rFonts w:ascii="Arial" w:cs="Arial" w:eastAsia="Arial" w:hAnsi="Arial"/>
          <w:sz w:val="16"/>
          <w:szCs w:val="16"/>
          <w:color w:val="auto"/>
        </w:rPr>
      </w:pPr>
    </w:p>
    <w:p>
      <w:pPr>
        <w:jc w:val="both"/>
        <w:ind w:firstLine="8"/>
        <w:spacing w:after="0" w:line="253" w:lineRule="auto"/>
        <w:tabs>
          <w:tab w:leader="none" w:pos="284" w:val="left"/>
        </w:tabs>
        <w:numPr>
          <w:ilvl w:val="0"/>
          <w:numId w:val="26"/>
        </w:numPr>
        <w:rPr>
          <w:rFonts w:ascii="Arial" w:cs="Arial" w:eastAsia="Arial" w:hAnsi="Arial"/>
          <w:sz w:val="18"/>
          <w:szCs w:val="18"/>
          <w:color w:val="auto"/>
        </w:rPr>
      </w:pPr>
      <w:r>
        <w:rPr>
          <w:rFonts w:ascii="Arial" w:cs="Arial" w:eastAsia="Arial" w:hAnsi="Arial"/>
          <w:sz w:val="18"/>
          <w:szCs w:val="18"/>
          <w:color w:val="auto"/>
        </w:rPr>
        <w:t>if the performance goals are deemed to have been satisfied at the target level of performance and the vested portion of the Award at that level of performance is proportionate to the portion of the performance period that has elapsed as of the effective time of the Corporate Transaction. The Committee shall provide written notice of the period of accelerated exercisability of Option and SAR Awards to all affected Participants. The exercise of any Option or SAR Award whose exercisability is accelerated as provided in this Section 12(b)(2) shall be conditioned upon the consummation of the Corporate Transaction and shall be effective only immediately before such consummation.</w:t>
      </w:r>
    </w:p>
    <w:p>
      <w:pPr>
        <w:spacing w:after="0" w:line="191" w:lineRule="exact"/>
        <w:rPr>
          <w:rFonts w:ascii="Arial" w:cs="Arial" w:eastAsia="Arial" w:hAnsi="Arial"/>
          <w:sz w:val="18"/>
          <w:szCs w:val="18"/>
          <w:color w:val="auto"/>
        </w:rPr>
      </w:pPr>
    </w:p>
    <w:p>
      <w:pPr>
        <w:jc w:val="both"/>
        <w:ind w:firstLine="1305"/>
        <w:spacing w:after="0" w:line="284" w:lineRule="auto"/>
        <w:tabs>
          <w:tab w:leader="none" w:pos="1686" w:val="left"/>
        </w:tabs>
        <w:numPr>
          <w:ilvl w:val="2"/>
          <w:numId w:val="26"/>
        </w:numPr>
        <w:rPr>
          <w:rFonts w:ascii="Arial" w:cs="Arial" w:eastAsia="Arial" w:hAnsi="Arial"/>
          <w:sz w:val="16"/>
          <w:szCs w:val="16"/>
          <w:color w:val="auto"/>
        </w:rPr>
      </w:pPr>
      <w:r>
        <w:rPr>
          <w:rFonts w:ascii="Arial" w:cs="Arial" w:eastAsia="Arial" w:hAnsi="Arial"/>
          <w:sz w:val="16"/>
          <w:szCs w:val="16"/>
          <w:i w:val="1"/>
          <w:iCs w:val="1"/>
          <w:u w:val="single" w:color="auto"/>
          <w:color w:val="auto"/>
        </w:rPr>
        <w:t>Payment for Awards</w:t>
      </w:r>
      <w:r>
        <w:rPr>
          <w:rFonts w:ascii="Arial" w:cs="Arial" w:eastAsia="Arial" w:hAnsi="Arial"/>
          <w:sz w:val="16"/>
          <w:szCs w:val="16"/>
          <w:color w:val="auto"/>
        </w:rPr>
        <w:t>. If and to the extent that outstanding Awards under the Plan are not continued, assumed or replaced in connection</w:t>
      </w:r>
      <w:r>
        <w:rPr>
          <w:rFonts w:ascii="Arial" w:cs="Arial" w:eastAsia="Arial" w:hAnsi="Arial"/>
          <w:sz w:val="16"/>
          <w:szCs w:val="16"/>
          <w:i w:val="1"/>
          <w:iCs w:val="1"/>
          <w:color w:val="auto"/>
        </w:rPr>
        <w:t xml:space="preserve"> </w:t>
      </w:r>
      <w:r>
        <w:rPr>
          <w:rFonts w:ascii="Arial" w:cs="Arial" w:eastAsia="Arial" w:hAnsi="Arial"/>
          <w:sz w:val="16"/>
          <w:szCs w:val="16"/>
          <w:color w:val="auto"/>
        </w:rPr>
        <w:t>with a Corporate Transaction, then the Committee may provide that some or all of such outstanding Awards shall be canceled at or immediately prior to the effective time of the Corporate Transaction in exchange for payments to the holders as provided in this Section 12(b)(3). The Committee will not be required to treat all Awards similarly for purposes of this Section 12(b)(3). The payment for any Award canceled shall be in an amount equal to the difference, if any, between (i) the fair market value (as determined in good faith by the Committee) of the consideration that would otherwise be received in the Corporate Transaction for the number of Shares subject to the Award, and (ii) the aggregate exercise price (if any) for the Shares subject to such Award. If the amount determined pursuant to the preceding sentence is not a positive number with respect to any Award, such Award may be canceled pursuant to this Section 12(b)</w:t>
      </w:r>
    </w:p>
    <w:p>
      <w:pPr>
        <w:spacing w:after="0" w:line="2" w:lineRule="exact"/>
        <w:rPr>
          <w:rFonts w:ascii="Arial" w:cs="Arial" w:eastAsia="Arial" w:hAnsi="Arial"/>
          <w:sz w:val="16"/>
          <w:szCs w:val="16"/>
          <w:color w:val="auto"/>
        </w:rPr>
      </w:pPr>
    </w:p>
    <w:p>
      <w:pPr>
        <w:jc w:val="both"/>
        <w:ind w:firstLine="8"/>
        <w:spacing w:after="0" w:line="252" w:lineRule="auto"/>
        <w:tabs>
          <w:tab w:leader="none" w:pos="267" w:val="left"/>
        </w:tabs>
        <w:numPr>
          <w:ilvl w:val="0"/>
          <w:numId w:val="26"/>
        </w:numPr>
        <w:rPr>
          <w:rFonts w:ascii="Arial" w:cs="Arial" w:eastAsia="Arial" w:hAnsi="Arial"/>
          <w:sz w:val="18"/>
          <w:szCs w:val="18"/>
          <w:color w:val="auto"/>
        </w:rPr>
      </w:pPr>
      <w:r>
        <w:rPr>
          <w:rFonts w:ascii="Arial" w:cs="Arial" w:eastAsia="Arial" w:hAnsi="Arial"/>
          <w:sz w:val="18"/>
          <w:szCs w:val="18"/>
          <w:color w:val="auto"/>
        </w:rPr>
        <w:t>without payment of any kind to the affected Participant. With respect to an Award whose vesting is subject to the satisfaction of specified performance goals, the number of Shares subject to such an Award for purposes of this Section 12(b)(3) shall be the number of Shares as to which the Award would have been deemed “fully vested” for purposes of Section 12(b)(2). Payment of any amount under this Section 12(b)(3) shall be made in such form, on such terms and subject to such conditions as the Committee determines in its discretion, which may or may not be the same as the form, terms and conditions applicable to payments to the Company’s shareholders in connection with the Corporate Transaction, and may, in the Committee’s discretion, include subjecting such payments to vesting conditions comparable to those of the Award canceled, subjecting such payments to escrow or holdback terms comparable to those imposed upon the Company’s shareholders under the Corporate Transaction, or calculating and paying the present value of payments that would otherwise be subject to escrow or holdback terms.</w:t>
      </w:r>
    </w:p>
    <w:p>
      <w:pPr>
        <w:spacing w:after="0" w:line="191" w:lineRule="exact"/>
        <w:rPr>
          <w:rFonts w:ascii="Arial" w:cs="Arial" w:eastAsia="Arial" w:hAnsi="Arial"/>
          <w:sz w:val="18"/>
          <w:szCs w:val="18"/>
          <w:color w:val="auto"/>
        </w:rPr>
      </w:pPr>
    </w:p>
    <w:p>
      <w:pPr>
        <w:jc w:val="both"/>
        <w:ind w:firstLine="1305"/>
        <w:spacing w:after="0" w:line="255" w:lineRule="auto"/>
        <w:tabs>
          <w:tab w:leader="none" w:pos="1848" w:val="left"/>
        </w:tabs>
        <w:numPr>
          <w:ilvl w:val="2"/>
          <w:numId w:val="27"/>
        </w:numPr>
        <w:rPr>
          <w:rFonts w:ascii="Arial" w:cs="Arial" w:eastAsia="Arial" w:hAnsi="Arial"/>
          <w:sz w:val="18"/>
          <w:szCs w:val="18"/>
          <w:color w:val="auto"/>
        </w:rPr>
      </w:pPr>
      <w:r>
        <w:rPr>
          <w:rFonts w:ascii="Arial" w:cs="Arial" w:eastAsia="Arial" w:hAnsi="Arial"/>
          <w:sz w:val="18"/>
          <w:szCs w:val="18"/>
          <w:i w:val="1"/>
          <w:iCs w:val="1"/>
          <w:u w:val="single" w:color="auto"/>
          <w:color w:val="auto"/>
        </w:rPr>
        <w:t>Termination After a Corporate Transaction</w:t>
      </w:r>
      <w:r>
        <w:rPr>
          <w:rFonts w:ascii="Arial" w:cs="Arial" w:eastAsia="Arial" w:hAnsi="Arial"/>
          <w:sz w:val="18"/>
          <w:szCs w:val="18"/>
          <w:color w:val="auto"/>
        </w:rPr>
        <w:t>. If and to the extent that Awards are continued, assumed or replaced under the</w:t>
      </w:r>
      <w:r>
        <w:rPr>
          <w:rFonts w:ascii="Arial" w:cs="Arial" w:eastAsia="Arial" w:hAnsi="Arial"/>
          <w:sz w:val="18"/>
          <w:szCs w:val="18"/>
          <w:i w:val="1"/>
          <w:iCs w:val="1"/>
          <w:color w:val="auto"/>
        </w:rPr>
        <w:t xml:space="preserve"> </w:t>
      </w:r>
      <w:r>
        <w:rPr>
          <w:rFonts w:ascii="Arial" w:cs="Arial" w:eastAsia="Arial" w:hAnsi="Arial"/>
          <w:sz w:val="18"/>
          <w:szCs w:val="18"/>
          <w:color w:val="auto"/>
        </w:rPr>
        <w:t>circumstances described in Section 12(b)(1), and if within 12 months after the Corporate Transaction a Participant experiences an involuntary termination of Service for reasons other than Cause, then (i) outstanding Option and SAR Awards issued to the Participant that are not yet fully exercisable shall immediately become exercisable in full and shall remain exercisable for one year following the Participant’s termination of employment, and (ii) any Full Value Awards that are not yet fully vested shall immediately vest in full (with vesting in full for a performance-based award determined as provided in Section 12(b)(2), except that the proportionate vesting amount will be determined with respect to the portion of the performance period during which the Participant was a Service Provider).</w:t>
      </w:r>
    </w:p>
    <w:p>
      <w:pPr>
        <w:spacing w:after="0" w:line="189" w:lineRule="exact"/>
        <w:rPr>
          <w:rFonts w:ascii="Arial" w:cs="Arial" w:eastAsia="Arial" w:hAnsi="Arial"/>
          <w:sz w:val="18"/>
          <w:szCs w:val="18"/>
          <w:color w:val="auto"/>
        </w:rPr>
      </w:pPr>
    </w:p>
    <w:p>
      <w:pPr>
        <w:jc w:val="both"/>
        <w:ind w:firstLine="575"/>
        <w:spacing w:after="0" w:line="255" w:lineRule="auto"/>
        <w:tabs>
          <w:tab w:leader="none" w:pos="1055" w:val="left"/>
        </w:tabs>
        <w:numPr>
          <w:ilvl w:val="1"/>
          <w:numId w:val="28"/>
        </w:numPr>
        <w:rPr>
          <w:rFonts w:ascii="Arial" w:cs="Arial" w:eastAsia="Arial" w:hAnsi="Arial"/>
          <w:sz w:val="18"/>
          <w:szCs w:val="18"/>
          <w:color w:val="auto"/>
        </w:rPr>
      </w:pPr>
      <w:r>
        <w:rPr>
          <w:rFonts w:ascii="Arial" w:cs="Arial" w:eastAsia="Arial" w:hAnsi="Arial"/>
          <w:sz w:val="18"/>
          <w:szCs w:val="18"/>
          <w:u w:val="single" w:color="auto"/>
          <w:color w:val="auto"/>
        </w:rPr>
        <w:t>Other Change in Control</w:t>
      </w:r>
      <w:r>
        <w:rPr>
          <w:rFonts w:ascii="Arial" w:cs="Arial" w:eastAsia="Arial" w:hAnsi="Arial"/>
          <w:sz w:val="18"/>
          <w:szCs w:val="18"/>
          <w:color w:val="auto"/>
        </w:rPr>
        <w:t>. In the event of a Change in Control that does not involve a Corporate Transaction, the Committee may, in its discretion, take such action as it deems appropriate with respect to outstanding Awards, which may include: (i) providing for the cancellation of any Award in exchange for payments in a manner similar to that provided in Section 12(b)(3) or (ii) making such adjustments to the Awards then outstanding as the Committee deems appropriate to reflect such Change in Control, which may include the acceleration of vesting in full or in part. The Committee will not be required to treat all Awards similarly in such circumstances, and may include such further provisions and limitations in any Award Agreement as it may deem equitable and in the best interests of the Company.</w:t>
      </w:r>
    </w:p>
    <w:p>
      <w:pPr>
        <w:spacing w:after="0" w:line="193" w:lineRule="exact"/>
        <w:rPr>
          <w:rFonts w:ascii="Arial" w:cs="Arial" w:eastAsia="Arial" w:hAnsi="Arial"/>
          <w:sz w:val="18"/>
          <w:szCs w:val="18"/>
          <w:color w:val="auto"/>
        </w:rPr>
      </w:pPr>
    </w:p>
    <w:p>
      <w:pPr>
        <w:ind w:firstLine="575"/>
        <w:spacing w:after="0" w:line="277" w:lineRule="auto"/>
        <w:tabs>
          <w:tab w:leader="none" w:pos="984" w:val="left"/>
        </w:tabs>
        <w:numPr>
          <w:ilvl w:val="1"/>
          <w:numId w:val="28"/>
        </w:numPr>
        <w:rPr>
          <w:rFonts w:ascii="Arial" w:cs="Arial" w:eastAsia="Arial" w:hAnsi="Arial"/>
          <w:sz w:val="18"/>
          <w:szCs w:val="18"/>
          <w:color w:val="auto"/>
        </w:rPr>
      </w:pPr>
      <w:r>
        <w:rPr>
          <w:rFonts w:ascii="Arial" w:cs="Arial" w:eastAsia="Arial" w:hAnsi="Arial"/>
          <w:sz w:val="18"/>
          <w:szCs w:val="18"/>
          <w:u w:val="single" w:color="auto"/>
          <w:color w:val="auto"/>
        </w:rPr>
        <w:t>Dissolution or Liquidation</w:t>
      </w:r>
      <w:r>
        <w:rPr>
          <w:rFonts w:ascii="Arial" w:cs="Arial" w:eastAsia="Arial" w:hAnsi="Arial"/>
          <w:sz w:val="18"/>
          <w:szCs w:val="18"/>
          <w:color w:val="auto"/>
        </w:rPr>
        <w:t>. Unless otherwise provided in an applicable Agreement, in the event of a proposed dissolution or liquidation of the Company, the Committee will notify each Participant as soon as practicable prior to the effective</w:t>
      </w:r>
    </w:p>
    <w:p>
      <w:pPr>
        <w:sectPr>
          <w:pgSz w:w="11900" w:h="16838" w:orient="portrait"/>
          <w:cols w:equalWidth="0" w:num="1">
            <w:col w:w="11420"/>
          </w:cols>
          <w:pgMar w:left="240" w:top="584" w:right="239" w:bottom="1440" w:gutter="0" w:footer="0" w:header="0"/>
        </w:sectPr>
      </w:pPr>
    </w:p>
    <w:bookmarkStart w:id="35" w:name="page36"/>
    <w:bookmarkEnd w:id="35"/>
    <w:p>
      <w:pPr>
        <w:spacing w:after="0"/>
        <w:rPr>
          <w:sz w:val="20"/>
          <w:szCs w:val="20"/>
          <w:color w:val="auto"/>
        </w:rPr>
      </w:pPr>
      <w:r>
        <w:rPr>
          <w:rFonts w:ascii="Arial" w:cs="Arial" w:eastAsia="Arial" w:hAnsi="Arial"/>
          <w:sz w:val="18"/>
          <w:szCs w:val="18"/>
          <w:color w:val="auto"/>
        </w:rPr>
        <w:t>date of such proposed transaction. An Award will terminate immediately prior to the consummation of such proposed action.</w:t>
      </w:r>
    </w:p>
    <w:p>
      <w:pPr>
        <w:spacing w:after="0" w:line="221" w:lineRule="exact"/>
        <w:rPr>
          <w:sz w:val="20"/>
          <w:szCs w:val="20"/>
          <w:color w:val="auto"/>
        </w:rPr>
      </w:pPr>
    </w:p>
    <w:p>
      <w:pPr>
        <w:jc w:val="both"/>
        <w:ind w:firstLine="8"/>
        <w:spacing w:after="0" w:line="258" w:lineRule="auto"/>
        <w:tabs>
          <w:tab w:leader="none" w:pos="446" w:val="left"/>
        </w:tabs>
        <w:numPr>
          <w:ilvl w:val="0"/>
          <w:numId w:val="29"/>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Plan Participation and Service Provider Status</w:t>
      </w:r>
      <w:r>
        <w:rPr>
          <w:rFonts w:ascii="Arial" w:cs="Arial" w:eastAsia="Arial" w:hAnsi="Arial"/>
          <w:sz w:val="18"/>
          <w:szCs w:val="18"/>
          <w:b w:val="1"/>
          <w:bCs w:val="1"/>
          <w:color w:val="auto"/>
        </w:rPr>
        <w:t xml:space="preserve">. </w:t>
      </w:r>
      <w:r>
        <w:rPr>
          <w:rFonts w:ascii="Arial" w:cs="Arial" w:eastAsia="Arial" w:hAnsi="Arial"/>
          <w:sz w:val="18"/>
          <w:szCs w:val="18"/>
          <w:color w:val="auto"/>
        </w:rPr>
        <w:t>Status as a Service Provider shall not be construed as a commitment that any Award will be made</w:t>
      </w:r>
      <w:r>
        <w:rPr>
          <w:rFonts w:ascii="Arial" w:cs="Arial" w:eastAsia="Arial" w:hAnsi="Arial"/>
          <w:sz w:val="18"/>
          <w:szCs w:val="18"/>
          <w:b w:val="1"/>
          <w:bCs w:val="1"/>
          <w:color w:val="auto"/>
        </w:rPr>
        <w:t xml:space="preserve"> </w:t>
      </w:r>
      <w:r>
        <w:rPr>
          <w:rFonts w:ascii="Arial" w:cs="Arial" w:eastAsia="Arial" w:hAnsi="Arial"/>
          <w:sz w:val="18"/>
          <w:szCs w:val="18"/>
          <w:color w:val="auto"/>
        </w:rPr>
        <w:t>under the Plan to that Service Provider or to eligible Service Providers generally. Nothing in the Plan or in any Agreement or related documents shall confer upon any Service Provider or Participant any right to continued Service with the Company or any Affiliate, nor shall it interfere with or limit in any way any right of the Company or any Affiliate to terminate the person’s Service at any time with or without Cause or change such person’s compensation, other benefits, job responsibilities or title.</w:t>
      </w:r>
    </w:p>
    <w:p>
      <w:pPr>
        <w:spacing w:after="0" w:line="183" w:lineRule="exact"/>
        <w:rPr>
          <w:rFonts w:ascii="Arial" w:cs="Arial" w:eastAsia="Arial" w:hAnsi="Arial"/>
          <w:sz w:val="18"/>
          <w:szCs w:val="18"/>
          <w:b w:val="1"/>
          <w:bCs w:val="1"/>
          <w:color w:val="auto"/>
        </w:rPr>
      </w:pPr>
    </w:p>
    <w:p>
      <w:pPr>
        <w:jc w:val="both"/>
        <w:ind w:firstLine="8"/>
        <w:spacing w:after="0" w:line="292" w:lineRule="auto"/>
        <w:tabs>
          <w:tab w:leader="none" w:pos="418" w:val="left"/>
        </w:tabs>
        <w:numPr>
          <w:ilvl w:val="0"/>
          <w:numId w:val="29"/>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Tax Withholding</w:t>
      </w:r>
      <w:r>
        <w:rPr>
          <w:rFonts w:ascii="Arial" w:cs="Arial" w:eastAsia="Arial" w:hAnsi="Arial"/>
          <w:sz w:val="16"/>
          <w:szCs w:val="16"/>
          <w:b w:val="1"/>
          <w:bCs w:val="1"/>
          <w:color w:val="auto"/>
        </w:rPr>
        <w:t xml:space="preserve">. </w:t>
      </w:r>
      <w:r>
        <w:rPr>
          <w:rFonts w:ascii="Arial" w:cs="Arial" w:eastAsia="Arial" w:hAnsi="Arial"/>
          <w:sz w:val="16"/>
          <w:szCs w:val="16"/>
          <w:color w:val="auto"/>
        </w:rPr>
        <w:t>The Company or any Affiliate, as applicable, shall have the right to (i) withhold from any cash payment under the Plan or any other</w:t>
      </w:r>
      <w:r>
        <w:rPr>
          <w:rFonts w:ascii="Arial" w:cs="Arial" w:eastAsia="Arial" w:hAnsi="Arial"/>
          <w:sz w:val="16"/>
          <w:szCs w:val="16"/>
          <w:b w:val="1"/>
          <w:bCs w:val="1"/>
          <w:color w:val="auto"/>
        </w:rPr>
        <w:t xml:space="preserve"> </w:t>
      </w:r>
      <w:r>
        <w:rPr>
          <w:rFonts w:ascii="Arial" w:cs="Arial" w:eastAsia="Arial" w:hAnsi="Arial"/>
          <w:sz w:val="16"/>
          <w:szCs w:val="16"/>
          <w:color w:val="auto"/>
        </w:rPr>
        <w:t>compensation owed to a Participant an amount sufficient to cover any required withholding taxes related to the grant, vesting, exercise or settlement of an Award, and (ii) require a Participant or other person receiving Shares under the Plan to pay a cash amount sufficient to cover any required withholding taxes before actual receipt of those Shares. In lieu of all or any part of a cash payment from a person receiving Shares under the Plan, the Committee may permit the Participant to satisfy all or any part of the required tax withholding obligations by authorizing the Company to withhold a number of the Shares that would otherwise be delivered to the Participant pursuant to the Award, or by transferring to the Company Shares already owned by the Participant, with the Shares so withheld or delivered having a Fair Market Value on the date the taxes are required to be withheld equal to the amount of taxes to be withheld.</w:t>
      </w:r>
    </w:p>
    <w:p>
      <w:pPr>
        <w:spacing w:after="0" w:line="161" w:lineRule="exact"/>
        <w:rPr>
          <w:rFonts w:ascii="Arial" w:cs="Arial" w:eastAsia="Arial" w:hAnsi="Arial"/>
          <w:sz w:val="16"/>
          <w:szCs w:val="16"/>
          <w:b w:val="1"/>
          <w:bCs w:val="1"/>
          <w:color w:val="auto"/>
        </w:rPr>
      </w:pPr>
    </w:p>
    <w:p>
      <w:pPr>
        <w:ind w:left="420" w:hanging="412"/>
        <w:spacing w:after="0"/>
        <w:tabs>
          <w:tab w:leader="none" w:pos="420" w:val="left"/>
        </w:tabs>
        <w:numPr>
          <w:ilvl w:val="0"/>
          <w:numId w:val="29"/>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Effective Date, Duration, Amendment and Termination of the Plan</w:t>
      </w:r>
      <w:r>
        <w:rPr>
          <w:rFonts w:ascii="Arial" w:cs="Arial" w:eastAsia="Arial" w:hAnsi="Arial"/>
          <w:sz w:val="18"/>
          <w:szCs w:val="18"/>
          <w:b w:val="1"/>
          <w:bCs w:val="1"/>
          <w:color w:val="auto"/>
        </w:rPr>
        <w:t>.</w:t>
      </w:r>
    </w:p>
    <w:p>
      <w:pPr>
        <w:spacing w:after="0" w:line="229" w:lineRule="exact"/>
        <w:rPr>
          <w:rFonts w:ascii="Arial" w:cs="Arial" w:eastAsia="Arial" w:hAnsi="Arial"/>
          <w:sz w:val="18"/>
          <w:szCs w:val="18"/>
          <w:b w:val="1"/>
          <w:bCs w:val="1"/>
          <w:color w:val="auto"/>
        </w:rPr>
      </w:pPr>
    </w:p>
    <w:p>
      <w:pPr>
        <w:jc w:val="both"/>
        <w:ind w:firstLine="575"/>
        <w:spacing w:after="0" w:line="264" w:lineRule="auto"/>
        <w:tabs>
          <w:tab w:leader="none" w:pos="960" w:val="left"/>
        </w:tabs>
        <w:numPr>
          <w:ilvl w:val="1"/>
          <w:numId w:val="29"/>
        </w:numPr>
        <w:rPr>
          <w:rFonts w:ascii="Arial" w:cs="Arial" w:eastAsia="Arial" w:hAnsi="Arial"/>
          <w:sz w:val="18"/>
          <w:szCs w:val="18"/>
          <w:color w:val="auto"/>
        </w:rPr>
      </w:pPr>
      <w:r>
        <w:rPr>
          <w:rFonts w:ascii="Arial" w:cs="Arial" w:eastAsia="Arial" w:hAnsi="Arial"/>
          <w:sz w:val="18"/>
          <w:szCs w:val="18"/>
          <w:u w:val="single" w:color="auto"/>
          <w:color w:val="auto"/>
        </w:rPr>
        <w:t>Effective Date</w:t>
      </w:r>
      <w:r>
        <w:rPr>
          <w:rFonts w:ascii="Arial" w:cs="Arial" w:eastAsia="Arial" w:hAnsi="Arial"/>
          <w:sz w:val="18"/>
          <w:szCs w:val="18"/>
          <w:color w:val="auto"/>
        </w:rPr>
        <w:t>. The Plan shall become effective on the date it is approved by the Company’s shareholders, which shall be considered the date of its adoption for purposes of Treasury Regulation §1.422-2(b)(2)(i). No Awards shall be made under the Plan prior to its effective date. If the Company’s shareholders fail to approve the Plan by September 30, 2020, the Plan will be of no further force or effect.</w:t>
      </w:r>
    </w:p>
    <w:p>
      <w:pPr>
        <w:spacing w:after="0" w:line="181" w:lineRule="exact"/>
        <w:rPr>
          <w:rFonts w:ascii="Arial" w:cs="Arial" w:eastAsia="Arial" w:hAnsi="Arial"/>
          <w:sz w:val="18"/>
          <w:szCs w:val="18"/>
          <w:color w:val="auto"/>
        </w:rPr>
      </w:pPr>
    </w:p>
    <w:p>
      <w:pPr>
        <w:jc w:val="both"/>
        <w:ind w:firstLine="656"/>
        <w:spacing w:after="0" w:line="259" w:lineRule="auto"/>
        <w:tabs>
          <w:tab w:leader="none" w:pos="1038" w:val="left"/>
        </w:tabs>
        <w:numPr>
          <w:ilvl w:val="2"/>
          <w:numId w:val="29"/>
        </w:numPr>
        <w:rPr>
          <w:rFonts w:ascii="Arial" w:cs="Arial" w:eastAsia="Arial" w:hAnsi="Arial"/>
          <w:sz w:val="18"/>
          <w:szCs w:val="18"/>
          <w:color w:val="auto"/>
        </w:rPr>
      </w:pPr>
      <w:r>
        <w:rPr>
          <w:rFonts w:ascii="Arial" w:cs="Arial" w:eastAsia="Arial" w:hAnsi="Arial"/>
          <w:sz w:val="18"/>
          <w:szCs w:val="18"/>
          <w:u w:val="single" w:color="auto"/>
          <w:color w:val="auto"/>
        </w:rPr>
        <w:t>Duration of the Plan</w:t>
      </w:r>
      <w:r>
        <w:rPr>
          <w:rFonts w:ascii="Arial" w:cs="Arial" w:eastAsia="Arial" w:hAnsi="Arial"/>
          <w:sz w:val="18"/>
          <w:szCs w:val="18"/>
          <w:color w:val="auto"/>
        </w:rPr>
        <w:t>. The Plan shall remain in effect until all Shares subject to it are distributed, all Awards have expired or terminated, the Plan is terminated pursuant to Section 15(c), or the tenth anniversary of the effective date of the Plan, whichever occurs first (the “Termination Date”). Awards made before the Termination Date shall continue to be outstanding in accordance with their terms and the terms of the Plan unless otherwise provided in the applicable Agreements.</w:t>
      </w:r>
    </w:p>
    <w:p>
      <w:pPr>
        <w:spacing w:after="0" w:line="187" w:lineRule="exact"/>
        <w:rPr>
          <w:sz w:val="20"/>
          <w:szCs w:val="20"/>
          <w:color w:val="auto"/>
        </w:rPr>
      </w:pPr>
    </w:p>
    <w:p>
      <w:pPr>
        <w:jc w:val="both"/>
        <w:ind w:firstLine="575"/>
        <w:spacing w:after="0" w:line="302" w:lineRule="auto"/>
        <w:tabs>
          <w:tab w:leader="none" w:pos="1001" w:val="left"/>
        </w:tabs>
        <w:numPr>
          <w:ilvl w:val="1"/>
          <w:numId w:val="30"/>
        </w:numPr>
        <w:rPr>
          <w:rFonts w:ascii="Arial" w:cs="Arial" w:eastAsia="Arial" w:hAnsi="Arial"/>
          <w:sz w:val="16"/>
          <w:szCs w:val="16"/>
          <w:color w:val="auto"/>
        </w:rPr>
      </w:pPr>
      <w:r>
        <w:rPr>
          <w:rFonts w:ascii="Arial" w:cs="Arial" w:eastAsia="Arial" w:hAnsi="Arial"/>
          <w:sz w:val="16"/>
          <w:szCs w:val="16"/>
          <w:u w:val="single" w:color="auto"/>
          <w:color w:val="auto"/>
        </w:rPr>
        <w:t>Amendment and Termination of the Plan</w:t>
      </w:r>
      <w:r>
        <w:rPr>
          <w:rFonts w:ascii="Arial" w:cs="Arial" w:eastAsia="Arial" w:hAnsi="Arial"/>
          <w:sz w:val="16"/>
          <w:szCs w:val="16"/>
          <w:color w:val="auto"/>
        </w:rPr>
        <w:t>. The Board may at any time terminate, suspend or amend the Plan. The Company shall submit any amendment of the Plan to its shareholders for approval only to the extent required by applicable laws or regulations or the rules of any securities exchange on which the Shares may then be listed. No termination, suspension, or amendment of the Plan may materially impair the rights of any Participant under a previously granted Award without the Participant's consent, unless such action is necessary to comply with applicable law or stock exchange rules.</w:t>
      </w:r>
    </w:p>
    <w:p>
      <w:pPr>
        <w:spacing w:after="0" w:line="154" w:lineRule="exact"/>
        <w:rPr>
          <w:rFonts w:ascii="Arial" w:cs="Arial" w:eastAsia="Arial" w:hAnsi="Arial"/>
          <w:sz w:val="16"/>
          <w:szCs w:val="16"/>
          <w:color w:val="auto"/>
        </w:rPr>
      </w:pPr>
    </w:p>
    <w:p>
      <w:pPr>
        <w:jc w:val="both"/>
        <w:ind w:firstLine="575"/>
        <w:spacing w:after="0" w:line="259" w:lineRule="auto"/>
        <w:tabs>
          <w:tab w:leader="none" w:pos="1025" w:val="left"/>
        </w:tabs>
        <w:numPr>
          <w:ilvl w:val="1"/>
          <w:numId w:val="30"/>
        </w:numPr>
        <w:rPr>
          <w:rFonts w:ascii="Arial" w:cs="Arial" w:eastAsia="Arial" w:hAnsi="Arial"/>
          <w:sz w:val="18"/>
          <w:szCs w:val="18"/>
          <w:color w:val="auto"/>
        </w:rPr>
      </w:pPr>
      <w:r>
        <w:rPr>
          <w:rFonts w:ascii="Arial" w:cs="Arial" w:eastAsia="Arial" w:hAnsi="Arial"/>
          <w:sz w:val="18"/>
          <w:szCs w:val="18"/>
          <w:u w:val="single" w:color="auto"/>
          <w:color w:val="auto"/>
        </w:rPr>
        <w:t>Amendment of Awards</w:t>
      </w:r>
      <w:r>
        <w:rPr>
          <w:rFonts w:ascii="Arial" w:cs="Arial" w:eastAsia="Arial" w:hAnsi="Arial"/>
          <w:sz w:val="18"/>
          <w:szCs w:val="18"/>
          <w:color w:val="auto"/>
        </w:rPr>
        <w:t>. Subject to Section 15(e), the Committee may unilaterally amend the terms of any Agreement evidencing an Award previously granted, except that no such amendment may materially impair the rights of any Participant under the applicable Award without the Participant's consent, unless such amendment is necessary to comply with applicable law or stock exchange rules or any compensation recovery policy as provided in Section 16(i).</w:t>
      </w:r>
    </w:p>
    <w:p>
      <w:pPr>
        <w:spacing w:after="0" w:line="186" w:lineRule="exact"/>
        <w:rPr>
          <w:rFonts w:ascii="Arial" w:cs="Arial" w:eastAsia="Arial" w:hAnsi="Arial"/>
          <w:sz w:val="18"/>
          <w:szCs w:val="18"/>
          <w:color w:val="auto"/>
        </w:rPr>
      </w:pPr>
    </w:p>
    <w:p>
      <w:pPr>
        <w:ind w:left="960" w:hanging="385"/>
        <w:spacing w:after="0"/>
        <w:tabs>
          <w:tab w:leader="none" w:pos="960" w:val="left"/>
        </w:tabs>
        <w:numPr>
          <w:ilvl w:val="1"/>
          <w:numId w:val="30"/>
        </w:numPr>
        <w:rPr>
          <w:rFonts w:ascii="Arial" w:cs="Arial" w:eastAsia="Arial" w:hAnsi="Arial"/>
          <w:sz w:val="16"/>
          <w:szCs w:val="16"/>
          <w:color w:val="auto"/>
        </w:rPr>
      </w:pPr>
      <w:r>
        <w:rPr>
          <w:rFonts w:ascii="Arial" w:cs="Arial" w:eastAsia="Arial" w:hAnsi="Arial"/>
          <w:sz w:val="16"/>
          <w:szCs w:val="16"/>
          <w:u w:val="single" w:color="auto"/>
          <w:color w:val="auto"/>
        </w:rPr>
        <w:t>No Option or SAR Repricing</w:t>
      </w:r>
      <w:r>
        <w:rPr>
          <w:rFonts w:ascii="Arial" w:cs="Arial" w:eastAsia="Arial" w:hAnsi="Arial"/>
          <w:sz w:val="16"/>
          <w:szCs w:val="16"/>
          <w:color w:val="auto"/>
        </w:rPr>
        <w:t>. Except as provided in Section 12(a), no Option or Stock Appreciation Right Award granted under the Plan may be</w:t>
      </w:r>
    </w:p>
    <w:p>
      <w:pPr>
        <w:spacing w:after="0" w:line="46" w:lineRule="exact"/>
        <w:rPr>
          <w:rFonts w:ascii="Arial" w:cs="Arial" w:eastAsia="Arial" w:hAnsi="Arial"/>
          <w:sz w:val="16"/>
          <w:szCs w:val="16"/>
          <w:color w:val="auto"/>
        </w:rPr>
      </w:pPr>
    </w:p>
    <w:p>
      <w:pPr>
        <w:jc w:val="both"/>
        <w:ind w:firstLine="8"/>
        <w:spacing w:after="0" w:line="253" w:lineRule="auto"/>
        <w:tabs>
          <w:tab w:leader="none" w:pos="223" w:val="left"/>
        </w:tabs>
        <w:numPr>
          <w:ilvl w:val="0"/>
          <w:numId w:val="31"/>
        </w:numPr>
        <w:rPr>
          <w:rFonts w:ascii="Arial" w:cs="Arial" w:eastAsia="Arial" w:hAnsi="Arial"/>
          <w:sz w:val="18"/>
          <w:szCs w:val="18"/>
          <w:color w:val="auto"/>
        </w:rPr>
      </w:pPr>
      <w:r>
        <w:rPr>
          <w:rFonts w:ascii="Arial" w:cs="Arial" w:eastAsia="Arial" w:hAnsi="Arial"/>
          <w:sz w:val="18"/>
          <w:szCs w:val="18"/>
          <w:color w:val="auto"/>
        </w:rPr>
        <w:t>amended to decrease the exercise price thereof, (ii) cancelled in conjunction with the grant of any new Option or Stock Appreciation Right Award with a lower exercise price, (iii) cancelled in exchange for cash, other property or the grant of any Full Value Award at a time when the per share exercise price of the Option or Stock Appreciation Right Award is greater than the current Fair Market Value of a Share, or (iv) otherwise subject to any action that would be treated under accounting rules as a “repricing” of such Option or Stock Appreciation Right Award, unless such action is first approved by the Company’s shareholders.</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420" w:hanging="412"/>
        <w:spacing w:after="0"/>
        <w:tabs>
          <w:tab w:leader="none" w:pos="420" w:val="left"/>
        </w:tabs>
        <w:numPr>
          <w:ilvl w:val="0"/>
          <w:numId w:val="32"/>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Other Provisions</w:t>
      </w:r>
      <w:r>
        <w:rPr>
          <w:rFonts w:ascii="Arial" w:cs="Arial" w:eastAsia="Arial" w:hAnsi="Arial"/>
          <w:sz w:val="18"/>
          <w:szCs w:val="18"/>
          <w:b w:val="1"/>
          <w:bCs w:val="1"/>
          <w:color w:val="auto"/>
        </w:rPr>
        <w:t>.</w:t>
      </w:r>
    </w:p>
    <w:p>
      <w:pPr>
        <w:spacing w:after="0" w:line="229" w:lineRule="exact"/>
        <w:rPr>
          <w:rFonts w:ascii="Arial" w:cs="Arial" w:eastAsia="Arial" w:hAnsi="Arial"/>
          <w:sz w:val="18"/>
          <w:szCs w:val="18"/>
          <w:b w:val="1"/>
          <w:bCs w:val="1"/>
          <w:color w:val="auto"/>
        </w:rPr>
      </w:pPr>
    </w:p>
    <w:p>
      <w:pPr>
        <w:jc w:val="both"/>
        <w:ind w:firstLine="575"/>
        <w:spacing w:after="0" w:line="259" w:lineRule="auto"/>
        <w:tabs>
          <w:tab w:leader="none" w:pos="974" w:val="left"/>
        </w:tabs>
        <w:numPr>
          <w:ilvl w:val="1"/>
          <w:numId w:val="32"/>
        </w:numPr>
        <w:rPr>
          <w:rFonts w:ascii="Arial" w:cs="Arial" w:eastAsia="Arial" w:hAnsi="Arial"/>
          <w:sz w:val="18"/>
          <w:szCs w:val="18"/>
          <w:color w:val="auto"/>
        </w:rPr>
      </w:pPr>
      <w:r>
        <w:rPr>
          <w:rFonts w:ascii="Arial" w:cs="Arial" w:eastAsia="Arial" w:hAnsi="Arial"/>
          <w:sz w:val="18"/>
          <w:szCs w:val="18"/>
          <w:u w:val="single" w:color="auto"/>
          <w:color w:val="auto"/>
        </w:rPr>
        <w:t>Unfunded Plan</w:t>
      </w:r>
      <w:r>
        <w:rPr>
          <w:rFonts w:ascii="Arial" w:cs="Arial" w:eastAsia="Arial" w:hAnsi="Arial"/>
          <w:sz w:val="18"/>
          <w:szCs w:val="18"/>
          <w:color w:val="auto"/>
        </w:rPr>
        <w:t>. The Plan shall be unfunded and the Company shall not be required to segregate any assets that may at any time be represented by Awards under the Plan. Neither the Company, its Affiliates, the Committee, nor the Board shall be deemed to be a trustee of any amounts to be paid under the Plan nor shall anything contained in the Plan or any action taken pursuant to its provisions create or be construed to create a fiduciary relationship between the Company and/or its Affiliates, and</w:t>
      </w:r>
    </w:p>
    <w:p>
      <w:pPr>
        <w:sectPr>
          <w:pgSz w:w="11900" w:h="16838" w:orient="portrait"/>
          <w:cols w:equalWidth="0" w:num="1">
            <w:col w:w="11420"/>
          </w:cols>
          <w:pgMar w:left="240" w:top="584" w:right="239" w:bottom="1440" w:gutter="0" w:footer="0" w:header="0"/>
        </w:sectPr>
      </w:pPr>
    </w:p>
    <w:bookmarkStart w:id="36" w:name="page37"/>
    <w:bookmarkEnd w:id="36"/>
    <w:p>
      <w:pPr>
        <w:spacing w:after="0" w:line="277" w:lineRule="auto"/>
        <w:rPr>
          <w:sz w:val="20"/>
          <w:szCs w:val="20"/>
          <w:color w:val="auto"/>
        </w:rPr>
      </w:pPr>
      <w:r>
        <w:rPr>
          <w:rFonts w:ascii="Arial" w:cs="Arial" w:eastAsia="Arial" w:hAnsi="Arial"/>
          <w:sz w:val="18"/>
          <w:szCs w:val="18"/>
          <w:color w:val="auto"/>
        </w:rPr>
        <w:t>a Participant. To the extent any person has or acquires a right to receive a payment in connection with an Award under the Plan, this right shall be no greater than the right of an unsecured general creditor of the Company.</w:t>
      </w:r>
    </w:p>
    <w:p>
      <w:pPr>
        <w:spacing w:after="0" w:line="170" w:lineRule="exact"/>
        <w:rPr>
          <w:sz w:val="20"/>
          <w:szCs w:val="20"/>
          <w:color w:val="auto"/>
        </w:rPr>
      </w:pPr>
    </w:p>
    <w:p>
      <w:pPr>
        <w:jc w:val="both"/>
        <w:ind w:firstLine="575"/>
        <w:spacing w:after="0" w:line="259" w:lineRule="auto"/>
        <w:tabs>
          <w:tab w:leader="none" w:pos="984" w:val="left"/>
        </w:tabs>
        <w:numPr>
          <w:ilvl w:val="0"/>
          <w:numId w:val="33"/>
        </w:numPr>
        <w:rPr>
          <w:rFonts w:ascii="Arial" w:cs="Arial" w:eastAsia="Arial" w:hAnsi="Arial"/>
          <w:sz w:val="18"/>
          <w:szCs w:val="18"/>
          <w:color w:val="auto"/>
        </w:rPr>
      </w:pPr>
      <w:r>
        <w:rPr>
          <w:rFonts w:ascii="Arial" w:cs="Arial" w:eastAsia="Arial" w:hAnsi="Arial"/>
          <w:sz w:val="18"/>
          <w:szCs w:val="18"/>
          <w:u w:val="single" w:color="auto"/>
          <w:color w:val="auto"/>
        </w:rPr>
        <w:t>Limits of Liability</w:t>
      </w:r>
      <w:r>
        <w:rPr>
          <w:rFonts w:ascii="Arial" w:cs="Arial" w:eastAsia="Arial" w:hAnsi="Arial"/>
          <w:sz w:val="18"/>
          <w:szCs w:val="18"/>
          <w:color w:val="auto"/>
        </w:rPr>
        <w:t>. Except as may be required by law, neither the Company nor any member of the Board or of the Committee, nor any other person participating (including participation pursuant to a delegation of authority under Section 3(c) of the Plan) in any determination of any question under the Plan, or in the interpretation, administration or application of the Plan, shall have any liability to any party for any action taken, or not taken, in good faith under the Plan.</w:t>
      </w:r>
    </w:p>
    <w:p>
      <w:pPr>
        <w:spacing w:after="0" w:line="186" w:lineRule="exact"/>
        <w:rPr>
          <w:rFonts w:ascii="Arial" w:cs="Arial" w:eastAsia="Arial" w:hAnsi="Arial"/>
          <w:sz w:val="18"/>
          <w:szCs w:val="18"/>
          <w:color w:val="auto"/>
        </w:rPr>
      </w:pPr>
    </w:p>
    <w:p>
      <w:pPr>
        <w:jc w:val="both"/>
        <w:ind w:firstLine="575"/>
        <w:spacing w:after="0" w:line="288" w:lineRule="auto"/>
        <w:tabs>
          <w:tab w:leader="none" w:pos="1041" w:val="left"/>
        </w:tabs>
        <w:numPr>
          <w:ilvl w:val="0"/>
          <w:numId w:val="33"/>
        </w:numPr>
        <w:rPr>
          <w:rFonts w:ascii="Arial" w:cs="Arial" w:eastAsia="Arial" w:hAnsi="Arial"/>
          <w:sz w:val="16"/>
          <w:szCs w:val="16"/>
          <w:color w:val="auto"/>
        </w:rPr>
      </w:pPr>
      <w:r>
        <w:rPr>
          <w:rFonts w:ascii="Arial" w:cs="Arial" w:eastAsia="Arial" w:hAnsi="Arial"/>
          <w:sz w:val="16"/>
          <w:szCs w:val="16"/>
          <w:u w:val="single" w:color="auto"/>
          <w:color w:val="auto"/>
        </w:rPr>
        <w:t>Compliance with Applicable Legal Requirements and Company Policies</w:t>
      </w:r>
      <w:r>
        <w:rPr>
          <w:rFonts w:ascii="Arial" w:cs="Arial" w:eastAsia="Arial" w:hAnsi="Arial"/>
          <w:sz w:val="16"/>
          <w:szCs w:val="16"/>
          <w:color w:val="auto"/>
        </w:rPr>
        <w:t>. No Shares distributable pursuant to the Plan shall be issued and delivered unless and until the issuance of the Shares complies with all applicable legal requirements, including compliance with the provisions of applicable state and federal securities laws, and the requirements of any securities exchanges on which the Company’s Shares may, at the time, be listed. During any period in which the offering and issuance of Shares under the Plan is not registered under federal or state securities laws, Participants shall acknowledge that they are acquiring Shares under the Plan for investment purposes and not for resale, and that Shares may not be transferred except pursuant to an effective registration statement under, or an exemption from the registration requirements of, such securities laws. Any stock certificate or book-entry evidencing Shares issued under the Plan that are subject to securities law restrictions shall bear or be accompanied by an appropriate restrictive legend or stop transfer instruction. Notwithstanding any other provision of this Plan, the acquisition, holding or disposition of Shares acquired pursuant to the Plan shall in all events be subject to compliance with applicable Company policies, including those relating to insider trading, pledging or hedging transactions, minimum post-vesting holding periods and stock ownership guidelines, and to forfeiture or recovery of compensation as provided in Section 16(i).</w:t>
      </w:r>
    </w:p>
    <w:p>
      <w:pPr>
        <w:spacing w:after="0" w:line="169" w:lineRule="exact"/>
        <w:rPr>
          <w:rFonts w:ascii="Arial" w:cs="Arial" w:eastAsia="Arial" w:hAnsi="Arial"/>
          <w:sz w:val="16"/>
          <w:szCs w:val="16"/>
          <w:color w:val="auto"/>
        </w:rPr>
      </w:pPr>
    </w:p>
    <w:p>
      <w:pPr>
        <w:jc w:val="both"/>
        <w:ind w:firstLine="575"/>
        <w:spacing w:after="0" w:line="255" w:lineRule="auto"/>
        <w:tabs>
          <w:tab w:leader="none" w:pos="998" w:val="left"/>
        </w:tabs>
        <w:numPr>
          <w:ilvl w:val="0"/>
          <w:numId w:val="33"/>
        </w:numPr>
        <w:rPr>
          <w:rFonts w:ascii="Arial" w:cs="Arial" w:eastAsia="Arial" w:hAnsi="Arial"/>
          <w:sz w:val="18"/>
          <w:szCs w:val="18"/>
          <w:color w:val="auto"/>
        </w:rPr>
      </w:pPr>
      <w:r>
        <w:rPr>
          <w:rFonts w:ascii="Arial" w:cs="Arial" w:eastAsia="Arial" w:hAnsi="Arial"/>
          <w:sz w:val="18"/>
          <w:szCs w:val="18"/>
          <w:u w:val="single" w:color="auto"/>
          <w:color w:val="auto"/>
        </w:rPr>
        <w:t>Other Benefit and Compensation Programs</w:t>
      </w:r>
      <w:r>
        <w:rPr>
          <w:rFonts w:ascii="Arial" w:cs="Arial" w:eastAsia="Arial" w:hAnsi="Arial"/>
          <w:sz w:val="18"/>
          <w:szCs w:val="18"/>
          <w:color w:val="auto"/>
        </w:rPr>
        <w:t>. Payments and other benefits received by a Participant under an Award made pursuant to the Plan shall not be deemed a part of a Participant’s regular, recurring compensation for purposes of the termination, indemnity or severance pay laws of any country and shall not be included in, nor have any effect on, the determination of benefits under any other employee benefit plan, contract or similar arrangement provided by the Company or an Affiliate unless expressly so provided by such other plan, contract or arrangement, or unless the Committee expressly determines that an Award or portion of an Award should be included to accurately reflect competitive compensation practices or to recognize that an Award has been made in lieu of a portion of competitive cash compensation.</w:t>
      </w:r>
    </w:p>
    <w:p>
      <w:pPr>
        <w:spacing w:after="0" w:line="193" w:lineRule="exact"/>
        <w:rPr>
          <w:rFonts w:ascii="Arial" w:cs="Arial" w:eastAsia="Arial" w:hAnsi="Arial"/>
          <w:sz w:val="18"/>
          <w:szCs w:val="18"/>
          <w:color w:val="auto"/>
        </w:rPr>
      </w:pPr>
    </w:p>
    <w:p>
      <w:pPr>
        <w:ind w:right="20" w:firstLine="575"/>
        <w:spacing w:after="0" w:line="308" w:lineRule="auto"/>
        <w:tabs>
          <w:tab w:leader="none" w:pos="960" w:val="left"/>
        </w:tabs>
        <w:numPr>
          <w:ilvl w:val="0"/>
          <w:numId w:val="33"/>
        </w:numPr>
        <w:rPr>
          <w:rFonts w:ascii="Arial" w:cs="Arial" w:eastAsia="Arial" w:hAnsi="Arial"/>
          <w:sz w:val="17"/>
          <w:szCs w:val="17"/>
          <w:color w:val="auto"/>
        </w:rPr>
      </w:pPr>
      <w:r>
        <w:rPr>
          <w:rFonts w:ascii="Arial" w:cs="Arial" w:eastAsia="Arial" w:hAnsi="Arial"/>
          <w:sz w:val="17"/>
          <w:szCs w:val="17"/>
          <w:u w:val="single" w:color="auto"/>
          <w:color w:val="auto"/>
        </w:rPr>
        <w:t>Governing Law</w:t>
      </w:r>
      <w:r>
        <w:rPr>
          <w:rFonts w:ascii="Arial" w:cs="Arial" w:eastAsia="Arial" w:hAnsi="Arial"/>
          <w:sz w:val="17"/>
          <w:szCs w:val="17"/>
          <w:color w:val="auto"/>
        </w:rPr>
        <w:t>. To the extent that federal laws do not otherwise control, the Plan and all determinations made and actions taken pursuant to the Plan shall be governed by the laws of the State of Minnesota without regard to its conflicts-of-law principles and shall be construed accordingly.</w:t>
      </w:r>
    </w:p>
    <w:p>
      <w:pPr>
        <w:spacing w:after="0" w:line="146" w:lineRule="exact"/>
        <w:rPr>
          <w:rFonts w:ascii="Arial" w:cs="Arial" w:eastAsia="Arial" w:hAnsi="Arial"/>
          <w:sz w:val="17"/>
          <w:szCs w:val="17"/>
          <w:color w:val="auto"/>
        </w:rPr>
      </w:pPr>
    </w:p>
    <w:p>
      <w:pPr>
        <w:ind w:right="140" w:firstLine="656"/>
        <w:spacing w:after="0" w:line="277" w:lineRule="auto"/>
        <w:tabs>
          <w:tab w:leader="none" w:pos="1008" w:val="left"/>
        </w:tabs>
        <w:numPr>
          <w:ilvl w:val="1"/>
          <w:numId w:val="33"/>
        </w:numPr>
        <w:rPr>
          <w:rFonts w:ascii="Arial" w:cs="Arial" w:eastAsia="Arial" w:hAnsi="Arial"/>
          <w:sz w:val="18"/>
          <w:szCs w:val="18"/>
          <w:color w:val="auto"/>
        </w:rPr>
      </w:pPr>
      <w:r>
        <w:rPr>
          <w:rFonts w:ascii="Arial" w:cs="Arial" w:eastAsia="Arial" w:hAnsi="Arial"/>
          <w:sz w:val="18"/>
          <w:szCs w:val="18"/>
          <w:u w:val="single" w:color="auto"/>
          <w:color w:val="auto"/>
        </w:rPr>
        <w:t>Severability</w:t>
      </w:r>
      <w:r>
        <w:rPr>
          <w:rFonts w:ascii="Arial" w:cs="Arial" w:eastAsia="Arial" w:hAnsi="Arial"/>
          <w:sz w:val="18"/>
          <w:szCs w:val="18"/>
          <w:color w:val="auto"/>
        </w:rPr>
        <w:t>. If any provision of the Plan shall be held illegal or invalid for any reason, the illegality or invalidity shall not affect the remaining parts of the Plan, and the Plan shall be construed and enforced as if the illegal or invalid provision had not been included.</w:t>
      </w:r>
    </w:p>
    <w:p>
      <w:pPr>
        <w:spacing w:after="0" w:line="170" w:lineRule="exact"/>
        <w:rPr>
          <w:rFonts w:ascii="Arial" w:cs="Arial" w:eastAsia="Arial" w:hAnsi="Arial"/>
          <w:sz w:val="18"/>
          <w:szCs w:val="18"/>
          <w:color w:val="auto"/>
        </w:rPr>
      </w:pPr>
    </w:p>
    <w:p>
      <w:pPr>
        <w:jc w:val="both"/>
        <w:ind w:firstLine="656"/>
        <w:spacing w:after="0" w:line="291" w:lineRule="auto"/>
        <w:tabs>
          <w:tab w:leader="none" w:pos="1052" w:val="left"/>
        </w:tabs>
        <w:numPr>
          <w:ilvl w:val="1"/>
          <w:numId w:val="33"/>
        </w:numPr>
        <w:rPr>
          <w:rFonts w:ascii="Arial" w:cs="Arial" w:eastAsia="Arial" w:hAnsi="Arial"/>
          <w:sz w:val="16"/>
          <w:szCs w:val="16"/>
          <w:color w:val="auto"/>
        </w:rPr>
      </w:pPr>
      <w:r>
        <w:rPr>
          <w:rFonts w:ascii="Arial" w:cs="Arial" w:eastAsia="Arial" w:hAnsi="Arial"/>
          <w:sz w:val="16"/>
          <w:szCs w:val="16"/>
          <w:u w:val="single" w:color="auto"/>
          <w:color w:val="auto"/>
        </w:rPr>
        <w:t>Code Section 409A</w:t>
      </w:r>
      <w:r>
        <w:rPr>
          <w:rFonts w:ascii="Arial" w:cs="Arial" w:eastAsia="Arial" w:hAnsi="Arial"/>
          <w:sz w:val="16"/>
          <w:szCs w:val="16"/>
          <w:color w:val="auto"/>
        </w:rPr>
        <w:t>. It is intended that (i) all Awards of Options, SARs and Restricted Stock under the Plan will not provide for the deferral of compensation within the meaning of Code Section 409A and thereby be exempt from Code Section 409A, and (ii) all other Awards under the Plan will either not provide for the deferral of compensation within the meaning of Code Section 409A, or will comply with the requirements of Code Section 409A, and Awards shall be structured and the Plan administered and interpreted in accordance with this intent. The Plan and any Agreement may be unilaterally amended by the Company in any manner deemed necessary or advisable by the Committee or Board in order to maintain such exemption from or compliance with Code Section 409A, and any such amendment shall conclusively be presumed to be necessary to comply with applicable law. Notwithstanding anything to the contrary in the Plan or any Agreement, with respect to any Award that constitutes a deferral of compensation subject to Code Section 409A:</w:t>
      </w:r>
    </w:p>
    <w:p>
      <w:pPr>
        <w:spacing w:after="0" w:line="167" w:lineRule="exact"/>
        <w:rPr>
          <w:rFonts w:ascii="Arial" w:cs="Arial" w:eastAsia="Arial" w:hAnsi="Arial"/>
          <w:sz w:val="16"/>
          <w:szCs w:val="16"/>
          <w:color w:val="auto"/>
        </w:rPr>
      </w:pPr>
    </w:p>
    <w:p>
      <w:pPr>
        <w:ind w:right="20" w:firstLine="1305"/>
        <w:spacing w:after="0" w:line="308" w:lineRule="auto"/>
        <w:tabs>
          <w:tab w:leader="none" w:pos="1716" w:val="left"/>
        </w:tabs>
        <w:numPr>
          <w:ilvl w:val="2"/>
          <w:numId w:val="33"/>
        </w:numPr>
        <w:rPr>
          <w:rFonts w:ascii="Arial" w:cs="Arial" w:eastAsia="Arial" w:hAnsi="Arial"/>
          <w:sz w:val="17"/>
          <w:szCs w:val="17"/>
          <w:color w:val="auto"/>
        </w:rPr>
      </w:pPr>
      <w:r>
        <w:rPr>
          <w:rFonts w:ascii="Arial" w:cs="Arial" w:eastAsia="Arial" w:hAnsi="Arial"/>
          <w:sz w:val="17"/>
          <w:szCs w:val="17"/>
          <w:color w:val="auto"/>
        </w:rPr>
        <w:t>If any amount is payable under such Award upon a termination of Service, a termination of Service will be deemed to have occurred only at such time as the Participant has experienced a “separation from service” as such term is defined for purposes of Code Section 409A;</w:t>
      </w:r>
    </w:p>
    <w:p>
      <w:pPr>
        <w:spacing w:after="0" w:line="146" w:lineRule="exact"/>
        <w:rPr>
          <w:rFonts w:ascii="Arial" w:cs="Arial" w:eastAsia="Arial" w:hAnsi="Arial"/>
          <w:sz w:val="17"/>
          <w:szCs w:val="17"/>
          <w:color w:val="auto"/>
        </w:rPr>
      </w:pPr>
    </w:p>
    <w:p>
      <w:pPr>
        <w:jc w:val="both"/>
        <w:ind w:firstLine="1305"/>
        <w:spacing w:after="0" w:line="276" w:lineRule="auto"/>
        <w:tabs>
          <w:tab w:leader="none" w:pos="1712" w:val="left"/>
        </w:tabs>
        <w:numPr>
          <w:ilvl w:val="2"/>
          <w:numId w:val="33"/>
        </w:numPr>
        <w:rPr>
          <w:rFonts w:ascii="Arial" w:cs="Arial" w:eastAsia="Arial" w:hAnsi="Arial"/>
          <w:sz w:val="17"/>
          <w:szCs w:val="17"/>
          <w:color w:val="auto"/>
        </w:rPr>
      </w:pPr>
      <w:r>
        <w:rPr>
          <w:rFonts w:ascii="Arial" w:cs="Arial" w:eastAsia="Arial" w:hAnsi="Arial"/>
          <w:sz w:val="17"/>
          <w:szCs w:val="17"/>
          <w:color w:val="auto"/>
        </w:rPr>
        <w:t>If any amount shall be payable with respect to any such Award as a result of a Participant’s “separation from service” at such time as the Participant is a “specified employee” within the meaning of Code Section 409A, then no payment shall be made, except as permitted under Code Section 409A, prior to the first business day after the earlier of (i) the date that is six months after the Participant’s separation from service or (ii) the Participant’s death. Unless the Committee has adopted a specified employee identification policy as contemplated by Code Section 409A, specified employees will be identified in accordance with the default provisions specified under Code Section 409A.</w:t>
      </w:r>
    </w:p>
    <w:p>
      <w:pPr>
        <w:sectPr>
          <w:pgSz w:w="11900" w:h="16838" w:orient="portrait"/>
          <w:cols w:equalWidth="0" w:num="1">
            <w:col w:w="11420"/>
          </w:cols>
          <w:pgMar w:left="240" w:top="584" w:right="239" w:bottom="1440" w:gutter="0" w:footer="0" w:header="0"/>
        </w:sectPr>
      </w:pPr>
    </w:p>
    <w:bookmarkStart w:id="37" w:name="page38"/>
    <w:bookmarkEnd w:id="37"/>
    <w:p>
      <w:pPr>
        <w:jc w:val="both"/>
        <w:spacing w:after="0" w:line="279" w:lineRule="auto"/>
        <w:rPr>
          <w:sz w:val="20"/>
          <w:szCs w:val="20"/>
          <w:color w:val="auto"/>
        </w:rPr>
      </w:pPr>
      <w:r>
        <w:rPr>
          <w:rFonts w:ascii="Arial" w:cs="Arial" w:eastAsia="Arial" w:hAnsi="Arial"/>
          <w:sz w:val="17"/>
          <w:szCs w:val="17"/>
          <w:color w:val="auto"/>
        </w:rPr>
        <w:t>None of the Company, the Board, the Committee nor any other person involved with the administration of this Plan shall (i) in any way be responsible for ensuring the exemption of any Award from, or compliance by any Award with, the requirements of Code Section 409A, (ii) have any obligation to design or administer the Plan or Awards granted thereunder in a manner that minimizes a Participant’s tax liabilities, including the avoidance of any additional tax liabilities under Code Section 409A, and (iii) shall have any liability to any Participant for any such tax liabilities.</w:t>
      </w:r>
    </w:p>
    <w:p>
      <w:pPr>
        <w:spacing w:after="0" w:line="171" w:lineRule="exact"/>
        <w:rPr>
          <w:sz w:val="20"/>
          <w:szCs w:val="20"/>
          <w:color w:val="auto"/>
        </w:rPr>
      </w:pPr>
    </w:p>
    <w:p>
      <w:pPr>
        <w:jc w:val="both"/>
        <w:ind w:firstLine="656"/>
        <w:spacing w:after="0" w:line="276" w:lineRule="auto"/>
        <w:tabs>
          <w:tab w:leader="none" w:pos="1065" w:val="left"/>
        </w:tabs>
        <w:numPr>
          <w:ilvl w:val="0"/>
          <w:numId w:val="34"/>
        </w:numPr>
        <w:rPr>
          <w:rFonts w:ascii="Arial" w:cs="Arial" w:eastAsia="Arial" w:hAnsi="Arial"/>
          <w:sz w:val="17"/>
          <w:szCs w:val="17"/>
          <w:color w:val="auto"/>
        </w:rPr>
      </w:pPr>
      <w:r>
        <w:rPr>
          <w:rFonts w:ascii="Arial" w:cs="Arial" w:eastAsia="Arial" w:hAnsi="Arial"/>
          <w:sz w:val="17"/>
          <w:szCs w:val="17"/>
          <w:u w:val="single" w:color="auto"/>
          <w:color w:val="auto"/>
        </w:rPr>
        <w:t>Rule 16b-3</w:t>
      </w:r>
      <w:r>
        <w:rPr>
          <w:rFonts w:ascii="Arial" w:cs="Arial" w:eastAsia="Arial" w:hAnsi="Arial"/>
          <w:sz w:val="17"/>
          <w:szCs w:val="17"/>
          <w:color w:val="auto"/>
        </w:rPr>
        <w:t>. It is intended that the Plan and all Awards granted pursuant to it shall be administered by the Committee so as to permit the Plan and Awards to comply with Exchange Act Rule 16b-3. If any provision of the Plan or of any Award would otherwise frustrate or conflict with the intent expressed in this Section 16(h), that provision to the extent possible shall be interpreted and deemed amended in the manner determined by the Committee so as to avoid the conflict. To the extent of any remaining irreconcilable conflict with this intent, the provision shall be deemed void as applied to Participants subject to Section 16 of the Exchange Act to the extent permitted by law and in the manner deemed advisable by the Committee.</w:t>
      </w:r>
    </w:p>
    <w:p>
      <w:pPr>
        <w:spacing w:after="0" w:line="172" w:lineRule="exact"/>
        <w:rPr>
          <w:rFonts w:ascii="Arial" w:cs="Arial" w:eastAsia="Arial" w:hAnsi="Arial"/>
          <w:sz w:val="17"/>
          <w:szCs w:val="17"/>
          <w:color w:val="auto"/>
        </w:rPr>
      </w:pPr>
    </w:p>
    <w:p>
      <w:pPr>
        <w:ind w:left="1000" w:hanging="344"/>
        <w:spacing w:after="0"/>
        <w:tabs>
          <w:tab w:leader="none" w:pos="1000" w:val="left"/>
        </w:tabs>
        <w:numPr>
          <w:ilvl w:val="0"/>
          <w:numId w:val="34"/>
        </w:numPr>
        <w:rPr>
          <w:rFonts w:ascii="Arial" w:cs="Arial" w:eastAsia="Arial" w:hAnsi="Arial"/>
          <w:sz w:val="18"/>
          <w:szCs w:val="18"/>
          <w:color w:val="auto"/>
        </w:rPr>
      </w:pPr>
      <w:r>
        <w:rPr>
          <w:rFonts w:ascii="Arial" w:cs="Arial" w:eastAsia="Arial" w:hAnsi="Arial"/>
          <w:sz w:val="18"/>
          <w:szCs w:val="18"/>
          <w:u w:val="single" w:color="auto"/>
          <w:color w:val="auto"/>
        </w:rPr>
        <w:t>Forfeiture and Compensation Recovery</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firstLine="1305"/>
        <w:spacing w:after="0" w:line="255" w:lineRule="auto"/>
        <w:tabs>
          <w:tab w:leader="none" w:pos="1739" w:val="left"/>
        </w:tabs>
        <w:numPr>
          <w:ilvl w:val="1"/>
          <w:numId w:val="34"/>
        </w:numPr>
        <w:rPr>
          <w:rFonts w:ascii="Arial" w:cs="Arial" w:eastAsia="Arial" w:hAnsi="Arial"/>
          <w:sz w:val="18"/>
          <w:szCs w:val="18"/>
          <w:color w:val="auto"/>
        </w:rPr>
      </w:pPr>
      <w:r>
        <w:rPr>
          <w:rFonts w:ascii="Arial" w:cs="Arial" w:eastAsia="Arial" w:hAnsi="Arial"/>
          <w:sz w:val="18"/>
          <w:szCs w:val="18"/>
          <w:color w:val="auto"/>
        </w:rPr>
        <w:t>The Committee may specify in an Agreement that the Participant’s rights, payments, and benefits with respect to an Award will be subject to reduction, cancellation, forfeiture or recovery by the Company upon the occurrence of certain specified events, in addition to any otherwise applicable vesting or performance conditions of an Award. Such events may include termination of Service for Cause; violation of any material Company or Affiliate policy; breach of noncompetition, non-solicitation or confidentiality provisions that apply to the Participant; a determination that the payment of the Award was based on an incorrect determination that financial or other criteria were met or other conduct by the Participant that is detrimental to the business or reputation of the Company or its Affiliates.</w:t>
      </w:r>
    </w:p>
    <w:p>
      <w:pPr>
        <w:spacing w:after="0" w:line="193" w:lineRule="exact"/>
        <w:rPr>
          <w:rFonts w:ascii="Arial" w:cs="Arial" w:eastAsia="Arial" w:hAnsi="Arial"/>
          <w:sz w:val="18"/>
          <w:szCs w:val="18"/>
          <w:color w:val="auto"/>
        </w:rPr>
      </w:pPr>
    </w:p>
    <w:p>
      <w:pPr>
        <w:jc w:val="both"/>
        <w:ind w:firstLine="1305"/>
        <w:spacing w:after="0" w:line="259" w:lineRule="auto"/>
        <w:tabs>
          <w:tab w:leader="none" w:pos="1767" w:val="left"/>
        </w:tabs>
        <w:numPr>
          <w:ilvl w:val="1"/>
          <w:numId w:val="34"/>
        </w:numPr>
        <w:rPr>
          <w:rFonts w:ascii="Arial" w:cs="Arial" w:eastAsia="Arial" w:hAnsi="Arial"/>
          <w:sz w:val="18"/>
          <w:szCs w:val="18"/>
          <w:color w:val="auto"/>
        </w:rPr>
      </w:pPr>
      <w:r>
        <w:rPr>
          <w:rFonts w:ascii="Arial" w:cs="Arial" w:eastAsia="Arial" w:hAnsi="Arial"/>
          <w:sz w:val="18"/>
          <w:szCs w:val="18"/>
          <w:color w:val="auto"/>
        </w:rPr>
        <w:t>Awards and any compensation associated therewith may be made subject to forfeiture, recovery by the Company or other action pursuant to any compensation recovery policy adopted by the Board or the Committee at any time, including in response to the requirements of Section 10D of the Exchange Act and any implementing rules and regulations thereunder, or as otherwise required by law. Any Agreement may be unilaterally amended by the Committee to comply with any such compensation recovery policy.</w:t>
      </w:r>
    </w:p>
    <w:p>
      <w:pPr>
        <w:sectPr>
          <w:pgSz w:w="11900" w:h="16838" w:orient="portrait"/>
          <w:cols w:equalWidth="0" w:num="1">
            <w:col w:w="11420"/>
          </w:cols>
          <w:pgMar w:left="240" w:top="584" w:right="239" w:bottom="1440" w:gutter="0" w:footer="0" w:header="0"/>
        </w:sectPr>
      </w:pPr>
    </w:p>
    <w:bookmarkStart w:id="38" w:name="page39"/>
    <w:bookmarkEnd w:id="38"/>
    <w:p>
      <w:pPr>
        <w:jc w:val="right"/>
        <w:spacing w:after="0"/>
        <w:rPr>
          <w:sz w:val="20"/>
          <w:szCs w:val="20"/>
          <w:color w:val="auto"/>
        </w:rPr>
      </w:pPr>
      <w:r>
        <w:rPr>
          <w:rFonts w:ascii="Arial" w:cs="Arial" w:eastAsia="Arial" w:hAnsi="Arial"/>
          <w:sz w:val="18"/>
          <w:szCs w:val="18"/>
          <w:b w:val="1"/>
          <w:bCs w:val="1"/>
          <w:color w:val="auto"/>
        </w:rPr>
        <w:t>EXHIBIT 31.1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SARBANES-OXLEY ACT OF 2002</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CERTIFICATIONS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I, Patrick H. Hawkins, certify that:</w:t>
      </w:r>
    </w:p>
    <w:p>
      <w:pPr>
        <w:spacing w:after="0" w:line="306" w:lineRule="exact"/>
        <w:rPr>
          <w:sz w:val="20"/>
          <w:szCs w:val="20"/>
          <w:color w:val="auto"/>
        </w:rPr>
      </w:pPr>
    </w:p>
    <w:p>
      <w:pPr>
        <w:ind w:left="660" w:hanging="328"/>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Hawkins, Inc.;</w:t>
      </w:r>
    </w:p>
    <w:p>
      <w:pPr>
        <w:spacing w:after="0" w:line="90" w:lineRule="exact"/>
        <w:rPr>
          <w:rFonts w:ascii="Arial" w:cs="Arial" w:eastAsia="Arial" w:hAnsi="Arial"/>
          <w:sz w:val="18"/>
          <w:szCs w:val="18"/>
          <w:color w:val="auto"/>
        </w:rPr>
      </w:pPr>
    </w:p>
    <w:p>
      <w:pPr>
        <w:jc w:val="both"/>
        <w:ind w:left="660" w:right="300" w:hanging="328"/>
        <w:spacing w:after="0" w:line="264" w:lineRule="auto"/>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46" w:lineRule="exact"/>
        <w:rPr>
          <w:rFonts w:ascii="Arial" w:cs="Arial" w:eastAsia="Arial" w:hAnsi="Arial"/>
          <w:sz w:val="18"/>
          <w:szCs w:val="18"/>
          <w:color w:val="auto"/>
        </w:rPr>
      </w:pPr>
    </w:p>
    <w:p>
      <w:pPr>
        <w:ind w:left="660" w:right="260" w:hanging="328"/>
        <w:spacing w:after="0" w:line="308" w:lineRule="auto"/>
        <w:tabs>
          <w:tab w:leader="none" w:pos="660" w:val="left"/>
        </w:tabs>
        <w:numPr>
          <w:ilvl w:val="0"/>
          <w:numId w:val="35"/>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 w:lineRule="exact"/>
        <w:rPr>
          <w:rFonts w:ascii="Arial" w:cs="Arial" w:eastAsia="Arial" w:hAnsi="Arial"/>
          <w:sz w:val="17"/>
          <w:szCs w:val="17"/>
          <w:color w:val="auto"/>
        </w:rPr>
      </w:pPr>
    </w:p>
    <w:p>
      <w:pPr>
        <w:ind w:left="660" w:right="280" w:hanging="328"/>
        <w:spacing w:after="0" w:line="264" w:lineRule="auto"/>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46" w:lineRule="exact"/>
        <w:rPr>
          <w:rFonts w:ascii="Arial" w:cs="Arial" w:eastAsia="Arial" w:hAnsi="Arial"/>
          <w:sz w:val="18"/>
          <w:szCs w:val="18"/>
          <w:color w:val="auto"/>
        </w:rPr>
      </w:pPr>
    </w:p>
    <w:p>
      <w:pPr>
        <w:ind w:left="1300" w:right="120" w:hanging="320"/>
        <w:spacing w:after="0" w:line="264" w:lineRule="auto"/>
        <w:tabs>
          <w:tab w:leader="none" w:pos="1300" w:val="left"/>
        </w:tabs>
        <w:numPr>
          <w:ilvl w:val="1"/>
          <w:numId w:val="3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46" w:lineRule="exact"/>
        <w:rPr>
          <w:rFonts w:ascii="Arial" w:cs="Arial" w:eastAsia="Arial" w:hAnsi="Arial"/>
          <w:sz w:val="18"/>
          <w:szCs w:val="18"/>
          <w:color w:val="auto"/>
        </w:rPr>
      </w:pPr>
    </w:p>
    <w:p>
      <w:pPr>
        <w:ind w:left="1300" w:right="220" w:hanging="320"/>
        <w:spacing w:after="0" w:line="264" w:lineRule="auto"/>
        <w:tabs>
          <w:tab w:leader="none" w:pos="1300" w:val="left"/>
        </w:tabs>
        <w:numPr>
          <w:ilvl w:val="1"/>
          <w:numId w:val="3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46" w:lineRule="exact"/>
        <w:rPr>
          <w:rFonts w:ascii="Arial" w:cs="Arial" w:eastAsia="Arial" w:hAnsi="Arial"/>
          <w:sz w:val="18"/>
          <w:szCs w:val="18"/>
          <w:color w:val="auto"/>
        </w:rPr>
      </w:pPr>
    </w:p>
    <w:p>
      <w:pPr>
        <w:jc w:val="both"/>
        <w:ind w:left="1300" w:right="380" w:hanging="320"/>
        <w:spacing w:after="0" w:line="334" w:lineRule="auto"/>
        <w:tabs>
          <w:tab w:leader="none" w:pos="1300" w:val="left"/>
        </w:tabs>
        <w:numPr>
          <w:ilvl w:val="1"/>
          <w:numId w:val="35"/>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 w:lineRule="exact"/>
        <w:rPr>
          <w:rFonts w:ascii="Arial" w:cs="Arial" w:eastAsia="Arial" w:hAnsi="Arial"/>
          <w:sz w:val="16"/>
          <w:szCs w:val="16"/>
          <w:color w:val="auto"/>
        </w:rPr>
      </w:pPr>
    </w:p>
    <w:p>
      <w:pPr>
        <w:ind w:left="1300" w:right="80" w:hanging="320"/>
        <w:spacing w:after="0" w:line="264" w:lineRule="auto"/>
        <w:tabs>
          <w:tab w:leader="none" w:pos="1300" w:val="left"/>
        </w:tabs>
        <w:numPr>
          <w:ilvl w:val="1"/>
          <w:numId w:val="3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46" w:lineRule="exact"/>
        <w:rPr>
          <w:rFonts w:ascii="Arial" w:cs="Arial" w:eastAsia="Arial" w:hAnsi="Arial"/>
          <w:sz w:val="18"/>
          <w:szCs w:val="18"/>
          <w:color w:val="auto"/>
        </w:rPr>
      </w:pPr>
    </w:p>
    <w:p>
      <w:pPr>
        <w:ind w:left="660" w:right="180" w:hanging="328"/>
        <w:spacing w:after="0" w:line="308" w:lineRule="auto"/>
        <w:tabs>
          <w:tab w:leader="none" w:pos="660" w:val="left"/>
        </w:tabs>
        <w:numPr>
          <w:ilvl w:val="0"/>
          <w:numId w:val="35"/>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1" w:lineRule="exact"/>
        <w:rPr>
          <w:rFonts w:ascii="Arial" w:cs="Arial" w:eastAsia="Arial" w:hAnsi="Arial"/>
          <w:sz w:val="17"/>
          <w:szCs w:val="17"/>
          <w:color w:val="auto"/>
        </w:rPr>
      </w:pPr>
    </w:p>
    <w:p>
      <w:pPr>
        <w:ind w:left="1300" w:right="680" w:hanging="320"/>
        <w:spacing w:after="0" w:line="334" w:lineRule="auto"/>
        <w:tabs>
          <w:tab w:leader="none" w:pos="1300" w:val="left"/>
        </w:tabs>
        <w:numPr>
          <w:ilvl w:val="1"/>
          <w:numId w:val="35"/>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 w:lineRule="exact"/>
        <w:rPr>
          <w:rFonts w:ascii="Arial" w:cs="Arial" w:eastAsia="Arial" w:hAnsi="Arial"/>
          <w:sz w:val="16"/>
          <w:szCs w:val="16"/>
          <w:color w:val="auto"/>
        </w:rPr>
      </w:pPr>
    </w:p>
    <w:p>
      <w:pPr>
        <w:ind w:left="1300" w:right="360" w:hanging="320"/>
        <w:spacing w:after="0" w:line="277" w:lineRule="auto"/>
        <w:tabs>
          <w:tab w:leader="none" w:pos="1300" w:val="left"/>
        </w:tabs>
        <w:numPr>
          <w:ilvl w:val="1"/>
          <w:numId w:val="3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Date: October 30, 2019</w:t>
      </w:r>
    </w:p>
    <w:p>
      <w:pPr>
        <w:spacing w:after="0" w:line="360" w:lineRule="exact"/>
        <w:rPr>
          <w:sz w:val="20"/>
          <w:szCs w:val="20"/>
          <w:color w:val="auto"/>
        </w:rPr>
      </w:pPr>
    </w:p>
    <w:p>
      <w:pPr>
        <w:ind w:left="5980"/>
        <w:spacing w:after="0"/>
        <w:rPr>
          <w:sz w:val="20"/>
          <w:szCs w:val="20"/>
          <w:color w:val="auto"/>
        </w:rPr>
      </w:pPr>
      <w:r>
        <w:rPr>
          <w:rFonts w:ascii="Arial" w:cs="Arial" w:eastAsia="Arial" w:hAnsi="Arial"/>
          <w:sz w:val="18"/>
          <w:szCs w:val="18"/>
          <w:u w:val="single" w:color="auto"/>
          <w:color w:val="auto"/>
        </w:rPr>
        <w:t>/s/ Patrick H. Hawkins</w:t>
      </w:r>
    </w:p>
    <w:p>
      <w:pPr>
        <w:spacing w:after="0" w:line="6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Patrick H. Hawkins</w:t>
      </w:r>
    </w:p>
    <w:p>
      <w:pPr>
        <w:spacing w:after="0" w:line="6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Chief Executive Officer and President</w:t>
      </w:r>
    </w:p>
    <w:p>
      <w:pPr>
        <w:sectPr>
          <w:pgSz w:w="11900" w:h="16838" w:orient="portrait"/>
          <w:cols w:equalWidth="0" w:num="1">
            <w:col w:w="11420"/>
          </w:cols>
          <w:pgMar w:left="240" w:top="580" w:right="239" w:bottom="1440" w:gutter="0" w:footer="0" w:header="0"/>
        </w:sectPr>
      </w:pPr>
    </w:p>
    <w:bookmarkStart w:id="39" w:name="page40"/>
    <w:bookmarkEnd w:id="39"/>
    <w:p>
      <w:pPr>
        <w:jc w:val="right"/>
        <w:spacing w:after="0"/>
        <w:rPr>
          <w:sz w:val="20"/>
          <w:szCs w:val="20"/>
          <w:color w:val="auto"/>
        </w:rPr>
      </w:pPr>
      <w:r>
        <w:rPr>
          <w:rFonts w:ascii="Arial" w:cs="Arial" w:eastAsia="Arial" w:hAnsi="Arial"/>
          <w:sz w:val="18"/>
          <w:szCs w:val="18"/>
          <w:b w:val="1"/>
          <w:bCs w:val="1"/>
          <w:color w:val="auto"/>
        </w:rPr>
        <w:t>EXHIBIT 31.2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SARBANES-OXLEY ACT OF 2002</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CERTIFICATIONS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I, Jeffrey P. Oldenkamp, certify that:</w:t>
      </w:r>
    </w:p>
    <w:p>
      <w:pPr>
        <w:spacing w:after="0" w:line="306" w:lineRule="exact"/>
        <w:rPr>
          <w:sz w:val="20"/>
          <w:szCs w:val="20"/>
          <w:color w:val="auto"/>
        </w:rPr>
      </w:pPr>
    </w:p>
    <w:p>
      <w:pPr>
        <w:ind w:left="660" w:hanging="328"/>
        <w:spacing w:after="0"/>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Hawkins, Inc.;</w:t>
      </w:r>
    </w:p>
    <w:p>
      <w:pPr>
        <w:spacing w:after="0" w:line="90" w:lineRule="exact"/>
        <w:rPr>
          <w:rFonts w:ascii="Arial" w:cs="Arial" w:eastAsia="Arial" w:hAnsi="Arial"/>
          <w:sz w:val="18"/>
          <w:szCs w:val="18"/>
          <w:color w:val="auto"/>
        </w:rPr>
      </w:pPr>
    </w:p>
    <w:p>
      <w:pPr>
        <w:jc w:val="both"/>
        <w:ind w:left="660" w:right="300" w:hanging="328"/>
        <w:spacing w:after="0" w:line="264" w:lineRule="auto"/>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46" w:lineRule="exact"/>
        <w:rPr>
          <w:rFonts w:ascii="Arial" w:cs="Arial" w:eastAsia="Arial" w:hAnsi="Arial"/>
          <w:sz w:val="18"/>
          <w:szCs w:val="18"/>
          <w:color w:val="auto"/>
        </w:rPr>
      </w:pPr>
    </w:p>
    <w:p>
      <w:pPr>
        <w:ind w:left="660" w:right="260" w:hanging="328"/>
        <w:spacing w:after="0" w:line="308" w:lineRule="auto"/>
        <w:tabs>
          <w:tab w:leader="none" w:pos="660" w:val="left"/>
        </w:tabs>
        <w:numPr>
          <w:ilvl w:val="0"/>
          <w:numId w:val="36"/>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 w:lineRule="exact"/>
        <w:rPr>
          <w:rFonts w:ascii="Arial" w:cs="Arial" w:eastAsia="Arial" w:hAnsi="Arial"/>
          <w:sz w:val="17"/>
          <w:szCs w:val="17"/>
          <w:color w:val="auto"/>
        </w:rPr>
      </w:pPr>
    </w:p>
    <w:p>
      <w:pPr>
        <w:ind w:left="660" w:right="280" w:hanging="328"/>
        <w:spacing w:after="0" w:line="264" w:lineRule="auto"/>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9" w:lineRule="exact"/>
        <w:rPr>
          <w:rFonts w:ascii="Arial" w:cs="Arial" w:eastAsia="Arial" w:hAnsi="Arial"/>
          <w:sz w:val="18"/>
          <w:szCs w:val="18"/>
          <w:color w:val="auto"/>
        </w:rPr>
      </w:pPr>
    </w:p>
    <w:p>
      <w:pPr>
        <w:ind w:left="1300" w:right="120" w:hanging="644"/>
        <w:spacing w:after="0" w:line="264" w:lineRule="auto"/>
        <w:tabs>
          <w:tab w:leader="none" w:pos="1300" w:val="left"/>
        </w:tabs>
        <w:numPr>
          <w:ilvl w:val="1"/>
          <w:numId w:val="3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9" w:lineRule="exact"/>
        <w:rPr>
          <w:rFonts w:ascii="Arial" w:cs="Arial" w:eastAsia="Arial" w:hAnsi="Arial"/>
          <w:sz w:val="18"/>
          <w:szCs w:val="18"/>
          <w:color w:val="auto"/>
        </w:rPr>
      </w:pPr>
    </w:p>
    <w:p>
      <w:pPr>
        <w:ind w:left="1300" w:right="220" w:hanging="644"/>
        <w:spacing w:after="0" w:line="264" w:lineRule="auto"/>
        <w:tabs>
          <w:tab w:leader="none" w:pos="1300" w:val="left"/>
        </w:tabs>
        <w:numPr>
          <w:ilvl w:val="1"/>
          <w:numId w:val="3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9" w:lineRule="exact"/>
        <w:rPr>
          <w:rFonts w:ascii="Arial" w:cs="Arial" w:eastAsia="Arial" w:hAnsi="Arial"/>
          <w:sz w:val="18"/>
          <w:szCs w:val="18"/>
          <w:color w:val="auto"/>
        </w:rPr>
      </w:pPr>
    </w:p>
    <w:p>
      <w:pPr>
        <w:jc w:val="both"/>
        <w:ind w:left="1300" w:right="380" w:hanging="644"/>
        <w:spacing w:after="0" w:line="317" w:lineRule="auto"/>
        <w:tabs>
          <w:tab w:leader="none" w:pos="1300" w:val="left"/>
        </w:tabs>
        <w:numPr>
          <w:ilvl w:val="1"/>
          <w:numId w:val="36"/>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ind w:left="1300" w:right="80" w:hanging="644"/>
        <w:spacing w:after="0" w:line="264" w:lineRule="auto"/>
        <w:tabs>
          <w:tab w:leader="none" w:pos="1300" w:val="left"/>
        </w:tabs>
        <w:numPr>
          <w:ilvl w:val="1"/>
          <w:numId w:val="3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46" w:lineRule="exact"/>
        <w:rPr>
          <w:rFonts w:ascii="Arial" w:cs="Arial" w:eastAsia="Arial" w:hAnsi="Arial"/>
          <w:sz w:val="18"/>
          <w:szCs w:val="18"/>
          <w:color w:val="auto"/>
        </w:rPr>
      </w:pPr>
    </w:p>
    <w:p>
      <w:pPr>
        <w:ind w:left="660" w:right="180" w:hanging="328"/>
        <w:spacing w:after="0" w:line="298" w:lineRule="auto"/>
        <w:tabs>
          <w:tab w:leader="none" w:pos="660" w:val="left"/>
        </w:tabs>
        <w:numPr>
          <w:ilvl w:val="0"/>
          <w:numId w:val="36"/>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ind w:left="1300" w:right="680" w:hanging="644"/>
        <w:spacing w:after="0" w:line="317" w:lineRule="auto"/>
        <w:tabs>
          <w:tab w:leader="none" w:pos="1300" w:val="left"/>
        </w:tabs>
        <w:numPr>
          <w:ilvl w:val="1"/>
          <w:numId w:val="36"/>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ind w:left="1300" w:right="360" w:hanging="644"/>
        <w:spacing w:after="0" w:line="277" w:lineRule="auto"/>
        <w:tabs>
          <w:tab w:leader="none" w:pos="1300" w:val="left"/>
        </w:tabs>
        <w:numPr>
          <w:ilvl w:val="1"/>
          <w:numId w:val="3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Date: October 30, 2019</w:t>
      </w:r>
    </w:p>
    <w:p>
      <w:pPr>
        <w:spacing w:after="0" w:line="360" w:lineRule="exact"/>
        <w:rPr>
          <w:sz w:val="20"/>
          <w:szCs w:val="20"/>
          <w:color w:val="auto"/>
        </w:rPr>
      </w:pPr>
    </w:p>
    <w:p>
      <w:pPr>
        <w:ind w:left="6080"/>
        <w:spacing w:after="0"/>
        <w:rPr>
          <w:sz w:val="20"/>
          <w:szCs w:val="20"/>
          <w:color w:val="auto"/>
        </w:rPr>
      </w:pPr>
      <w:r>
        <w:rPr>
          <w:rFonts w:ascii="Arial" w:cs="Arial" w:eastAsia="Arial" w:hAnsi="Arial"/>
          <w:sz w:val="18"/>
          <w:szCs w:val="18"/>
          <w:u w:val="single" w:color="auto"/>
          <w:color w:val="auto"/>
        </w:rPr>
        <w:t>/s/ Jeffrey P. Oldenkamp</w:t>
      </w:r>
    </w:p>
    <w:p>
      <w:pPr>
        <w:spacing w:after="0" w:line="6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Jeffrey P. Oldenkamp</w:t>
      </w:r>
    </w:p>
    <w:p>
      <w:pPr>
        <w:spacing w:after="0" w:line="6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Vice President, Chief Financial Officer, and Treasurer</w:t>
      </w:r>
    </w:p>
    <w:p>
      <w:pPr>
        <w:sectPr>
          <w:pgSz w:w="11900" w:h="16838" w:orient="portrait"/>
          <w:cols w:equalWidth="0" w:num="1">
            <w:col w:w="11420"/>
          </w:cols>
          <w:pgMar w:left="240" w:top="580" w:right="239" w:bottom="1440" w:gutter="0" w:footer="0" w:header="0"/>
        </w:sectPr>
      </w:pPr>
    </w:p>
    <w:bookmarkStart w:id="40" w:name="page41"/>
    <w:bookmarkEnd w:id="40"/>
    <w:p>
      <w:pPr>
        <w:jc w:val="right"/>
        <w:spacing w:after="0"/>
        <w:rPr>
          <w:sz w:val="20"/>
          <w:szCs w:val="20"/>
          <w:color w:val="auto"/>
        </w:rPr>
      </w:pPr>
      <w:r>
        <w:rPr>
          <w:rFonts w:ascii="Arial" w:cs="Arial" w:eastAsia="Arial" w:hAnsi="Arial"/>
          <w:sz w:val="18"/>
          <w:szCs w:val="18"/>
          <w:b w:val="1"/>
          <w:bCs w:val="1"/>
          <w:color w:val="auto"/>
        </w:rPr>
        <w:t>EXHIBIT 32.1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57" w:lineRule="exact"/>
        <w:rPr>
          <w:sz w:val="20"/>
          <w:szCs w:val="20"/>
          <w:color w:val="auto"/>
        </w:rPr>
      </w:pPr>
    </w:p>
    <w:p>
      <w:pPr>
        <w:jc w:val="both"/>
        <w:ind w:right="60"/>
        <w:spacing w:after="0" w:line="264" w:lineRule="auto"/>
        <w:rPr>
          <w:sz w:val="20"/>
          <w:szCs w:val="20"/>
          <w:color w:val="auto"/>
        </w:rPr>
      </w:pPr>
      <w:r>
        <w:rPr>
          <w:rFonts w:ascii="Arial" w:cs="Arial" w:eastAsia="Arial" w:hAnsi="Arial"/>
          <w:sz w:val="18"/>
          <w:szCs w:val="18"/>
          <w:color w:val="auto"/>
        </w:rPr>
        <w:t>In connection with the Quarterly Report of Hawkins, Inc. (the Company) on Form 10-Q for the period ended September 29, 2019, as filed with the Securities and Exchange Commission on the date hereof (the Report), I, Patrick H. Hawkins, Chief Executive Officer and President of the Company, certify, pursuant to 18 U.S.C. § 1350, as adopted pursuant to § 906 of the Sarbanes-Oxley Act of 2002, that:</w:t>
      </w:r>
    </w:p>
    <w:p>
      <w:pPr>
        <w:spacing w:after="0" w:line="4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(1) The Report fully complies with the requirements of section 13(a) or 15(d) of the Securities Exchange Act of 1934;</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and</w:t>
      </w:r>
    </w:p>
    <w:p>
      <w:pPr>
        <w:spacing w:after="0" w:line="171" w:lineRule="exact"/>
        <w:rPr>
          <w:sz w:val="20"/>
          <w:szCs w:val="20"/>
          <w:color w:val="auto"/>
        </w:rPr>
      </w:pPr>
    </w:p>
    <w:p>
      <w:pPr>
        <w:ind w:left="440"/>
        <w:spacing w:after="0"/>
        <w:rPr>
          <w:sz w:val="20"/>
          <w:szCs w:val="20"/>
          <w:color w:val="auto"/>
        </w:rPr>
      </w:pPr>
      <w:r>
        <w:rPr>
          <w:rFonts w:ascii="Arial" w:cs="Arial" w:eastAsia="Arial" w:hAnsi="Arial"/>
          <w:sz w:val="16"/>
          <w:szCs w:val="16"/>
          <w:color w:val="auto"/>
        </w:rPr>
        <w:t>(2) The information contained in the Report fairly presents, in all material respects, the financial condition and results of operations of the Company.</w:t>
      </w:r>
    </w:p>
    <w:p>
      <w:pPr>
        <w:spacing w:after="0" w:line="383" w:lineRule="exact"/>
        <w:rPr>
          <w:sz w:val="20"/>
          <w:szCs w:val="20"/>
          <w:color w:val="auto"/>
        </w:rPr>
      </w:pPr>
    </w:p>
    <w:p>
      <w:pPr>
        <w:ind w:left="40"/>
        <w:spacing w:after="0"/>
        <w:rPr>
          <w:sz w:val="20"/>
          <w:szCs w:val="20"/>
          <w:color w:val="auto"/>
        </w:rPr>
      </w:pPr>
      <w:r>
        <w:rPr>
          <w:rFonts w:ascii="Arial" w:cs="Arial" w:eastAsia="Arial" w:hAnsi="Arial"/>
          <w:sz w:val="18"/>
          <w:szCs w:val="18"/>
          <w:u w:val="single" w:color="auto"/>
          <w:color w:val="auto"/>
        </w:rPr>
        <w:t>/s/ Patrick H. Hawkins</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Patrick H. Hawkins</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Chief Executive Officer and President</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October 30, 2019</w:t>
      </w:r>
    </w:p>
    <w:p>
      <w:pPr>
        <w:sectPr>
          <w:pgSz w:w="11900" w:h="16838" w:orient="portrait"/>
          <w:cols w:equalWidth="0" w:num="1">
            <w:col w:w="11420"/>
          </w:cols>
          <w:pgMar w:left="240" w:top="580" w:right="239" w:bottom="1440" w:gutter="0" w:footer="0" w:header="0"/>
        </w:sectPr>
      </w:pPr>
    </w:p>
    <w:bookmarkStart w:id="41" w:name="page42"/>
    <w:bookmarkEnd w:id="41"/>
    <w:p>
      <w:pPr>
        <w:jc w:val="right"/>
        <w:spacing w:after="0"/>
        <w:rPr>
          <w:sz w:val="20"/>
          <w:szCs w:val="20"/>
          <w:color w:val="auto"/>
        </w:rPr>
      </w:pPr>
      <w:r>
        <w:rPr>
          <w:rFonts w:ascii="Arial" w:cs="Arial" w:eastAsia="Arial" w:hAnsi="Arial"/>
          <w:sz w:val="18"/>
          <w:szCs w:val="18"/>
          <w:b w:val="1"/>
          <w:bCs w:val="1"/>
          <w:color w:val="auto"/>
        </w:rPr>
        <w:t>EXHIBIT 32.2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57" w:lineRule="exact"/>
        <w:rPr>
          <w:sz w:val="20"/>
          <w:szCs w:val="20"/>
          <w:color w:val="auto"/>
        </w:rPr>
      </w:pPr>
    </w:p>
    <w:p>
      <w:pPr>
        <w:jc w:val="both"/>
        <w:ind w:right="80"/>
        <w:spacing w:after="0" w:line="264" w:lineRule="auto"/>
        <w:rPr>
          <w:sz w:val="20"/>
          <w:szCs w:val="20"/>
          <w:color w:val="auto"/>
        </w:rPr>
      </w:pPr>
      <w:r>
        <w:rPr>
          <w:rFonts w:ascii="Arial" w:cs="Arial" w:eastAsia="Arial" w:hAnsi="Arial"/>
          <w:sz w:val="18"/>
          <w:szCs w:val="18"/>
          <w:color w:val="auto"/>
        </w:rPr>
        <w:t>In connection with the Quarterly Report of Hawkins, Inc. (the Company) on Form 10-Q for the period ended September 29, 2019, as filed with the Securities and Exchange Commission on the date hereof (the Report), I, Jeffrey P. Oldenkamp, Chief Financial Officer of the Company, certify, pursuant to 18 U.S.C. § 1350, as adopted pursuant to § 906 of the Sarbanes-Oxley Act of 2002, that:</w:t>
      </w:r>
    </w:p>
    <w:p>
      <w:pPr>
        <w:spacing w:after="0" w:line="4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(1) The Report fully complies with the requirements of section 13(a) or 15(d) of the Securities Exchange Act of 1934;</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and</w:t>
      </w:r>
    </w:p>
    <w:p>
      <w:pPr>
        <w:spacing w:after="0" w:line="171" w:lineRule="exact"/>
        <w:rPr>
          <w:sz w:val="20"/>
          <w:szCs w:val="20"/>
          <w:color w:val="auto"/>
        </w:rPr>
      </w:pPr>
    </w:p>
    <w:p>
      <w:pPr>
        <w:ind w:left="440"/>
        <w:spacing w:after="0"/>
        <w:rPr>
          <w:sz w:val="20"/>
          <w:szCs w:val="20"/>
          <w:color w:val="auto"/>
        </w:rPr>
      </w:pPr>
      <w:r>
        <w:rPr>
          <w:rFonts w:ascii="Arial" w:cs="Arial" w:eastAsia="Arial" w:hAnsi="Arial"/>
          <w:sz w:val="16"/>
          <w:szCs w:val="16"/>
          <w:color w:val="auto"/>
        </w:rPr>
        <w:t>(2) The information contained in the Report fairly presents, in all material respects, the financial condition and results of operations of the Company.</w:t>
      </w:r>
    </w:p>
    <w:p>
      <w:pPr>
        <w:spacing w:after="0" w:line="383" w:lineRule="exact"/>
        <w:rPr>
          <w:sz w:val="20"/>
          <w:szCs w:val="20"/>
          <w:color w:val="auto"/>
        </w:rPr>
      </w:pPr>
    </w:p>
    <w:p>
      <w:pPr>
        <w:ind w:left="40"/>
        <w:spacing w:after="0"/>
        <w:rPr>
          <w:sz w:val="20"/>
          <w:szCs w:val="20"/>
          <w:color w:val="auto"/>
        </w:rPr>
      </w:pPr>
      <w:r>
        <w:rPr>
          <w:rFonts w:ascii="Arial" w:cs="Arial" w:eastAsia="Arial" w:hAnsi="Arial"/>
          <w:sz w:val="18"/>
          <w:szCs w:val="18"/>
          <w:u w:val="single" w:color="auto"/>
          <w:color w:val="auto"/>
        </w:rPr>
        <w:t>/s/ Jeffrey P. Oldenkamp</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Jeffrey P. Oldenkamp</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Vice President, Chief Financial Officer, and Treasurer</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October 30, 2019</w:t>
      </w:r>
    </w:p>
    <w:sectPr>
      <w:pgSz w:w="11900" w:h="16838" w:orient="portrait"/>
      <w:cols w:equalWidth="0" w:num="1">
        <w:col w:w="11420"/>
      </w:cols>
      <w:pgMar w:left="240" w:top="58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F2DBA31"/>
    <w:multiLevelType w:val="hybridMultilevel"/>
    <w:lvl w:ilvl="0">
      <w:lvlJc w:val="left"/>
      <w:lvlText w:val="(%1)"/>
      <w:numFmt w:val="decimal"/>
      <w:start w:val="1"/>
    </w:lvl>
  </w:abstractNum>
  <w:abstractNum w:abstractNumId="1">
    <w:nsid w:val="7C83E458"/>
    <w:multiLevelType w:val="hybridMultilevel"/>
    <w:lvl w:ilvl="0">
      <w:lvlJc w:val="left"/>
      <w:lvlText w:val="(%1)"/>
      <w:numFmt w:val="lowerLetter"/>
      <w:start w:val="2"/>
    </w:lvl>
  </w:abstractNum>
  <w:abstractNum w:abstractNumId="2">
    <w:nsid w:val="257130A3"/>
    <w:multiLevelType w:val="hybridMultilevel"/>
    <w:lvl w:ilvl="0">
      <w:lvlJc w:val="left"/>
      <w:lvlText w:val="(%1)"/>
      <w:numFmt w:val="decimal"/>
      <w:start w:val="1"/>
    </w:lvl>
  </w:abstractNum>
  <w:abstractNum w:abstractNumId="3">
    <w:nsid w:val="62BBD95A"/>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6"/>
    </w:lvl>
    <w:lvl w:ilvl="3">
      <w:lvlJc w:val="left"/>
      <w:lvlText w:val="(%4)"/>
      <w:numFmt w:val="decimal"/>
      <w:start w:val="1"/>
    </w:lvl>
    <w:lvl w:ilvl="4">
      <w:lvlJc w:val="left"/>
      <w:lvlText w:val="(%5)"/>
      <w:numFmt w:val="upperLetter"/>
      <w:start w:val="1"/>
    </w:lvl>
  </w:abstractNum>
  <w:abstractNum w:abstractNumId="4">
    <w:nsid w:val="436C6125"/>
    <w:multiLevelType w:val="hybridMultilevel"/>
    <w:lvl w:ilvl="0">
      <w:lvlJc w:val="left"/>
      <w:lvlText w:val="(%1)"/>
      <w:numFmt w:val="decimal"/>
      <w:start w:val="2"/>
    </w:lvl>
  </w:abstractNum>
  <w:abstractNum w:abstractNumId="5">
    <w:nsid w:val="628C895D"/>
    <w:multiLevelType w:val="hybridMultilevel"/>
    <w:lvl w:ilvl="0">
      <w:lvlJc w:val="left"/>
      <w:lvlText w:val="%1"/>
      <w:numFmt w:val="lowerLetter"/>
      <w:start w:val="1"/>
    </w:lvl>
    <w:lvl w:ilvl="1">
      <w:lvlJc w:val="left"/>
      <w:lvlText w:val="(%2)"/>
      <w:numFmt w:val="lowerLetter"/>
      <w:start w:val="7"/>
    </w:lvl>
  </w:abstractNum>
  <w:abstractNum w:abstractNumId="6">
    <w:nsid w:val="333AB105"/>
    <w:multiLevelType w:val="hybridMultilevel"/>
    <w:lvl w:ilvl="0">
      <w:lvlJc w:val="left"/>
      <w:lvlText w:val="(%1)"/>
      <w:numFmt w:val="lowerLetter"/>
      <w:start w:val="10"/>
    </w:lvl>
    <w:lvl w:ilvl="1">
      <w:lvlJc w:val="left"/>
      <w:lvlText w:val="(%2)"/>
      <w:numFmt w:val="lowerLetter"/>
      <w:start w:val="11"/>
    </w:lvl>
  </w:abstractNum>
  <w:abstractNum w:abstractNumId="7">
    <w:nsid w:val="721DA317"/>
    <w:multiLevelType w:val="hybridMultilevel"/>
    <w:lvl w:ilvl="0">
      <w:lvlJc w:val="left"/>
      <w:lvlText w:val="(%1)"/>
      <w:numFmt w:val="lowerLetter"/>
      <w:start w:val="14"/>
    </w:lvl>
    <w:lvl w:ilvl="1">
      <w:lvlJc w:val="left"/>
      <w:lvlText w:val="(%2)"/>
      <w:numFmt w:val="lowerLetter"/>
      <w:start w:val="16"/>
    </w:lvl>
    <w:lvl w:ilvl="2">
      <w:lvlJc w:val="left"/>
      <w:lvlText w:val="(%3)"/>
      <w:numFmt w:val="decimal"/>
      <w:start w:val="1"/>
    </w:lvl>
    <w:lvl w:ilvl="3">
      <w:lvlJc w:val="left"/>
      <w:lvlText w:val="(%4)"/>
      <w:numFmt w:val="decimal"/>
      <w:start w:val="2"/>
    </w:lvl>
  </w:abstractNum>
  <w:abstractNum w:abstractNumId="8">
    <w:nsid w:val="2443A858"/>
    <w:multiLevelType w:val="hybridMultilevel"/>
    <w:lvl w:ilvl="0">
      <w:lvlJc w:val="left"/>
      <w:lvlText w:val="(%1)"/>
      <w:numFmt w:val="lowerLetter"/>
      <w:start w:val="18"/>
    </w:lvl>
  </w:abstractNum>
  <w:abstractNum w:abstractNumId="9">
    <w:nsid w:val="2D1D5AE9"/>
    <w:multiLevelType w:val="hybridMultilevel"/>
    <w:lvl w:ilvl="0">
      <w:lvlJc w:val="left"/>
      <w:lvlText w:val="%1"/>
      <w:numFmt w:val="lowerLetter"/>
      <w:start w:val="1"/>
    </w:lvl>
    <w:lvl w:ilvl="1">
      <w:lvlJc w:val="left"/>
      <w:lvlText w:val="(%2)"/>
      <w:numFmt w:val="lowerLetter"/>
      <w:start w:val="27"/>
    </w:lvl>
  </w:abstractNum>
  <w:abstractNum w:abstractNumId="10">
    <w:nsid w:val="6763845E"/>
    <w:multiLevelType w:val="hybridMultilevel"/>
    <w:lvl w:ilvl="0">
      <w:lvlJc w:val="left"/>
      <w:lvlText w:val="(%1)"/>
      <w:numFmt w:val="lowerLetter"/>
      <w:start w:val="61"/>
    </w:lvl>
    <w:lvl w:ilvl="1">
      <w:lvlJc w:val="left"/>
      <w:lvlText w:val="(%2)"/>
      <w:numFmt w:val="lowerLetter"/>
      <w:start w:val="29"/>
    </w:lvl>
  </w:abstractNum>
  <w:abstractNum w:abstractNumId="11">
    <w:nsid w:val="75A2A8D4"/>
    <w:multiLevelType w:val="hybridMultilevel"/>
    <w:lvl w:ilvl="0">
      <w:lvlJc w:val="left"/>
      <w:lvlText w:val="(%1)"/>
      <w:numFmt w:val="lowerLetter"/>
      <w:start w:val="35"/>
    </w:lvl>
    <w:lvl w:ilvl="1">
      <w:lvlJc w:val="left"/>
      <w:lvlText w:val="(%2)"/>
      <w:numFmt w:val="lowerLetter"/>
      <w:start w:val="30"/>
    </w:lvl>
  </w:abstractNum>
  <w:abstractNum w:abstractNumId="12">
    <w:nsid w:val="8EDBDAB"/>
    <w:multiLevelType w:val="hybridMultilevel"/>
    <w:lvl w:ilvl="0">
      <w:lvlJc w:val="left"/>
      <w:lvlText w:val="%1"/>
      <w:numFmt w:val="decimal"/>
      <w:start w:val="1"/>
    </w:lvl>
    <w:lvl w:ilvl="1">
      <w:lvlJc w:val="left"/>
      <w:lvlText w:val="(%2)"/>
      <w:numFmt w:val="lowerLetter"/>
      <w:start w:val="36"/>
    </w:lvl>
    <w:lvl w:ilvl="2">
      <w:lvlJc w:val="left"/>
      <w:lvlText w:val="%3"/>
      <w:numFmt w:val="lowerLetter"/>
      <w:start w:val="1"/>
    </w:lvl>
    <w:lvl w:ilvl="3">
      <w:lvlJc w:val="left"/>
      <w:lvlText w:val="%4"/>
      <w:numFmt w:val="decimal"/>
      <w:start w:val="1"/>
    </w:lvl>
  </w:abstractNum>
  <w:abstractNum w:abstractNumId="13">
    <w:nsid w:val="79838CB2"/>
    <w:multiLevelType w:val="hybridMultilevel"/>
    <w:lvl w:ilvl="0">
      <w:lvlJc w:val="left"/>
      <w:lvlText w:val="%1."/>
      <w:numFmt w:val="decimal"/>
      <w:start w:val="3"/>
    </w:lvl>
    <w:lvl w:ilvl="1">
      <w:lvlJc w:val="left"/>
      <w:lvlText w:val="(%2)"/>
      <w:numFmt w:val="lowerLetter"/>
      <w:start w:val="1"/>
    </w:lvl>
    <w:lvl w:ilvl="2">
      <w:lvlJc w:val="left"/>
      <w:lvlText w:val="(%3)"/>
      <w:numFmt w:val="lowerLetter"/>
      <w:start w:val="2"/>
    </w:lvl>
    <w:lvl w:ilvl="3">
      <w:lvlJc w:val="left"/>
      <w:lvlText w:val="(%4)"/>
      <w:numFmt w:val="decimal"/>
      <w:start w:val="1"/>
    </w:lvl>
  </w:abstractNum>
  <w:abstractNum w:abstractNumId="14">
    <w:nsid w:val="4353D0CD"/>
    <w:multiLevelType w:val="hybridMultilevel"/>
    <w:lvl w:ilvl="0">
      <w:lvlJc w:val="left"/>
      <w:lvlText w:val="(%1)"/>
      <w:numFmt w:val="lowerLetter"/>
      <w:start w:val="3"/>
    </w:lvl>
  </w:abstractNum>
  <w:abstractNum w:abstractNumId="15">
    <w:nsid w:val="B03E0C6"/>
    <w:multiLevelType w:val="hybridMultilevel"/>
    <w:lvl w:ilvl="0">
      <w:lvlJc w:val="left"/>
      <w:lvlText w:val="%1."/>
      <w:numFmt w:val="decimal"/>
      <w:start w:val="4"/>
    </w:lvl>
    <w:lvl w:ilvl="1">
      <w:lvlJc w:val="left"/>
      <w:lvlText w:val="(%2)"/>
      <w:numFmt w:val="lowerLetter"/>
      <w:start w:val="2"/>
    </w:lvl>
    <w:lvl w:ilvl="2">
      <w:lvlJc w:val="left"/>
      <w:lvlText w:val="(%3)"/>
      <w:numFmt w:val="lowerLetter"/>
      <w:start w:val="1"/>
    </w:lvl>
    <w:lvl w:ilvl="3">
      <w:lvlJc w:val="left"/>
      <w:lvlText w:val="(%4)"/>
      <w:numFmt w:val="lowerLetter"/>
      <w:start w:val="1"/>
    </w:lvl>
    <w:lvl w:ilvl="4">
      <w:lvlJc w:val="left"/>
      <w:lvlText w:val="(%5)"/>
      <w:numFmt w:val="decimal"/>
      <w:start w:val="1"/>
    </w:lvl>
  </w:abstractNum>
  <w:abstractNum w:abstractNumId="16">
    <w:nsid w:val="189A769B"/>
    <w:multiLevelType w:val="hybridMultilevel"/>
    <w:lvl w:ilvl="0">
      <w:lvlJc w:val="left"/>
      <w:lvlText w:val="%1."/>
      <w:numFmt w:val="decimal"/>
      <w:start w:val="5"/>
    </w:lvl>
    <w:lvl w:ilvl="1">
      <w:lvlJc w:val="left"/>
      <w:lvlText w:val="(%2)"/>
      <w:numFmt w:val="lowerLetter"/>
      <w:start w:val="1"/>
    </w:lvl>
    <w:lvl w:ilvl="2">
      <w:lvlJc w:val="left"/>
      <w:lvlText w:val="(%3)"/>
      <w:numFmt w:val="decimal"/>
      <w:start w:val="1"/>
    </w:lvl>
  </w:abstractNum>
  <w:abstractNum w:abstractNumId="17">
    <w:nsid w:val="54E49EB4"/>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1"/>
    </w:lvl>
    <w:lvl w:ilvl="3">
      <w:lvlJc w:val="left"/>
      <w:lvlText w:val="(%4)"/>
      <w:numFmt w:val="decimal"/>
      <w:start w:val="4"/>
    </w:lvl>
  </w:abstractNum>
  <w:abstractNum w:abstractNumId="18">
    <w:nsid w:val="71F32454"/>
    <w:multiLevelType w:val="hybridMultilevel"/>
    <w:lvl w:ilvl="0">
      <w:lvlJc w:val="left"/>
      <w:lvlText w:val="%1"/>
      <w:numFmt w:val="decimal"/>
      <w:start w:val="1"/>
    </w:lvl>
    <w:lvl w:ilvl="1">
      <w:lvlJc w:val="left"/>
      <w:lvlText w:val="(%2)"/>
      <w:numFmt w:val="lowerLetter"/>
      <w:start w:val="6"/>
    </w:lvl>
    <w:lvl w:ilvl="2">
      <w:lvlJc w:val="left"/>
      <w:lvlText w:val="%3"/>
      <w:numFmt w:val="lowerLetter"/>
      <w:start w:val="1"/>
    </w:lvl>
    <w:lvl w:ilvl="3">
      <w:lvlJc w:val="left"/>
      <w:lvlText w:val="%4"/>
      <w:numFmt w:val="decimal"/>
      <w:start w:val="1"/>
    </w:lvl>
  </w:abstractNum>
  <w:abstractNum w:abstractNumId="19">
    <w:nsid w:val="2CA88611"/>
    <w:multiLevelType w:val="hybridMultilevel"/>
    <w:lvl w:ilvl="0">
      <w:lvlJc w:val="left"/>
      <w:lvlText w:val="%1."/>
      <w:numFmt w:val="decimal"/>
      <w:start w:val="7"/>
    </w:lvl>
    <w:lvl w:ilvl="1">
      <w:lvlJc w:val="left"/>
      <w:lvlText w:val="%2"/>
      <w:numFmt w:val="lowerLetter"/>
      <w:start w:val="1"/>
    </w:lvl>
    <w:lvl w:ilvl="2">
      <w:lvlJc w:val="left"/>
      <w:lvlText w:val="(%3)"/>
      <w:numFmt w:val="lowerLetter"/>
      <w:start w:val="1"/>
    </w:lvl>
    <w:lvl w:ilvl="3">
      <w:lvlJc w:val="left"/>
      <w:lvlText w:val="%4"/>
      <w:numFmt w:val="decimal"/>
      <w:start w:val="1"/>
    </w:lvl>
  </w:abstractNum>
  <w:abstractNum w:abstractNumId="20">
    <w:nsid w:val="836C40E"/>
    <w:multiLevelType w:val="hybridMultilevel"/>
    <w:lvl w:ilvl="0">
      <w:lvlJc w:val="left"/>
      <w:lvlText w:val="%1"/>
      <w:numFmt w:val="decimal"/>
      <w:start w:val="1"/>
    </w:lvl>
    <w:lvl w:ilvl="1">
      <w:lvlJc w:val="left"/>
      <w:lvlText w:val="(%2)"/>
      <w:numFmt w:val="lowerLetter"/>
      <w:start w:val="3"/>
    </w:lvl>
    <w:lvl w:ilvl="2">
      <w:lvlJc w:val="left"/>
      <w:lvlText w:val="%3"/>
      <w:numFmt w:val="lowerLetter"/>
      <w:start w:val="1"/>
    </w:lvl>
    <w:lvl w:ilvl="3">
      <w:lvlJc w:val="left"/>
      <w:lvlText w:val="(%4)"/>
      <w:numFmt w:val="decimal"/>
      <w:start w:val="2"/>
    </w:lvl>
    <w:lvl w:ilvl="4">
      <w:lvlJc w:val="left"/>
      <w:lvlText w:val="(%5)"/>
      <w:numFmt w:val="decimal"/>
      <w:start w:val="1"/>
    </w:lvl>
  </w:abstractNum>
  <w:abstractNum w:abstractNumId="21">
    <w:nsid w:val="2901D82"/>
    <w:multiLevelType w:val="hybridMultilevel"/>
    <w:lvl w:ilvl="0">
      <w:lvlJc w:val="left"/>
      <w:lvlText w:val="%1."/>
      <w:numFmt w:val="decimal"/>
      <w:start w:val="8"/>
    </w:lvl>
    <w:lvl w:ilvl="1">
      <w:lvlJc w:val="left"/>
      <w:lvlText w:val="(%2)"/>
      <w:numFmt w:val="lowerLetter"/>
      <w:start w:val="1"/>
    </w:lvl>
    <w:lvl w:ilvl="2">
      <w:lvlJc w:val="left"/>
      <w:lvlText w:val="(%3)"/>
      <w:numFmt w:val="lowerLetter"/>
      <w:start w:val="1"/>
    </w:lvl>
    <w:lvl w:ilvl="3">
      <w:lvlJc w:val="left"/>
      <w:lvlText w:val="%4"/>
      <w:numFmt w:val="decimal"/>
      <w:start w:val="1"/>
    </w:lvl>
    <w:lvl w:ilvl="4">
      <w:lvlJc w:val="left"/>
      <w:lvlText w:val="%5"/>
      <w:numFmt w:val="decimal"/>
      <w:start w:val="1"/>
    </w:lvl>
  </w:abstractNum>
  <w:abstractNum w:abstractNumId="22">
    <w:nsid w:val="3A95F874"/>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1"/>
    </w:lvl>
    <w:lvl w:ilvl="3">
      <w:lvlJc w:val="left"/>
      <w:lvlText w:val="(%4)"/>
      <w:numFmt w:val="lowerLetter"/>
      <w:start w:val="2"/>
    </w:lvl>
    <w:lvl w:ilvl="4">
      <w:lvlJc w:val="left"/>
      <w:lvlText w:val="%5"/>
      <w:numFmt w:val="decimal"/>
      <w:start w:val="1"/>
    </w:lvl>
  </w:abstractNum>
  <w:abstractNum w:abstractNumId="23">
    <w:nsid w:val="8138641"/>
    <w:multiLevelType w:val="hybridMultilevel"/>
    <w:lvl w:ilvl="0">
      <w:lvlJc w:val="left"/>
      <w:lvlText w:val="%1."/>
      <w:numFmt w:val="decimal"/>
      <w:start w:val="10"/>
    </w:lvl>
    <w:lvl w:ilvl="1">
      <w:lvlJc w:val="left"/>
      <w:lvlText w:val="(%2)"/>
      <w:numFmt w:val="lowerLetter"/>
      <w:start w:val="1"/>
    </w:lvl>
    <w:lvl w:ilvl="2">
      <w:lvlJc w:val="left"/>
      <w:lvlText w:val="(%3)"/>
      <w:numFmt w:val="lowerLetter"/>
      <w:start w:val="1"/>
    </w:lvl>
    <w:lvl w:ilvl="3">
      <w:lvlJc w:val="left"/>
      <w:lvlText w:val="%4"/>
      <w:numFmt w:val="lowerLetter"/>
      <w:start w:val="1"/>
    </w:lvl>
    <w:lvl w:ilvl="4">
      <w:lvlJc w:val="left"/>
      <w:lvlText w:val="(%5)"/>
      <w:numFmt w:val="decimal"/>
      <w:start w:val="1"/>
    </w:lvl>
  </w:abstractNum>
  <w:abstractNum w:abstractNumId="24">
    <w:nsid w:val="1E7FF521"/>
    <w:multiLevelType w:val="hybridMultilevel"/>
    <w:lvl w:ilvl="0">
      <w:lvlJc w:val="left"/>
      <w:lvlText w:val="%1"/>
      <w:numFmt w:val="decimal"/>
      <w:start w:val="1"/>
    </w:lvl>
    <w:lvl w:ilvl="1">
      <w:lvlJc w:val="left"/>
      <w:lvlText w:val="%2"/>
      <w:numFmt w:val="lowerLetter"/>
      <w:start w:val="1"/>
    </w:lvl>
    <w:lvl w:ilvl="2">
      <w:lvlJc w:val="left"/>
      <w:lvlText w:val="(%3)"/>
      <w:numFmt w:val="decimal"/>
      <w:start w:val="2"/>
    </w:lvl>
  </w:abstractNum>
  <w:abstractNum w:abstractNumId="25">
    <w:nsid w:val="7C3DBD3D"/>
    <w:multiLevelType w:val="hybridMultilevel"/>
    <w:lvl w:ilvl="0">
      <w:lvlJc w:val="left"/>
      <w:lvlText w:val="(%1)"/>
      <w:numFmt w:val="decimal"/>
      <w:start w:val="2"/>
    </w:lvl>
    <w:lvl w:ilvl="1">
      <w:lvlJc w:val="left"/>
      <w:lvlText w:val="%2"/>
      <w:numFmt w:val="lowerLetter"/>
      <w:start w:val="1"/>
    </w:lvl>
    <w:lvl w:ilvl="2">
      <w:lvlJc w:val="left"/>
      <w:lvlText w:val="(%3)"/>
      <w:numFmt w:val="decimal"/>
      <w:start w:val="3"/>
    </w:lvl>
  </w:abstractNum>
  <w:abstractNum w:abstractNumId="26">
    <w:nsid w:val="737B8DDC"/>
    <w:multiLevelType w:val="hybridMultilevel"/>
    <w:lvl w:ilvl="0">
      <w:lvlJc w:val="left"/>
      <w:lvlText w:val="%1"/>
      <w:numFmt w:val="decimal"/>
      <w:start w:val="1"/>
    </w:lvl>
    <w:lvl w:ilvl="1">
      <w:lvlJc w:val="left"/>
      <w:lvlText w:val="%2"/>
      <w:numFmt w:val="lowerLetter"/>
      <w:start w:val="1"/>
    </w:lvl>
    <w:lvl w:ilvl="2">
      <w:lvlJc w:val="left"/>
      <w:lvlText w:val="(%3)"/>
      <w:numFmt w:val="decimal"/>
      <w:start w:val="4"/>
    </w:lvl>
  </w:abstractNum>
  <w:abstractNum w:abstractNumId="27">
    <w:nsid w:val="6CEAF087"/>
    <w:multiLevelType w:val="hybridMultilevel"/>
    <w:lvl w:ilvl="0">
      <w:lvlJc w:val="left"/>
      <w:lvlText w:val="%1"/>
      <w:numFmt w:val="decimal"/>
      <w:start w:val="1"/>
    </w:lvl>
    <w:lvl w:ilvl="1">
      <w:lvlJc w:val="left"/>
      <w:lvlText w:val="(%2)"/>
      <w:numFmt w:val="lowerLetter"/>
      <w:start w:val="3"/>
    </w:lvl>
    <w:lvl w:ilvl="2">
      <w:lvlJc w:val="left"/>
      <w:lvlText w:val="%3"/>
      <w:numFmt w:val="decimal"/>
      <w:start w:val="1"/>
    </w:lvl>
  </w:abstractNum>
  <w:abstractNum w:abstractNumId="28">
    <w:nsid w:val="22221A70"/>
    <w:multiLevelType w:val="hybridMultilevel"/>
    <w:lvl w:ilvl="0">
      <w:lvlJc w:val="left"/>
      <w:lvlText w:val="%1."/>
      <w:numFmt w:val="decimal"/>
      <w:start w:val="13"/>
    </w:lvl>
    <w:lvl w:ilvl="1">
      <w:lvlJc w:val="left"/>
      <w:lvlText w:val="(%2)"/>
      <w:numFmt w:val="lowerLetter"/>
      <w:start w:val="1"/>
    </w:lvl>
    <w:lvl w:ilvl="2">
      <w:lvlJc w:val="left"/>
      <w:lvlText w:val="(%3)"/>
      <w:numFmt w:val="lowerLetter"/>
      <w:start w:val="2"/>
    </w:lvl>
  </w:abstractNum>
  <w:abstractNum w:abstractNumId="29">
    <w:nsid w:val="4516DDE9"/>
    <w:multiLevelType w:val="hybridMultilevel"/>
    <w:lvl w:ilvl="0">
      <w:lvlJc w:val="left"/>
      <w:lvlText w:val="%1"/>
      <w:numFmt w:val="lowerLetter"/>
      <w:start w:val="1"/>
    </w:lvl>
    <w:lvl w:ilvl="1">
      <w:lvlJc w:val="left"/>
      <w:lvlText w:val="(%2)"/>
      <w:numFmt w:val="lowerLetter"/>
      <w:start w:val="3"/>
    </w:lvl>
  </w:abstractNum>
  <w:abstractNum w:abstractNumId="30">
    <w:nsid w:val="3006C83E"/>
    <w:multiLevelType w:val="hybridMultilevel"/>
    <w:lvl w:ilvl="0">
      <w:lvlJc w:val="left"/>
      <w:lvlText w:val="(%1)"/>
      <w:numFmt w:val="lowerLetter"/>
      <w:start w:val="9"/>
    </w:lvl>
    <w:lvl w:ilvl="1">
      <w:lvlJc w:val="left"/>
      <w:lvlText w:val="%2"/>
      <w:numFmt w:val="lowerLetter"/>
      <w:start w:val="1"/>
    </w:lvl>
  </w:abstractNum>
  <w:abstractNum w:abstractNumId="31">
    <w:nsid w:val="614FD4A1"/>
    <w:multiLevelType w:val="hybridMultilevel"/>
    <w:lvl w:ilvl="0">
      <w:lvlJc w:val="left"/>
      <w:lvlText w:val="%1."/>
      <w:numFmt w:val="decimal"/>
      <w:start w:val="16"/>
    </w:lvl>
    <w:lvl w:ilvl="1">
      <w:lvlJc w:val="left"/>
      <w:lvlText w:val="(%2)"/>
      <w:numFmt w:val="lowerLetter"/>
      <w:start w:val="1"/>
    </w:lvl>
  </w:abstractNum>
  <w:abstractNum w:abstractNumId="32">
    <w:nsid w:val="419AC241"/>
    <w:multiLevelType w:val="hybridMultilevel"/>
    <w:lvl w:ilvl="0">
      <w:lvlJc w:val="left"/>
      <w:lvlText w:val="(%1)"/>
      <w:numFmt w:val="lowerLetter"/>
      <w:start w:val="2"/>
    </w:lvl>
    <w:lvl w:ilvl="1">
      <w:lvlJc w:val="left"/>
      <w:lvlText w:val="(%2)"/>
      <w:numFmt w:val="lowerLetter"/>
      <w:start w:val="6"/>
    </w:lvl>
    <w:lvl w:ilvl="2">
      <w:lvlJc w:val="left"/>
      <w:lvlText w:val="(%3)"/>
      <w:numFmt w:val="decimal"/>
      <w:start w:val="1"/>
    </w:lvl>
  </w:abstractNum>
  <w:abstractNum w:abstractNumId="33">
    <w:nsid w:val="5577F8E1"/>
    <w:multiLevelType w:val="hybridMultilevel"/>
    <w:lvl w:ilvl="0">
      <w:lvlJc w:val="left"/>
      <w:lvlText w:val="(%1)"/>
      <w:numFmt w:val="lowerLetter"/>
      <w:start w:val="8"/>
    </w:lvl>
    <w:lvl w:ilvl="1">
      <w:lvlJc w:val="left"/>
      <w:lvlText w:val="(%2)"/>
      <w:numFmt w:val="decimal"/>
      <w:start w:val="1"/>
    </w:lvl>
  </w:abstractNum>
  <w:abstractNum w:abstractNumId="34">
    <w:nsid w:val="440BADFC"/>
    <w:multiLevelType w:val="hybridMultilevel"/>
    <w:lvl w:ilvl="0">
      <w:lvlJc w:val="left"/>
      <w:lvlText w:val="%1."/>
      <w:numFmt w:val="decimal"/>
      <w:start w:val="1"/>
    </w:lvl>
    <w:lvl w:ilvl="1">
      <w:lvlJc w:val="left"/>
      <w:lvlText w:val="%2)"/>
      <w:numFmt w:val="lowerLetter"/>
      <w:start w:val="1"/>
    </w:lvl>
  </w:abstractNum>
  <w:abstractNum w:abstractNumId="35">
    <w:nsid w:val="5072367"/>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3" Type="http://schemas.openxmlformats.org/officeDocument/2006/relationships/image" Target="media/image15.png"/><Relationship Id="rId24" Type="http://schemas.openxmlformats.org/officeDocument/2006/relationships/image" Target="media/image16.png"/><Relationship Id="rId25" Type="http://schemas.openxmlformats.org/officeDocument/2006/relationships/image" Target="media/image17.png"/><Relationship Id="rId26" Type="http://schemas.openxmlformats.org/officeDocument/2006/relationships/image" Target="media/image18.png"/><Relationship Id="rId27" Type="http://schemas.openxmlformats.org/officeDocument/2006/relationships/image" Target="media/image19.png"/><Relationship Id="rId28" Type="http://schemas.openxmlformats.org/officeDocument/2006/relationships/image" Target="media/image20.png"/><Relationship Id="rId29" Type="http://schemas.openxmlformats.org/officeDocument/2006/relationships/image" Target="media/image21.png"/><Relationship Id="rId30" Type="http://schemas.openxmlformats.org/officeDocument/2006/relationships/image" Target="media/image22.png"/><Relationship Id="rId31" Type="http://schemas.openxmlformats.org/officeDocument/2006/relationships/image" Target="media/image23.png"/><Relationship Id="rId32" Type="http://schemas.openxmlformats.org/officeDocument/2006/relationships/image" Target="media/image24.png"/><Relationship Id="rId33" Type="http://schemas.openxmlformats.org/officeDocument/2006/relationships/image" Target="media/image25.png"/><Relationship Id="rId34" Type="http://schemas.openxmlformats.org/officeDocument/2006/relationships/image" Target="media/image26.png"/><Relationship Id="rId35" Type="http://schemas.openxmlformats.org/officeDocument/2006/relationships/image" Target="media/image27.png"/><Relationship Id="rId40" Type="http://schemas.openxmlformats.org/officeDocument/2006/relationships/image" Target="media/image28.png"/><Relationship Id="rId22" Type="http://schemas.openxmlformats.org/officeDocument/2006/relationships/hyperlink" Target="http://www.sec.gov/Archives/edgar/data/46250/000004625019000017/hwkn10k2019.htm" TargetMode="External"/><Relationship Id="rId36" Type="http://schemas.openxmlformats.org/officeDocument/2006/relationships/hyperlink" Target="http://www.sec.gov/Archives/edgar/data/46250/000089710110001532/hawkins103608_ex3-1.htm" TargetMode="External"/><Relationship Id="rId37" Type="http://schemas.openxmlformats.org/officeDocument/2006/relationships/hyperlink" Target="http://www.sec.gov/Archives/edgar/data/46250/000089710109002205/hawkins095018_ex3-1.htm" TargetMode="External"/><Relationship Id="rId38" Type="http://schemas.openxmlformats.org/officeDocument/2006/relationships/hyperlink" Target="http://www.sec.gov/Archives/edgar/data/46250/000119312518316437/d643918dex991.htm" TargetMode="External"/><Relationship Id="rId39" Type="http://schemas.openxmlformats.org/officeDocument/2006/relationships/hyperlink" Target="http://www.sec.gov/Archives/edgar/data/46250/000119312518341125/d656770dex1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2019-12-28T03:45:39Z</dcterms:created>
  <dcterms:modified xsi:type="dcterms:W3CDTF">2019-12-28T03:45:39Z</dcterms:modified>
</cp:coreProperties>
</file>