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360" w:right="380"/>
        <w:spacing w:after="0" w:line="247" w:lineRule="auto"/>
        <w:rPr>
          <w:sz w:val="20"/>
          <w:szCs w:val="20"/>
          <w:color w:val="auto"/>
        </w:rPr>
      </w:pPr>
      <w:r>
        <w:rPr>
          <w:rFonts w:ascii="Arial" w:cs="Arial" w:eastAsia="Arial" w:hAnsi="Arial"/>
          <w:sz w:val="32"/>
          <w:szCs w:val="32"/>
          <w:b w:val="1"/>
          <w:bCs w:val="1"/>
          <w:color w:val="auto"/>
        </w:rPr>
        <w:t>UNITED STATES SECURITIES AND EXCHANGE COMMISSION</w:t>
      </w:r>
    </w:p>
    <w:p>
      <w:pPr>
        <w:spacing w:after="0" w:line="1"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ind w:left="4500"/>
        <w:spacing w:after="0"/>
        <w:rPr>
          <w:sz w:val="20"/>
          <w:szCs w:val="20"/>
          <w:color w:val="auto"/>
        </w:rPr>
      </w:pPr>
      <w:r>
        <w:rPr>
          <w:rFonts w:ascii="Arial" w:cs="Arial" w:eastAsia="Arial" w:hAnsi="Arial"/>
          <w:sz w:val="32"/>
          <w:szCs w:val="32"/>
          <w:b w:val="1"/>
          <w:bCs w:val="1"/>
          <w:color w:val="auto"/>
        </w:rPr>
        <w:t>SCHEDULE 13G</w:t>
      </w:r>
    </w:p>
    <w:p>
      <w:pPr>
        <w:spacing w:after="0" w:line="330"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(Amendment No. 11)*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-215900</wp:posOffset>
            </wp:positionV>
            <wp:extent cx="1449070" cy="1269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126936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OMB Number: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3235-0145</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Expires: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December 31, 2005</w:t>
      </w:r>
    </w:p>
    <w:p>
      <w:pPr>
        <w:spacing w:after="0" w:line="9" w:lineRule="exact"/>
        <w:rPr>
          <w:sz w:val="24"/>
          <w:szCs w:val="24"/>
          <w:color w:val="auto"/>
        </w:rPr>
      </w:pPr>
    </w:p>
    <w:p>
      <w:pPr>
        <w:ind w:right="380"/>
        <w:spacing w:after="0" w:line="341" w:lineRule="auto"/>
        <w:rPr>
          <w:sz w:val="20"/>
          <w:szCs w:val="20"/>
          <w:color w:val="auto"/>
        </w:rPr>
      </w:pPr>
      <w:r>
        <w:rPr>
          <w:rFonts w:ascii="Arial" w:cs="Arial" w:eastAsia="Arial" w:hAnsi="Arial"/>
          <w:sz w:val="16"/>
          <w:szCs w:val="16"/>
          <w:color w:val="auto"/>
        </w:rPr>
        <w:t>Estimated average burden hours per response. . 11</w:t>
      </w:r>
    </w:p>
    <w:p>
      <w:pPr>
        <w:spacing w:after="0" w:line="759" w:lineRule="exact"/>
        <w:rPr>
          <w:sz w:val="24"/>
          <w:szCs w:val="24"/>
          <w:color w:val="auto"/>
        </w:rPr>
      </w:pPr>
    </w:p>
    <w:p>
      <w:pPr>
        <w:sectPr>
          <w:pgSz w:w="11900" w:h="16838" w:orient="portrait"/>
          <w:cols w:equalWidth="0" w:num="2">
            <w:col w:w="8440" w:space="720"/>
            <w:col w:w="2260"/>
          </w:cols>
          <w:pgMar w:left="240" w:top="422" w:right="239" w:bottom="0" w:gutter="0" w:footer="0" w:header="0"/>
        </w:sect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$.05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420261 10 9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73"/>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7" w:lineRule="exact"/>
        <w:rPr>
          <w:sz w:val="24"/>
          <w:szCs w:val="24"/>
          <w:color w:val="auto"/>
        </w:rPr>
      </w:pPr>
    </w:p>
    <w:p>
      <w:pPr>
        <w:ind w:left="660" w:right="640"/>
        <w:spacing w:after="0" w:line="282"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420261 10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5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Hawkins, Inc. Employee Stock Ownership Plan and Trust</w:t>
      </w:r>
    </w:p>
    <w:p>
      <w:pPr>
        <w:spacing w:after="0" w:line="1" w:lineRule="exact"/>
        <w:rPr>
          <w:rFonts w:ascii="Arial" w:cs="Arial" w:eastAsia="Arial" w:hAnsi="Arial"/>
          <w:sz w:val="18"/>
          <w:szCs w:val="18"/>
          <w:color w:val="auto"/>
        </w:rPr>
      </w:pPr>
    </w:p>
    <w:p>
      <w:pPr>
        <w:ind w:left="1300" w:hanging="239"/>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41-0771293</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-531495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-942975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-1157605</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-1774825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1,663,314</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0" w:gutter="0" w:footer="0" w:header="0"/>
          <w:type w:val="continuous"/>
        </w:sectPr>
      </w:pPr>
    </w:p>
    <w:bookmarkStart w:id="1" w:name="page2"/>
    <w:bookmarkEnd w:id="1"/>
    <w:p>
      <w:pPr>
        <w:spacing w:after="0" w:line="22" w:lineRule="exact"/>
        <w:rPr>
          <w:sz w:val="20"/>
          <w:szCs w:val="20"/>
          <w:color w:val="auto"/>
        </w:rPr>
      </w:pPr>
    </w:p>
    <w:p>
      <w:pPr>
        <w:ind w:left="2752" w:right="6940" w:hanging="1091"/>
        <w:spacing w:after="0" w:line="275" w:lineRule="auto"/>
        <w:tabs>
          <w:tab w:leader="none" w:pos="2752"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2752" w:right="6760" w:hanging="1091"/>
        <w:spacing w:after="0" w:line="275" w:lineRule="auto"/>
        <w:tabs>
          <w:tab w:leader="none" w:pos="2752"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7"/>
          <w:szCs w:val="17"/>
          <w:color w:val="auto"/>
        </w:rPr>
        <w:t>1,663,314</w:t>
      </w:r>
    </w:p>
    <w:p>
      <w:pPr>
        <w:spacing w:after="0" w:line="389" w:lineRule="exact"/>
        <w:rPr>
          <w:rFonts w:ascii="Arial" w:cs="Arial" w:eastAsia="Arial" w:hAnsi="Arial"/>
          <w:sz w:val="18"/>
          <w:szCs w:val="18"/>
          <w:color w:val="auto"/>
        </w:rPr>
      </w:pPr>
    </w:p>
    <w:p>
      <w:pPr>
        <w:ind w:left="1052" w:right="5540" w:hanging="620"/>
        <w:spacing w:after="0" w:line="275" w:lineRule="auto"/>
        <w:tabs>
          <w:tab w:leader="none" w:pos="105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1,663,314</w:t>
      </w:r>
    </w:p>
    <w:p>
      <w:pPr>
        <w:spacing w:after="0" w:line="389" w:lineRule="exact"/>
        <w:rPr>
          <w:rFonts w:ascii="Arial" w:cs="Arial" w:eastAsia="Arial" w:hAnsi="Arial"/>
          <w:sz w:val="18"/>
          <w:szCs w:val="18"/>
          <w:color w:val="auto"/>
        </w:rPr>
      </w:pPr>
    </w:p>
    <w:p>
      <w:pPr>
        <w:ind w:left="1052" w:hanging="620"/>
        <w:spacing w:after="0"/>
        <w:tabs>
          <w:tab w:leader="none" w:pos="105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52" w:right="6540" w:hanging="620"/>
        <w:spacing w:after="0" w:line="275" w:lineRule="auto"/>
        <w:tabs>
          <w:tab w:leader="none" w:pos="105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16%</w:t>
      </w:r>
    </w:p>
    <w:p>
      <w:pPr>
        <w:spacing w:after="0" w:line="389" w:lineRule="exact"/>
        <w:rPr>
          <w:rFonts w:ascii="Arial" w:cs="Arial" w:eastAsia="Arial" w:hAnsi="Arial"/>
          <w:sz w:val="18"/>
          <w:szCs w:val="18"/>
          <w:color w:val="auto"/>
        </w:rPr>
      </w:pPr>
    </w:p>
    <w:p>
      <w:pPr>
        <w:ind w:left="1052" w:hanging="620"/>
        <w:spacing w:after="0"/>
        <w:tabs>
          <w:tab w:leader="none" w:pos="10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-1605915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-2154555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-2703830</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NOTES</w:t>
      </w:r>
    </w:p>
    <w:p>
      <w:pPr>
        <w:spacing w:after="0" w:line="229" w:lineRule="exact"/>
        <w:rPr>
          <w:sz w:val="20"/>
          <w:szCs w:val="20"/>
          <w:color w:val="auto"/>
        </w:rPr>
      </w:pPr>
    </w:p>
    <w:p>
      <w:pPr>
        <w:ind w:left="-8" w:right="40" w:firstLine="656"/>
        <w:spacing w:after="0" w:line="279" w:lineRule="auto"/>
        <w:tabs>
          <w:tab w:leader="none" w:pos="93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Trustees of the Hawkins, Inc. Employee Stock Ownership Plan and Trust are Messrs. John R. Hawkins and Marvin E. Dee. Mr. Hawkins is an director and a officer of the Issuer and Mr. Dee is an officer but not a director. Apart from the plan holdings in this plan and the individual interests of each trustee under such plan as of December 31, 2004, these individuals had personal holdings of the Issuer’s common stock as set forth below. Unless otherwise noted, all shares shown are held by individuals possessing sole voting and dispositive power with respect to such shares.</w:t>
      </w:r>
    </w:p>
    <w:p>
      <w:pPr>
        <w:spacing w:after="0" w:line="151" w:lineRule="exact"/>
        <w:rPr>
          <w:sz w:val="20"/>
          <w:szCs w:val="20"/>
          <w:color w:val="auto"/>
        </w:rPr>
      </w:pPr>
    </w:p>
    <w:tbl>
      <w:tblPr>
        <w:tblLayout w:type="fixed"/>
        <w:tblInd w:w="972" w:type="dxa"/>
        <w:tblCellMar>
          <w:top w:w="0" w:type="dxa"/>
          <w:left w:w="0" w:type="dxa"/>
          <w:bottom w:w="0" w:type="dxa"/>
          <w:right w:w="0" w:type="dxa"/>
        </w:tblCellMar>
      </w:tblPr>
      <w:tr>
        <w:trPr>
          <w:trHeight w:val="161"/>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6200" w:type="dxa"/>
            <w:vAlign w:val="bottom"/>
            <w:gridSpan w:val="3"/>
            <w:vMerge w:val="continue"/>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65,348(1)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9,666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 w:firstLine="656"/>
        <w:spacing w:after="0" w:line="291" w:lineRule="auto"/>
        <w:tabs>
          <w:tab w:leader="none" w:pos="94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Hawkins, Inc. Employee Stock Ownership Plan and Trust (the “ESOP”) currently holds 1,663,314 shares of the Issuer’s common stock, representing 16% of the total outstanding shares. The ESOP allows participants to direct the voting of shares allocated to their accounts, but since the Trustees may vote shares with respect to which no directions are received, the Trustees may be deemed to share voting power as to all of these shares. In addition, certain Trustees, as individual participants in the ESOP, have the power to direct the voting of the following number of shares allocated to their personal accounts as of December 31, 2004. John R. Hawkins, 121,836 shares, and Marvin E. Dee, 5,431 shares. The Trustees also have dispositive power with respect to all 1,663,314 shares, provided that this power is limited by a requirement that the assets of the ESOP Trust must consist primarily of shares of the Issuer’s stock. Each Trustee disclaims beneficial ownership of the shares attributed to him solely as a Trustee of the ESOP.</w:t>
      </w:r>
    </w:p>
    <w:p>
      <w:pPr>
        <w:spacing w:after="0" w:line="356" w:lineRule="exact"/>
        <w:rPr>
          <w:rFonts w:ascii="Arial" w:cs="Arial" w:eastAsia="Arial" w:hAnsi="Arial"/>
          <w:sz w:val="16"/>
          <w:szCs w:val="16"/>
          <w:color w:val="auto"/>
        </w:rPr>
      </w:pPr>
    </w:p>
    <w:p>
      <w:pPr>
        <w:ind w:left="-8" w:right="300" w:firstLine="8"/>
        <w:spacing w:after="0" w:line="277" w:lineRule="auto"/>
        <w:tabs>
          <w:tab w:leader="none" w:pos="697"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Hawkins has sole voting and dispositive power over all of these 65,348 shares, except 57,338 shares that Mr. Hawkins holds jointly with his wife as to which he shares voting and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175260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92" w:right="8800" w:hanging="493"/>
        <w:spacing w:after="0" w:line="342" w:lineRule="auto"/>
        <w:tabs>
          <w:tab w:leader="none" w:pos="1492"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 of Issuer Hawkins, Inc.</w:t>
      </w:r>
    </w:p>
    <w:p>
      <w:pPr>
        <w:spacing w:after="0" w:line="29" w:lineRule="exact"/>
        <w:rPr>
          <w:rFonts w:ascii="Arial" w:cs="Arial" w:eastAsia="Arial" w:hAnsi="Arial"/>
          <w:sz w:val="16"/>
          <w:szCs w:val="16"/>
          <w:color w:val="auto"/>
        </w:rPr>
      </w:pPr>
    </w:p>
    <w:p>
      <w:pPr>
        <w:ind w:left="1492" w:right="6480" w:hanging="493"/>
        <w:spacing w:after="0" w:line="258" w:lineRule="auto"/>
        <w:tabs>
          <w:tab w:leader="none" w:pos="1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 3100 East Hennepin Avenue</w:t>
      </w:r>
    </w:p>
    <w:p>
      <w:pPr>
        <w:spacing w:after="0" w:line="1" w:lineRule="exact"/>
        <w:rPr>
          <w:rFonts w:ascii="Arial" w:cs="Arial" w:eastAsia="Arial" w:hAnsi="Arial"/>
          <w:sz w:val="18"/>
          <w:szCs w:val="18"/>
          <w:color w:val="auto"/>
        </w:rPr>
      </w:pPr>
    </w:p>
    <w:p>
      <w:pPr>
        <w:ind w:left="1492"/>
        <w:spacing w:after="0"/>
        <w:rPr>
          <w:rFonts w:ascii="Arial" w:cs="Arial" w:eastAsia="Arial" w:hAnsi="Arial"/>
          <w:sz w:val="18"/>
          <w:szCs w:val="18"/>
          <w:color w:val="auto"/>
        </w:rPr>
      </w:pPr>
      <w:r>
        <w:rPr>
          <w:rFonts w:ascii="Arial" w:cs="Arial" w:eastAsia="Arial" w:hAnsi="Arial"/>
          <w:sz w:val="18"/>
          <w:szCs w:val="18"/>
          <w:color w:val="auto"/>
        </w:rPr>
        <w:t>Minneapolis, MN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40005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-448310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92" w:hanging="493"/>
        <w:spacing w:after="0"/>
        <w:tabs>
          <w:tab w:leader="none" w:pos="1492"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92"/>
        <w:spacing w:after="0"/>
        <w:rPr>
          <w:rFonts w:ascii="Arial" w:cs="Arial" w:eastAsia="Arial" w:hAnsi="Arial"/>
          <w:sz w:val="18"/>
          <w:szCs w:val="18"/>
          <w:color w:val="auto"/>
        </w:rPr>
      </w:pPr>
      <w:r>
        <w:rPr>
          <w:rFonts w:ascii="Arial" w:cs="Arial" w:eastAsia="Arial" w:hAnsi="Arial"/>
          <w:sz w:val="18"/>
          <w:szCs w:val="18"/>
          <w:color w:val="auto"/>
        </w:rPr>
        <w:t>Hawkins, Inc. Employee Stock Ownership Plan and Trust</w:t>
      </w:r>
    </w:p>
    <w:p>
      <w:pPr>
        <w:spacing w:after="0" w:line="116" w:lineRule="exact"/>
        <w:rPr>
          <w:rFonts w:ascii="Arial" w:cs="Arial" w:eastAsia="Arial" w:hAnsi="Arial"/>
          <w:sz w:val="18"/>
          <w:szCs w:val="18"/>
          <w:color w:val="auto"/>
        </w:rPr>
      </w:pPr>
    </w:p>
    <w:p>
      <w:pPr>
        <w:ind w:left="1492" w:right="5620" w:hanging="493"/>
        <w:spacing w:after="0" w:line="258" w:lineRule="auto"/>
        <w:tabs>
          <w:tab w:leader="none" w:pos="1492"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Residence</w:t>
      </w:r>
    </w:p>
    <w:p>
      <w:pPr>
        <w:spacing w:after="0" w:line="1" w:lineRule="exact"/>
        <w:rPr>
          <w:rFonts w:ascii="Arial" w:cs="Arial" w:eastAsia="Arial" w:hAnsi="Arial"/>
          <w:sz w:val="18"/>
          <w:szCs w:val="18"/>
          <w:color w:val="auto"/>
        </w:rPr>
      </w:pPr>
    </w:p>
    <w:p>
      <w:pPr>
        <w:ind w:left="1492"/>
        <w:spacing w:after="0"/>
        <w:rPr>
          <w:rFonts w:ascii="Arial" w:cs="Arial" w:eastAsia="Arial" w:hAnsi="Arial"/>
          <w:sz w:val="18"/>
          <w:szCs w:val="18"/>
          <w:color w:val="auto"/>
        </w:rPr>
      </w:pPr>
      <w:r>
        <w:rPr>
          <w:rFonts w:ascii="Arial" w:cs="Arial" w:eastAsia="Arial" w:hAnsi="Arial"/>
          <w:sz w:val="18"/>
          <w:szCs w:val="18"/>
          <w:color w:val="auto"/>
        </w:rPr>
        <w:t>c/o Hawkins, Inc.</w:t>
      </w:r>
    </w:p>
    <w:p>
      <w:pPr>
        <w:spacing w:after="0" w:line="9" w:lineRule="exact"/>
        <w:rPr>
          <w:rFonts w:ascii="Arial" w:cs="Arial" w:eastAsia="Arial" w:hAnsi="Arial"/>
          <w:sz w:val="18"/>
          <w:szCs w:val="18"/>
          <w:color w:val="auto"/>
        </w:rPr>
      </w:pPr>
    </w:p>
    <w:p>
      <w:pPr>
        <w:ind w:left="1492" w:right="7840"/>
        <w:spacing w:after="0" w:line="323" w:lineRule="auto"/>
        <w:rPr>
          <w:rFonts w:ascii="Arial" w:cs="Arial" w:eastAsia="Arial" w:hAnsi="Arial"/>
          <w:sz w:val="18"/>
          <w:szCs w:val="18"/>
          <w:color w:val="auto"/>
        </w:rPr>
      </w:pPr>
      <w:r>
        <w:rPr>
          <w:rFonts w:ascii="Arial" w:cs="Arial" w:eastAsia="Arial" w:hAnsi="Arial"/>
          <w:sz w:val="16"/>
          <w:szCs w:val="16"/>
          <w:color w:val="auto"/>
        </w:rPr>
        <w:t>3100 East Hennepin Avenue Minneapolis, MN 55413</w:t>
      </w:r>
    </w:p>
    <w:p>
      <w:pPr>
        <w:spacing w:after="0" w:line="44" w:lineRule="exact"/>
        <w:rPr>
          <w:rFonts w:ascii="Arial" w:cs="Arial" w:eastAsia="Arial" w:hAnsi="Arial"/>
          <w:sz w:val="18"/>
          <w:szCs w:val="18"/>
          <w:color w:val="auto"/>
        </w:rPr>
      </w:pPr>
    </w:p>
    <w:p>
      <w:pPr>
        <w:ind w:left="1492" w:hanging="493"/>
        <w:spacing w:after="0"/>
        <w:tabs>
          <w:tab w:leader="none" w:pos="1492"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-164465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-927735</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ectPr>
          <w:pgSz w:w="11900" w:h="16860" w:orient="portrait"/>
          <w:cols w:equalWidth="0" w:num="1">
            <w:col w:w="11392"/>
          </w:cols>
          <w:pgMar w:left="248" w:top="517" w:right="259" w:bottom="0" w:gutter="0" w:footer="0" w:header="0"/>
        </w:sectPr>
      </w:pPr>
    </w:p>
    <w:bookmarkStart w:id="2" w:name="page3"/>
    <w:bookmarkEnd w:id="2"/>
    <w:p>
      <w:pPr>
        <w:ind w:left="1440"/>
        <w:spacing w:after="0"/>
        <w:rPr>
          <w:sz w:val="20"/>
          <w:szCs w:val="20"/>
          <w:color w:val="auto"/>
        </w:rPr>
      </w:pPr>
      <w:r>
        <w:rPr>
          <w:rFonts w:ascii="Arial" w:cs="Arial" w:eastAsia="Arial" w:hAnsi="Arial"/>
          <w:sz w:val="18"/>
          <w:szCs w:val="18"/>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48895</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111" w:lineRule="exact"/>
        <w:rPr>
          <w:sz w:val="20"/>
          <w:szCs w:val="20"/>
          <w:color w:val="auto"/>
        </w:rPr>
      </w:pPr>
    </w:p>
    <w:p>
      <w:pPr>
        <w:ind w:left="1440" w:hanging="4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Common Stock, Par Value $.05 per share</w:t>
      </w:r>
    </w:p>
    <w:p>
      <w:pPr>
        <w:spacing w:after="0" w:line="116" w:lineRule="exact"/>
        <w:rPr>
          <w:rFonts w:ascii="Arial" w:cs="Arial" w:eastAsia="Arial" w:hAnsi="Arial"/>
          <w:sz w:val="18"/>
          <w:szCs w:val="18"/>
          <w:color w:val="auto"/>
        </w:rPr>
      </w:pPr>
    </w:p>
    <w:p>
      <w:pPr>
        <w:ind w:left="1440" w:right="8680" w:hanging="493"/>
        <w:spacing w:after="0" w:line="342" w:lineRule="auto"/>
        <w:tabs>
          <w:tab w:leader="none" w:pos="1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CUSIP Number 420261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192" w:lineRule="exact"/>
        <w:rPr>
          <w:rFonts w:ascii="Arial" w:cs="Arial" w:eastAsia="Arial" w:hAnsi="Arial"/>
          <w:sz w:val="18"/>
          <w:szCs w:val="18"/>
          <w:color w:val="auto"/>
        </w:rPr>
      </w:pPr>
    </w:p>
    <w:p>
      <w:pPr>
        <w:ind w:left="1440" w:hanging="493"/>
        <w:spacing w:after="0" w:line="207" w:lineRule="exact"/>
        <w:tabs>
          <w:tab w:leader="none" w:pos="14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57"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right="80" w:hanging="1013"/>
        <w:spacing w:after="0" w:line="277" w:lineRule="auto"/>
        <w:tabs>
          <w:tab w:leader="none" w:pos="14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269875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1,663,314 (See Note b)</w:t>
      </w:r>
    </w:p>
    <w:p>
      <w:pPr>
        <w:spacing w:after="0" w:line="224" w:lineRule="exact"/>
        <w:rPr>
          <w:rFonts w:ascii="Arial" w:cs="Arial" w:eastAsia="Arial" w:hAnsi="Arial"/>
          <w:sz w:val="18"/>
          <w:szCs w:val="18"/>
          <w:color w:val="auto"/>
        </w:rPr>
      </w:pPr>
    </w:p>
    <w:p>
      <w:pPr>
        <w:ind w:left="1600" w:right="8500" w:hanging="400"/>
        <w:spacing w:after="0" w:line="277" w:lineRule="auto"/>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16%</w:t>
      </w:r>
    </w:p>
    <w:p>
      <w:pPr>
        <w:spacing w:after="0" w:line="183" w:lineRule="exact"/>
        <w:rPr>
          <w:rFonts w:ascii="Arial" w:cs="Arial" w:eastAsia="Arial" w:hAnsi="Arial"/>
          <w:sz w:val="18"/>
          <w:szCs w:val="18"/>
          <w:color w:val="auto"/>
        </w:rPr>
      </w:pPr>
    </w:p>
    <w:p>
      <w:pPr>
        <w:ind w:left="1600" w:hanging="394"/>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220980</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-619125</wp:posOffset>
            </wp:positionV>
            <wp:extent cx="6234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220" w:right="6260" w:hanging="453"/>
        <w:spacing w:after="0" w:line="277" w:lineRule="auto"/>
        <w:tabs>
          <w:tab w:leader="none" w:pos="2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48895</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64" w:lineRule="exact"/>
        <w:rPr>
          <w:sz w:val="20"/>
          <w:szCs w:val="20"/>
          <w:color w:val="auto"/>
        </w:rPr>
      </w:pPr>
    </w:p>
    <w:p>
      <w:pPr>
        <w:ind w:left="2220" w:right="6080" w:hanging="478"/>
        <w:spacing w:after="0" w:line="277" w:lineRule="auto"/>
        <w:tabs>
          <w:tab w:leader="none" w:pos="2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1,663,314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48895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64" w:lineRule="exact"/>
        <w:rPr>
          <w:sz w:val="20"/>
          <w:szCs w:val="20"/>
          <w:color w:val="auto"/>
        </w:rPr>
      </w:pPr>
    </w:p>
    <w:p>
      <w:pPr>
        <w:ind w:left="2220" w:right="5340" w:hanging="503"/>
        <w:spacing w:after="0" w:line="277" w:lineRule="auto"/>
        <w:tabs>
          <w:tab w:leader="none" w:pos="2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83" w:lineRule="exact"/>
        <w:rPr>
          <w:rFonts w:ascii="Arial" w:cs="Arial" w:eastAsia="Arial" w:hAnsi="Arial"/>
          <w:sz w:val="18"/>
          <w:szCs w:val="18"/>
          <w:color w:val="auto"/>
        </w:rPr>
      </w:pPr>
    </w:p>
    <w:p>
      <w:pPr>
        <w:ind w:left="2220" w:right="5160" w:hanging="498"/>
        <w:spacing w:after="0" w:line="277" w:lineRule="auto"/>
        <w:tabs>
          <w:tab w:leader="none" w:pos="2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1,663,314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48895</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-370840</wp:posOffset>
            </wp:positionV>
            <wp:extent cx="58400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300" w:top="125" w:right="319" w:bottom="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ectPr>
          <w:pgSz w:w="11900" w:h="16838" w:orient="portrait"/>
          <w:cols w:equalWidth="0" w:num="1">
            <w:col w:w="11280"/>
          </w:cols>
          <w:pgMar w:left="300" w:top="125" w:right="319" w:bottom="0" w:gutter="0" w:footer="0" w:header="0"/>
          <w:type w:val="continuous"/>
        </w:sectPr>
      </w:pPr>
    </w:p>
    <w:bookmarkStart w:id="3" w:name="page4"/>
    <w:bookmarkEnd w:id="3"/>
    <w:p>
      <w:pPr>
        <w:ind w:left="1180"/>
        <w:spacing w:after="0"/>
        <w:rPr>
          <w:sz w:val="20"/>
          <w:szCs w:val="20"/>
          <w:color w:val="auto"/>
        </w:rPr>
      </w:pPr>
      <w:r>
        <w:rPr>
          <w:rFonts w:ascii="Arial" w:cs="Arial" w:eastAsia="Arial" w:hAnsi="Arial"/>
          <w:sz w:val="18"/>
          <w:szCs w:val="18"/>
          <w:b w:val="1"/>
          <w:bCs w:val="1"/>
          <w:color w:val="auto"/>
        </w:rPr>
        <w:t>or Control Person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right="220" w:firstLine="648"/>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Signature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3"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HAWKINS, INC.</w:t>
            </w:r>
          </w:p>
        </w:tc>
      </w:tr>
      <w:tr>
        <w:trPr>
          <w:trHeight w:val="234"/>
        </w:trPr>
        <w:tc>
          <w:tcPr>
            <w:tcW w:w="376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EMPLOYEE STOCK OWNERSHIP TRUST</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February 14, 2005</w:t>
            </w:r>
          </w:p>
        </w:tc>
        <w:tc>
          <w:tcPr>
            <w:tcW w:w="2820" w:type="dxa"/>
            <w:vAlign w:val="bottom"/>
          </w:tcPr>
          <w:p>
            <w:pPr>
              <w:ind w:left="19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R. Hawkins</w:t>
            </w:r>
          </w:p>
        </w:tc>
      </w:tr>
      <w:tr>
        <w:trPr>
          <w:trHeight w:val="224"/>
        </w:trPr>
        <w:tc>
          <w:tcPr>
            <w:tcW w:w="37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John R. Hawkins, Trustee</w:t>
            </w:r>
          </w:p>
        </w:tc>
      </w:tr>
      <w:tr>
        <w:trPr>
          <w:trHeight w:val="418"/>
        </w:trPr>
        <w:tc>
          <w:tcPr>
            <w:tcW w:w="3760" w:type="dxa"/>
            <w:vAlign w:val="bottom"/>
          </w:tcPr>
          <w:p>
            <w:pPr>
              <w:spacing w:after="0"/>
              <w:rPr>
                <w:sz w:val="24"/>
                <w:szCs w:val="24"/>
                <w:color w:val="auto"/>
              </w:rPr>
            </w:pPr>
          </w:p>
        </w:tc>
        <w:tc>
          <w:tcPr>
            <w:tcW w:w="2820" w:type="dxa"/>
            <w:vAlign w:val="bottom"/>
          </w:tcPr>
          <w:p>
            <w:pPr>
              <w:ind w:left="19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Marvin E. Dee</w:t>
            </w:r>
          </w:p>
        </w:tc>
      </w:tr>
      <w:tr>
        <w:trPr>
          <w:trHeight w:val="224"/>
        </w:trPr>
        <w:tc>
          <w:tcPr>
            <w:tcW w:w="37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Marvin E. Dee, Trustee</w:t>
            </w:r>
          </w:p>
        </w:tc>
      </w:tr>
    </w:tbl>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for whom copies are to be 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lvl w:ilvl="1">
      <w:lvlJc w:val="left"/>
      <w:lvlText w:val="(%2)"/>
      <w:numFmt w:val="lowerLetter"/>
      <w:start w:val="1"/>
    </w:lvl>
  </w:abstractNum>
  <w:abstractNum w:abstractNumId="2">
    <w:nsid w:val="5BD062C2"/>
    <w:multiLevelType w:val="hybridMultilevel"/>
    <w:lvl w:ilvl="0">
      <w:lvlJc w:val="left"/>
      <w:lvlText w:val="%1"/>
      <w:numFmt w:val="decimal"/>
      <w:start w:val="1"/>
    </w:lvl>
    <w:lvl w:ilvl="1">
      <w:lvlJc w:val="left"/>
      <w:lvlText w:val="%2."/>
      <w:numFmt w:val="decimal"/>
      <w:start w:val="7"/>
    </w:lvl>
  </w:abstractNum>
  <w:abstractNum w:abstractNumId="3">
    <w:nsid w:val="12200854"/>
    <w:multiLevelType w:val="hybridMultilevel"/>
    <w:lvl w:ilvl="0">
      <w:lvlJc w:val="left"/>
      <w:lvlText w:val="%1."/>
      <w:numFmt w:val="decimal"/>
      <w:start w:val="9"/>
    </w:lvl>
    <w:lvl w:ilvl="1">
      <w:lvlJc w:val="left"/>
      <w:lvlText w:val="%2"/>
      <w:numFmt w:val="decimal"/>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1"/>
    </w:lvl>
    <w:lvl w:ilvl="1">
      <w:lvlJc w:val="left"/>
      <w:lvlText w:val="(%2)"/>
      <w:numFmt w:val="lowerLetter"/>
      <w:start w:val="2"/>
    </w:lvl>
  </w:abstractNum>
  <w:abstractNum w:abstractNumId="6">
    <w:nsid w:val="1F16E9E8"/>
    <w:multiLevelType w:val="hybridMultilevel"/>
    <w:lvl w:ilvl="0">
      <w:lvlJc w:val="left"/>
      <w:lvlText w:val="(%1)"/>
      <w:numFmt w:val="decimal"/>
      <w:start w:val="1"/>
    </w:lvl>
    <w:lvl w:ilvl="1">
      <w:lvlJc w:val="left"/>
      <w:lvlText w:val="%2"/>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4"/>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lowerRoman"/>
      <w:start w:val="2"/>
    </w:lvl>
  </w:abstractNum>
  <w:abstractNum w:abstractNumId="14">
    <w:nsid w:val="1BEFD79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2019-12-12T09:36:01Z</dcterms:created>
  <dcterms:modified xsi:type="dcterms:W3CDTF">2019-12-12T09:36:01Z</dcterms:modified>
</cp:coreProperties>
</file>