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26)*</w:t>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31750</wp:posOffset>
            </wp:positionV>
            <wp:extent cx="31470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(Name of Issuer)</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31750</wp:posOffset>
            </wp:positionV>
            <wp:extent cx="3147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(Title of Class of Securities)</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31750</wp:posOffset>
            </wp:positionV>
            <wp:extent cx="3147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(CUSIP Number)</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31750</wp:posOffset>
            </wp:positionV>
            <wp:extent cx="3147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00" w:hanging="232"/>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Rule 13d-1(b)</w:t>
      </w:r>
    </w:p>
    <w:p>
      <w:pPr>
        <w:spacing w:after="0" w:line="226" w:lineRule="exact"/>
        <w:rPr>
          <w:sz w:val="24"/>
          <w:szCs w:val="24"/>
          <w:color w:val="auto"/>
        </w:rPr>
      </w:pPr>
    </w:p>
    <w:p>
      <w:pPr>
        <w:ind w:left="3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Rule 13d-1(c)</w:t>
      </w:r>
    </w:p>
    <w:p>
      <w:pPr>
        <w:spacing w:after="0" w:line="220" w:lineRule="exact"/>
        <w:rPr>
          <w:sz w:val="24"/>
          <w:szCs w:val="24"/>
          <w:color w:val="auto"/>
        </w:rPr>
      </w:pPr>
    </w:p>
    <w:p>
      <w:pPr>
        <w:ind w:left="3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Rule 13d-1(d)</w:t>
      </w:r>
    </w:p>
    <w:p>
      <w:pPr>
        <w:spacing w:after="0" w:line="198" w:lineRule="exact"/>
        <w:rPr>
          <w:sz w:val="24"/>
          <w:szCs w:val="24"/>
          <w:color w:val="auto"/>
        </w:rPr>
      </w:pPr>
    </w:p>
    <w:p>
      <w:pPr>
        <w:ind w:left="340" w:hanging="332"/>
        <w:spacing w:after="0" w:line="277" w:lineRule="auto"/>
        <w:tabs>
          <w:tab w:leader="none" w:pos="15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20"/>
          </w:cols>
          <w:pgMar w:left="240" w:top="877"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36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420261109</w:t>
            </w:r>
          </w:p>
        </w:tc>
        <w:tc>
          <w:tcPr>
            <w:tcW w:w="384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800" w:type="dxa"/>
            <w:vAlign w:val="bottom"/>
            <w:tcBorders>
              <w:top w:val="single" w:sz="8" w:color="auto"/>
              <w:right w:val="single" w:sz="8" w:color="auto"/>
            </w:tcBorders>
          </w:tcPr>
          <w:p>
            <w:pPr>
              <w:ind w:left="1220"/>
              <w:spacing w:after="0"/>
              <w:rPr>
                <w:sz w:val="20"/>
                <w:szCs w:val="20"/>
                <w:color w:val="auto"/>
              </w:rPr>
            </w:pPr>
            <w:r>
              <w:rPr>
                <w:rFonts w:ascii="Arial" w:cs="Arial" w:eastAsia="Arial" w:hAnsi="Arial"/>
                <w:sz w:val="18"/>
                <w:szCs w:val="18"/>
                <w:b w:val="1"/>
                <w:bCs w:val="1"/>
                <w:color w:val="auto"/>
              </w:rPr>
              <w:t>Page 2 of 5 Pages</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240030</wp:posOffset>
            </wp:positionV>
            <wp:extent cx="7178040" cy="5257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257165"/>
                    </a:xfrm>
                    <a:prstGeom prst="rect">
                      <a:avLst/>
                    </a:prstGeom>
                    <a:noFill/>
                  </pic:spPr>
                </pic:pic>
              </a:graphicData>
            </a:graphic>
          </wp:anchor>
        </w:drawing>
      </w:r>
    </w:p>
    <w:p>
      <w:pPr>
        <w:spacing w:after="0" w:line="384" w:lineRule="exact"/>
        <w:rPr>
          <w:sz w:val="20"/>
          <w:szCs w:val="20"/>
          <w:color w:val="auto"/>
        </w:rPr>
      </w:pPr>
    </w:p>
    <w:p>
      <w:pPr>
        <w:ind w:left="840" w:hanging="470"/>
        <w:spacing w:after="0"/>
        <w:tabs>
          <w:tab w:leader="none" w:pos="8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Hawkins, Inc. Employee Stock Ownership Plan and Trust (Tax ID: 41-0771293)</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Hawkins, Inc. Employee Stock Ownership Plan for Certain Collectively Bargained Employees and Trust (Tax ID: 41-0771293)</w:t>
      </w:r>
    </w:p>
    <w:p>
      <w:pPr>
        <w:ind w:left="840" w:hanging="470"/>
        <w:spacing w:after="0" w:line="238" w:lineRule="auto"/>
        <w:tabs>
          <w:tab w:leader="none" w:pos="840" w:val="left"/>
        </w:tabs>
        <w:numPr>
          <w:ilvl w:val="0"/>
          <w:numId w:val="4"/>
        </w:numPr>
        <w:rPr>
          <w:rFonts w:ascii="Arial" w:cs="Arial" w:eastAsia="Arial" w:hAnsi="Arial"/>
          <w:sz w:val="36"/>
          <w:szCs w:val="36"/>
          <w:b w:val="1"/>
          <w:bCs w:val="1"/>
          <w:color w:val="auto"/>
          <w:vertAlign w:val="superscript"/>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o</w:t>
      </w:r>
    </w:p>
    <w:p>
      <w:pPr>
        <w:spacing w:after="0" w:line="254"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p>
      <w:pPr>
        <w:spacing w:after="0" w:line="102" w:lineRule="exact"/>
        <w:rPr>
          <w:sz w:val="20"/>
          <w:szCs w:val="20"/>
          <w:color w:val="auto"/>
        </w:rPr>
      </w:pPr>
    </w:p>
    <w:p>
      <w:pPr>
        <w:ind w:left="840" w:hanging="470"/>
        <w:spacing w:after="0"/>
        <w:tabs>
          <w:tab w:leader="none" w:pos="8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77" w:lineRule="exact"/>
        <w:rPr>
          <w:sz w:val="20"/>
          <w:szCs w:val="20"/>
          <w:color w:val="auto"/>
        </w:rPr>
      </w:pPr>
    </w:p>
    <w:p>
      <w:pPr>
        <w:ind w:left="840" w:right="6820" w:hanging="470"/>
        <w:spacing w:after="0" w:line="412" w:lineRule="auto"/>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Minnesota</w:t>
      </w:r>
    </w:p>
    <w:p>
      <w:pPr>
        <w:spacing w:after="0" w:line="5" w:lineRule="exact"/>
        <w:rPr>
          <w:sz w:val="20"/>
          <w:szCs w:val="20"/>
          <w:color w:val="auto"/>
        </w:rPr>
      </w:pPr>
    </w:p>
    <w:p>
      <w:pPr>
        <w:ind w:left="3900" w:hanging="505"/>
        <w:spacing w:after="0"/>
        <w:tabs>
          <w:tab w:leader="none" w:pos="39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2120" w:type="dxa"/>
            <w:vAlign w:val="bottom"/>
          </w:tcPr>
          <w:p>
            <w:pPr>
              <w:jc w:val="center"/>
              <w:ind w:right="770"/>
              <w:spacing w:after="0"/>
              <w:rPr>
                <w:sz w:val="20"/>
                <w:szCs w:val="20"/>
                <w:color w:val="auto"/>
              </w:rPr>
            </w:pPr>
            <w:r>
              <w:rPr>
                <w:rFonts w:ascii="Arial" w:cs="Arial" w:eastAsia="Arial" w:hAnsi="Arial"/>
                <w:sz w:val="18"/>
                <w:szCs w:val="18"/>
                <w:color w:val="auto"/>
                <w:w w:val="98"/>
              </w:rPr>
              <w:t>NUMBER OF</w:t>
            </w:r>
          </w:p>
        </w:tc>
        <w:tc>
          <w:tcPr>
            <w:tcW w:w="70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5"/>
        </w:trPr>
        <w:tc>
          <w:tcPr>
            <w:tcW w:w="2120" w:type="dxa"/>
            <w:vAlign w:val="bottom"/>
            <w:vMerge w:val="restart"/>
          </w:tcPr>
          <w:p>
            <w:pPr>
              <w:jc w:val="center"/>
              <w:ind w:right="770"/>
              <w:spacing w:after="0"/>
              <w:rPr>
                <w:sz w:val="20"/>
                <w:szCs w:val="20"/>
                <w:color w:val="auto"/>
              </w:rPr>
            </w:pPr>
            <w:r>
              <w:rPr>
                <w:rFonts w:ascii="Arial" w:cs="Arial" w:eastAsia="Arial" w:hAnsi="Arial"/>
                <w:sz w:val="18"/>
                <w:szCs w:val="18"/>
                <w:color w:val="auto"/>
                <w:w w:val="94"/>
              </w:rPr>
              <w:t>SHARES</w:t>
            </w:r>
          </w:p>
        </w:tc>
        <w:tc>
          <w:tcPr>
            <w:tcW w:w="700" w:type="dxa"/>
            <w:vAlign w:val="bottom"/>
            <w:tcBorders>
              <w:bottom w:val="single" w:sz="8" w:color="auto"/>
            </w:tcBorders>
          </w:tcPr>
          <w:p>
            <w:pPr>
              <w:spacing w:after="0"/>
              <w:rPr>
                <w:sz w:val="4"/>
                <w:szCs w:val="4"/>
                <w:color w:val="auto"/>
              </w:rPr>
            </w:pPr>
          </w:p>
        </w:tc>
        <w:tc>
          <w:tcPr>
            <w:tcW w:w="7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120" w:type="dxa"/>
            <w:vAlign w:val="bottom"/>
            <w:vMerge w:val="continue"/>
          </w:tcPr>
          <w:p>
            <w:pPr>
              <w:spacing w:after="0"/>
              <w:rPr>
                <w:sz w:val="12"/>
                <w:szCs w:val="12"/>
                <w:color w:val="auto"/>
              </w:rPr>
            </w:pPr>
          </w:p>
        </w:tc>
        <w:tc>
          <w:tcPr>
            <w:tcW w:w="7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6</w:t>
            </w:r>
          </w:p>
        </w:tc>
        <w:tc>
          <w:tcPr>
            <w:tcW w:w="762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2120" w:type="dxa"/>
            <w:vAlign w:val="bottom"/>
            <w:vMerge w:val="restart"/>
          </w:tcPr>
          <w:p>
            <w:pPr>
              <w:jc w:val="center"/>
              <w:ind w:right="770"/>
              <w:spacing w:after="0"/>
              <w:rPr>
                <w:sz w:val="20"/>
                <w:szCs w:val="20"/>
                <w:color w:val="auto"/>
              </w:rPr>
            </w:pPr>
            <w:r>
              <w:rPr>
                <w:rFonts w:ascii="Arial" w:cs="Arial" w:eastAsia="Arial" w:hAnsi="Arial"/>
                <w:sz w:val="18"/>
                <w:szCs w:val="18"/>
                <w:color w:val="auto"/>
                <w:w w:val="99"/>
              </w:rPr>
              <w:t>BENEFICIALLY</w:t>
            </w:r>
          </w:p>
        </w:tc>
        <w:tc>
          <w:tcPr>
            <w:tcW w:w="700" w:type="dxa"/>
            <w:vAlign w:val="bottom"/>
            <w:vMerge w:val="continue"/>
          </w:tcPr>
          <w:p>
            <w:pPr>
              <w:spacing w:after="0"/>
              <w:rPr>
                <w:sz w:val="8"/>
                <w:szCs w:val="8"/>
                <w:color w:val="auto"/>
              </w:rPr>
            </w:pPr>
          </w:p>
        </w:tc>
        <w:tc>
          <w:tcPr>
            <w:tcW w:w="7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1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7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120" w:type="dxa"/>
            <w:vAlign w:val="bottom"/>
          </w:tcPr>
          <w:p>
            <w:pPr>
              <w:jc w:val="center"/>
              <w:ind w:right="770"/>
              <w:spacing w:after="0"/>
              <w:rPr>
                <w:sz w:val="20"/>
                <w:szCs w:val="20"/>
                <w:color w:val="auto"/>
              </w:rPr>
            </w:pPr>
            <w:r>
              <w:rPr>
                <w:rFonts w:ascii="Arial" w:cs="Arial" w:eastAsia="Arial" w:hAnsi="Arial"/>
                <w:sz w:val="18"/>
                <w:szCs w:val="18"/>
                <w:color w:val="auto"/>
                <w:w w:val="99"/>
              </w:rPr>
              <w:t>OWNED BY</w:t>
            </w:r>
          </w:p>
        </w:tc>
        <w:tc>
          <w:tcPr>
            <w:tcW w:w="700" w:type="dxa"/>
            <w:vAlign w:val="bottom"/>
          </w:tcPr>
          <w:p>
            <w:pPr>
              <w:spacing w:after="0"/>
              <w:rPr>
                <w:sz w:val="18"/>
                <w:szCs w:val="18"/>
                <w:color w:val="auto"/>
              </w:rPr>
            </w:pPr>
          </w:p>
        </w:tc>
        <w:tc>
          <w:tcPr>
            <w:tcW w:w="7620" w:type="dxa"/>
            <w:vAlign w:val="bottom"/>
            <w:vMerge w:val="restart"/>
          </w:tcPr>
          <w:p>
            <w:pPr>
              <w:ind w:left="200"/>
              <w:spacing w:after="0"/>
              <w:rPr>
                <w:sz w:val="20"/>
                <w:szCs w:val="20"/>
                <w:color w:val="auto"/>
              </w:rPr>
            </w:pPr>
            <w:r>
              <w:rPr>
                <w:rFonts w:ascii="Arial" w:cs="Arial" w:eastAsia="Arial" w:hAnsi="Arial"/>
                <w:sz w:val="18"/>
                <w:szCs w:val="18"/>
                <w:color w:val="auto"/>
              </w:rPr>
              <w:t>675,315.68</w:t>
            </w:r>
          </w:p>
        </w:tc>
        <w:tc>
          <w:tcPr>
            <w:tcW w:w="0" w:type="dxa"/>
            <w:vAlign w:val="bottom"/>
          </w:tcPr>
          <w:p>
            <w:pPr>
              <w:spacing w:after="0"/>
              <w:rPr>
                <w:sz w:val="1"/>
                <w:szCs w:val="1"/>
                <w:color w:val="auto"/>
              </w:rPr>
            </w:pPr>
          </w:p>
        </w:tc>
      </w:tr>
      <w:tr>
        <w:trPr>
          <w:trHeight w:val="95"/>
        </w:trPr>
        <w:tc>
          <w:tcPr>
            <w:tcW w:w="2120" w:type="dxa"/>
            <w:vAlign w:val="bottom"/>
            <w:vMerge w:val="restart"/>
          </w:tcPr>
          <w:p>
            <w:pPr>
              <w:jc w:val="center"/>
              <w:ind w:right="770"/>
              <w:spacing w:after="0"/>
              <w:rPr>
                <w:sz w:val="20"/>
                <w:szCs w:val="20"/>
                <w:color w:val="auto"/>
              </w:rPr>
            </w:pPr>
            <w:r>
              <w:rPr>
                <w:rFonts w:ascii="Arial" w:cs="Arial" w:eastAsia="Arial" w:hAnsi="Arial"/>
                <w:sz w:val="18"/>
                <w:szCs w:val="18"/>
                <w:color w:val="auto"/>
                <w:w w:val="99"/>
              </w:rPr>
              <w:t>EACH</w:t>
            </w:r>
          </w:p>
        </w:tc>
        <w:tc>
          <w:tcPr>
            <w:tcW w:w="700" w:type="dxa"/>
            <w:vAlign w:val="bottom"/>
          </w:tcPr>
          <w:p>
            <w:pPr>
              <w:spacing w:after="0"/>
              <w:rPr>
                <w:sz w:val="8"/>
                <w:szCs w:val="8"/>
                <w:color w:val="auto"/>
              </w:rPr>
            </w:pPr>
          </w:p>
        </w:tc>
        <w:tc>
          <w:tcPr>
            <w:tcW w:w="7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120" w:type="dxa"/>
            <w:vAlign w:val="bottom"/>
            <w:vMerge w:val="continue"/>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120" w:type="dxa"/>
            <w:vAlign w:val="bottom"/>
            <w:vMerge w:val="continue"/>
          </w:tcPr>
          <w:p>
            <w:pPr>
              <w:spacing w:after="0"/>
              <w:rPr>
                <w:sz w:val="6"/>
                <w:szCs w:val="6"/>
                <w:color w:val="auto"/>
              </w:rPr>
            </w:pPr>
          </w:p>
        </w:tc>
        <w:tc>
          <w:tcPr>
            <w:tcW w:w="7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762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120" w:type="dxa"/>
            <w:vAlign w:val="bottom"/>
            <w:vMerge w:val="restart"/>
          </w:tcPr>
          <w:p>
            <w:pPr>
              <w:jc w:val="center"/>
              <w:ind w:right="790"/>
              <w:spacing w:after="0"/>
              <w:rPr>
                <w:sz w:val="20"/>
                <w:szCs w:val="20"/>
                <w:color w:val="auto"/>
              </w:rPr>
            </w:pPr>
            <w:r>
              <w:rPr>
                <w:rFonts w:ascii="Arial" w:cs="Arial" w:eastAsia="Arial" w:hAnsi="Arial"/>
                <w:sz w:val="18"/>
                <w:szCs w:val="18"/>
                <w:color w:val="auto"/>
                <w:w w:val="93"/>
              </w:rPr>
              <w:t>REPORTING</w:t>
            </w:r>
          </w:p>
        </w:tc>
        <w:tc>
          <w:tcPr>
            <w:tcW w:w="700" w:type="dxa"/>
            <w:vAlign w:val="bottom"/>
            <w:vMerge w:val="continue"/>
          </w:tcPr>
          <w:p>
            <w:pPr>
              <w:spacing w:after="0"/>
              <w:rPr>
                <w:sz w:val="14"/>
                <w:szCs w:val="14"/>
                <w:color w:val="auto"/>
              </w:rPr>
            </w:pPr>
          </w:p>
        </w:tc>
        <w:tc>
          <w:tcPr>
            <w:tcW w:w="7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1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7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20" w:type="dxa"/>
            <w:vAlign w:val="bottom"/>
          </w:tcPr>
          <w:p>
            <w:pPr>
              <w:jc w:val="center"/>
              <w:ind w:right="770"/>
              <w:spacing w:after="0"/>
              <w:rPr>
                <w:sz w:val="20"/>
                <w:szCs w:val="20"/>
                <w:color w:val="auto"/>
              </w:rPr>
            </w:pPr>
            <w:r>
              <w:rPr>
                <w:rFonts w:ascii="Arial" w:cs="Arial" w:eastAsia="Arial" w:hAnsi="Arial"/>
                <w:sz w:val="18"/>
                <w:szCs w:val="18"/>
                <w:color w:val="auto"/>
                <w:w w:val="92"/>
              </w:rPr>
              <w:t>PERSON</w:t>
            </w:r>
          </w:p>
        </w:tc>
        <w:tc>
          <w:tcPr>
            <w:tcW w:w="700" w:type="dxa"/>
            <w:vAlign w:val="bottom"/>
          </w:tcPr>
          <w:p>
            <w:pPr>
              <w:spacing w:after="0"/>
              <w:rPr>
                <w:sz w:val="18"/>
                <w:szCs w:val="18"/>
                <w:color w:val="auto"/>
              </w:rPr>
            </w:pPr>
          </w:p>
        </w:tc>
        <w:tc>
          <w:tcPr>
            <w:tcW w:w="762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2120" w:type="dxa"/>
            <w:vAlign w:val="bottom"/>
            <w:vMerge w:val="restart"/>
          </w:tcPr>
          <w:p>
            <w:pPr>
              <w:jc w:val="center"/>
              <w:ind w:right="790"/>
              <w:spacing w:after="0" w:line="190" w:lineRule="exact"/>
              <w:rPr>
                <w:sz w:val="20"/>
                <w:szCs w:val="20"/>
                <w:color w:val="auto"/>
              </w:rPr>
            </w:pPr>
            <w:r>
              <w:rPr>
                <w:rFonts w:ascii="Arial" w:cs="Arial" w:eastAsia="Arial" w:hAnsi="Arial"/>
                <w:sz w:val="18"/>
                <w:szCs w:val="18"/>
                <w:color w:val="auto"/>
              </w:rPr>
              <w:t>WITH:</w:t>
            </w:r>
          </w:p>
        </w:tc>
        <w:tc>
          <w:tcPr>
            <w:tcW w:w="700" w:type="dxa"/>
            <w:vAlign w:val="bottom"/>
          </w:tcPr>
          <w:p>
            <w:pPr>
              <w:spacing w:after="0"/>
              <w:rPr>
                <w:sz w:val="14"/>
                <w:szCs w:val="14"/>
                <w:color w:val="auto"/>
              </w:rPr>
            </w:pPr>
          </w:p>
        </w:tc>
        <w:tc>
          <w:tcPr>
            <w:tcW w:w="7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120" w:type="dxa"/>
            <w:vAlign w:val="bottom"/>
            <w:vMerge w:val="continue"/>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2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b w:val="1"/>
                <w:bCs w:val="1"/>
                <w:color w:val="auto"/>
              </w:rPr>
              <w:t>8</w:t>
            </w:r>
          </w:p>
        </w:tc>
        <w:tc>
          <w:tcPr>
            <w:tcW w:w="7620" w:type="dxa"/>
            <w:vAlign w:val="bottom"/>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675,315.68</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840" w:hanging="470"/>
        <w:spacing w:after="0"/>
        <w:tabs>
          <w:tab w:leader="none" w:pos="8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675,315.68</w:t>
      </w:r>
    </w:p>
    <w:p>
      <w:pPr>
        <w:spacing w:after="0" w:line="11" w:lineRule="exact"/>
        <w:rPr>
          <w:sz w:val="20"/>
          <w:szCs w:val="20"/>
          <w:color w:val="auto"/>
        </w:rPr>
      </w:pPr>
    </w:p>
    <w:p>
      <w:pPr>
        <w:ind w:left="840" w:hanging="515"/>
        <w:spacing w:after="0"/>
        <w:tabs>
          <w:tab w:leader="none" w:pos="840" w:val="left"/>
        </w:tabs>
        <w:numPr>
          <w:ilvl w:val="0"/>
          <w:numId w:val="9"/>
        </w:numPr>
        <w:rPr>
          <w:rFonts w:ascii="Arial" w:cs="Arial" w:eastAsia="Arial" w:hAnsi="Arial"/>
          <w:sz w:val="36"/>
          <w:szCs w:val="36"/>
          <w:b w:val="1"/>
          <w:bCs w:val="1"/>
          <w:color w:val="auto"/>
          <w:vertAlign w:val="superscript"/>
        </w:rPr>
      </w:pPr>
      <w:r>
        <w:rPr>
          <w:rFonts w:ascii="Arial" w:cs="Arial" w:eastAsia="Arial" w:hAnsi="Arial"/>
          <w:sz w:val="18"/>
          <w:szCs w:val="18"/>
          <w:color w:val="auto"/>
        </w:rPr>
        <w:t xml:space="preserve">CHECK IF THE AGGREGATE AMOUNT IN ROW (9) EXCLUDES CERTAIN SHARES </w:t>
      </w:r>
      <w:r>
        <w:rPr>
          <w:rFonts w:ascii="Arial" w:cs="Arial" w:eastAsia="Arial" w:hAnsi="Arial"/>
          <w:sz w:val="21"/>
          <w:szCs w:val="21"/>
          <w:color w:val="auto"/>
        </w:rPr>
        <w:t>o</w:t>
      </w:r>
    </w:p>
    <w:p>
      <w:pPr>
        <w:spacing w:after="0" w:line="45" w:lineRule="exact"/>
        <w:rPr>
          <w:rFonts w:ascii="Arial" w:cs="Arial" w:eastAsia="Arial" w:hAnsi="Arial"/>
          <w:sz w:val="36"/>
          <w:szCs w:val="36"/>
          <w:b w:val="1"/>
          <w:bCs w:val="1"/>
          <w:color w:val="auto"/>
          <w:vertAlign w:val="superscript"/>
        </w:rPr>
      </w:pPr>
    </w:p>
    <w:p>
      <w:pPr>
        <w:ind w:left="840" w:right="5420" w:hanging="510"/>
        <w:spacing w:after="0" w:line="403" w:lineRule="auto"/>
        <w:tabs>
          <w:tab w:leader="none" w:pos="8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6.4%</w:t>
      </w:r>
    </w:p>
    <w:p>
      <w:pPr>
        <w:spacing w:after="0" w:line="4" w:lineRule="exact"/>
        <w:rPr>
          <w:rFonts w:ascii="Arial" w:cs="Arial" w:eastAsia="Arial" w:hAnsi="Arial"/>
          <w:sz w:val="18"/>
          <w:szCs w:val="18"/>
          <w:b w:val="1"/>
          <w:bCs w:val="1"/>
          <w:color w:val="auto"/>
        </w:rPr>
      </w:pPr>
    </w:p>
    <w:p>
      <w:pPr>
        <w:ind w:left="840" w:right="7980" w:hanging="515"/>
        <w:spacing w:after="0" w:line="528" w:lineRule="auto"/>
        <w:tabs>
          <w:tab w:leader="none" w:pos="8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TYPE OF REPORTING PERSON EP</w:t>
      </w:r>
    </w:p>
    <w:p>
      <w:pPr>
        <w:sectPr>
          <w:pgSz w:w="11900" w:h="16838" w:orient="portrait"/>
          <w:cols w:equalWidth="0" w:num="1">
            <w:col w:w="11320"/>
          </w:cols>
          <w:pgMar w:left="360" w:top="795"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(a) Name of Issuer:</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Hawkins, Inc.</w:t>
      </w:r>
    </w:p>
    <w:p>
      <w:pPr>
        <w:spacing w:after="0" w:line="238" w:lineRule="exact"/>
        <w:rPr>
          <w:sz w:val="20"/>
          <w:szCs w:val="20"/>
          <w:color w:val="auto"/>
        </w:rPr>
      </w:pPr>
    </w:p>
    <w:p>
      <w:pPr>
        <w:ind w:left="1300" w:right="7040" w:hanging="644"/>
        <w:spacing w:after="0" w:line="258" w:lineRule="auto"/>
        <w:tabs>
          <w:tab w:leader="none" w:pos="89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Issuer’s Principal Executive Offices: 2381 Rosegate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Roseville, MN 55113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(a) Name of Person Filing:</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ind w:left="1300"/>
        <w:spacing w:after="0"/>
        <w:rPr>
          <w:sz w:val="20"/>
          <w:szCs w:val="20"/>
          <w:color w:val="auto"/>
        </w:rPr>
      </w:pPr>
      <w:r>
        <w:rPr>
          <w:rFonts w:ascii="Arial" w:cs="Arial" w:eastAsia="Arial" w:hAnsi="Arial"/>
          <w:sz w:val="18"/>
          <w:szCs w:val="18"/>
          <w:color w:val="auto"/>
        </w:rPr>
        <w:t>Hawkins, Inc. Employee Stock Ownership Plan and Trust</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Hawkins, Inc. Employee Stock Ownership Plan for Certain Collectively Bargained Employees and Trust</w:t>
      </w:r>
    </w:p>
    <w:p>
      <w:pPr>
        <w:spacing w:after="0" w:line="238" w:lineRule="exact"/>
        <w:rPr>
          <w:sz w:val="20"/>
          <w:szCs w:val="20"/>
          <w:color w:val="auto"/>
        </w:rPr>
      </w:pPr>
    </w:p>
    <w:p>
      <w:pPr>
        <w:ind w:left="1300" w:right="6180" w:hanging="644"/>
        <w:spacing w:after="0" w:line="258" w:lineRule="auto"/>
        <w:tabs>
          <w:tab w:leader="none" w:pos="89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c/o Hawkins, Inc.</w:t>
      </w:r>
    </w:p>
    <w:p>
      <w:pPr>
        <w:spacing w:after="0" w:line="1" w:lineRule="exact"/>
        <w:rPr>
          <w:rFonts w:ascii="Arial" w:cs="Arial" w:eastAsia="Arial" w:hAnsi="Arial"/>
          <w:sz w:val="18"/>
          <w:szCs w:val="18"/>
          <w:color w:val="auto"/>
        </w:rPr>
      </w:pPr>
    </w:p>
    <w:p>
      <w:pPr>
        <w:ind w:left="1300" w:right="8540"/>
        <w:spacing w:after="0" w:line="323" w:lineRule="auto"/>
        <w:rPr>
          <w:rFonts w:ascii="Arial" w:cs="Arial" w:eastAsia="Arial" w:hAnsi="Arial"/>
          <w:sz w:val="18"/>
          <w:szCs w:val="18"/>
          <w:color w:val="auto"/>
        </w:rPr>
      </w:pPr>
      <w:r>
        <w:rPr>
          <w:rFonts w:ascii="Arial" w:cs="Arial" w:eastAsia="Arial" w:hAnsi="Arial"/>
          <w:sz w:val="16"/>
          <w:szCs w:val="16"/>
          <w:color w:val="auto"/>
        </w:rPr>
        <w:t>2381 Rosegate Roseville, MN 55113</w:t>
      </w:r>
    </w:p>
    <w:p>
      <w:pPr>
        <w:spacing w:after="0" w:line="165"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Minnesota</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Title of Class of Securities: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Stock, Par Value $.05 per share</w:t>
      </w:r>
    </w:p>
    <w:p>
      <w:pPr>
        <w:spacing w:after="0" w:line="238" w:lineRule="exact"/>
        <w:rPr>
          <w:sz w:val="20"/>
          <w:szCs w:val="20"/>
          <w:color w:val="auto"/>
        </w:rPr>
      </w:pPr>
    </w:p>
    <w:p>
      <w:pPr>
        <w:jc w:val="right"/>
        <w:ind w:left="1300" w:right="9300" w:hanging="644"/>
        <w:spacing w:after="0" w:line="381" w:lineRule="auto"/>
        <w:tabs>
          <w:tab w:leader="none" w:pos="896" w:val="left"/>
        </w:tabs>
        <w:numPr>
          <w:ilvl w:val="0"/>
          <w:numId w:val="12"/>
        </w:numPr>
        <w:rPr>
          <w:rFonts w:ascii="Arial" w:cs="Arial" w:eastAsia="Arial" w:hAnsi="Arial"/>
          <w:sz w:val="15"/>
          <w:szCs w:val="15"/>
          <w:color w:val="auto"/>
        </w:rPr>
      </w:pPr>
      <w:r>
        <w:rPr>
          <w:rFonts w:ascii="Arial" w:cs="Arial" w:eastAsia="Arial" w:hAnsi="Arial"/>
          <w:sz w:val="15"/>
          <w:szCs w:val="15"/>
          <w:color w:val="auto"/>
        </w:rPr>
        <w:t>CUSIP Number: 420261109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 240.13d-1(b) or 240.13d-2(b) or (c), check whether the person filing is a:</w:t>
      </w:r>
    </w:p>
    <w:p>
      <w:pPr>
        <w:spacing w:after="0" w:line="251" w:lineRule="exact"/>
        <w:rPr>
          <w:sz w:val="20"/>
          <w:szCs w:val="20"/>
          <w:color w:val="auto"/>
        </w:rPr>
      </w:pPr>
    </w:p>
    <w:p>
      <w:pPr>
        <w:ind w:left="900" w:hanging="24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8"/>
          <w:szCs w:val="18"/>
          <w:color w:val="auto"/>
        </w:rPr>
        <w:t>Broker or dealer registered under section 15 of the Act;</w:t>
      </w:r>
    </w:p>
    <w:p>
      <w:pPr>
        <w:spacing w:after="0" w:line="179" w:lineRule="exact"/>
        <w:rPr>
          <w:rFonts w:ascii="Arial" w:cs="Arial" w:eastAsia="Arial" w:hAnsi="Arial"/>
          <w:sz w:val="18"/>
          <w:szCs w:val="18"/>
          <w:color w:val="auto"/>
        </w:rPr>
      </w:pPr>
    </w:p>
    <w:p>
      <w:pPr>
        <w:ind w:left="920" w:hanging="264"/>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8"/>
          <w:szCs w:val="18"/>
          <w:color w:val="auto"/>
        </w:rPr>
        <w:t>Bank as defined in section 3(a)(6) of the Act;</w:t>
      </w:r>
    </w:p>
    <w:p>
      <w:pPr>
        <w:spacing w:after="0" w:line="192" w:lineRule="exact"/>
        <w:rPr>
          <w:rFonts w:ascii="Arial" w:cs="Arial" w:eastAsia="Arial" w:hAnsi="Arial"/>
          <w:sz w:val="18"/>
          <w:szCs w:val="18"/>
          <w:color w:val="auto"/>
        </w:rPr>
      </w:pPr>
    </w:p>
    <w:p>
      <w:pPr>
        <w:ind w:left="900" w:hanging="24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8"/>
          <w:szCs w:val="18"/>
          <w:color w:val="auto"/>
        </w:rPr>
        <w:t>Insurance company as defined in section 3(a)(19) of the Act;</w:t>
      </w:r>
    </w:p>
    <w:p>
      <w:pPr>
        <w:spacing w:after="0" w:line="179" w:lineRule="exact"/>
        <w:rPr>
          <w:rFonts w:ascii="Arial" w:cs="Arial" w:eastAsia="Arial" w:hAnsi="Arial"/>
          <w:sz w:val="18"/>
          <w:szCs w:val="18"/>
          <w:color w:val="auto"/>
        </w:rPr>
      </w:pPr>
    </w:p>
    <w:p>
      <w:pPr>
        <w:ind w:left="920" w:hanging="264"/>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8"/>
          <w:szCs w:val="18"/>
          <w:color w:val="auto"/>
        </w:rPr>
        <w:t>Investment company registered under section 8 of the Investment Company Act of 1940;</w:t>
      </w:r>
    </w:p>
    <w:p>
      <w:pPr>
        <w:spacing w:after="0" w:line="179" w:lineRule="exact"/>
        <w:rPr>
          <w:rFonts w:ascii="Arial" w:cs="Arial" w:eastAsia="Arial" w:hAnsi="Arial"/>
          <w:sz w:val="18"/>
          <w:szCs w:val="18"/>
          <w:color w:val="auto"/>
        </w:rPr>
      </w:pPr>
    </w:p>
    <w:p>
      <w:pPr>
        <w:ind w:left="900" w:hanging="24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8"/>
          <w:szCs w:val="18"/>
          <w:color w:val="auto"/>
        </w:rPr>
        <w:t>An investment adviser in accordance with § 240.13d-1(b)(1)(ii)(E);</w:t>
      </w:r>
    </w:p>
    <w:p>
      <w:pPr>
        <w:spacing w:after="0" w:line="137" w:lineRule="exact"/>
        <w:rPr>
          <w:rFonts w:ascii="Arial" w:cs="Arial" w:eastAsia="Arial" w:hAnsi="Arial"/>
          <w:sz w:val="18"/>
          <w:szCs w:val="18"/>
          <w:color w:val="auto"/>
        </w:rPr>
      </w:pPr>
    </w:p>
    <w:p>
      <w:pPr>
        <w:ind w:left="880" w:hanging="224"/>
        <w:spacing w:after="0" w:line="242" w:lineRule="exact"/>
        <w:tabs>
          <w:tab w:leader="none" w:pos="880" w:val="left"/>
        </w:tabs>
        <w:numPr>
          <w:ilvl w:val="0"/>
          <w:numId w:val="13"/>
        </w:numPr>
        <w:rPr>
          <w:rFonts w:ascii="Arial" w:cs="Arial" w:eastAsia="Arial" w:hAnsi="Arial"/>
          <w:sz w:val="18"/>
          <w:szCs w:val="18"/>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An employee benefit plan or endowment fund in accordance with § 240.13d</w:t>
      </w:r>
      <w:r>
        <w:rPr>
          <w:rFonts w:ascii="MS PGothic" w:cs="MS PGothic" w:eastAsia="MS PGothic" w:hAnsi="MS PGothic"/>
          <w:sz w:val="18"/>
          <w:szCs w:val="18"/>
          <w:color w:val="auto"/>
        </w:rPr>
        <w:t>‑</w:t>
      </w:r>
      <w:r>
        <w:rPr>
          <w:rFonts w:ascii="Arial" w:cs="Arial" w:eastAsia="Arial" w:hAnsi="Arial"/>
          <w:sz w:val="18"/>
          <w:szCs w:val="18"/>
          <w:color w:val="auto"/>
        </w:rPr>
        <w:t>1(b)(1)(ii)(F);</w:t>
      </w:r>
    </w:p>
    <w:p>
      <w:pPr>
        <w:spacing w:after="0" w:line="245" w:lineRule="exact"/>
        <w:rPr>
          <w:rFonts w:ascii="Arial" w:cs="Arial" w:eastAsia="Arial" w:hAnsi="Arial"/>
          <w:sz w:val="18"/>
          <w:szCs w:val="18"/>
          <w:color w:val="auto"/>
        </w:rPr>
      </w:pPr>
    </w:p>
    <w:p>
      <w:pPr>
        <w:ind w:left="920" w:hanging="264"/>
        <w:spacing w:after="0" w:line="253" w:lineRule="exact"/>
        <w:tabs>
          <w:tab w:leader="none" w:pos="920"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8"/>
          <w:szCs w:val="18"/>
          <w:color w:val="auto"/>
        </w:rPr>
        <w:t>A parent holding company or control person in accordance with § 240.13d</w:t>
      </w:r>
      <w:r>
        <w:rPr>
          <w:rFonts w:ascii="MS PGothic" w:cs="MS PGothic" w:eastAsia="MS PGothic" w:hAnsi="MS PGothic"/>
          <w:sz w:val="18"/>
          <w:szCs w:val="18"/>
          <w:color w:val="auto"/>
        </w:rPr>
        <w:t>‑</w:t>
      </w:r>
      <w:r>
        <w:rPr>
          <w:rFonts w:ascii="Arial" w:cs="Arial" w:eastAsia="Arial" w:hAnsi="Arial"/>
          <w:sz w:val="18"/>
          <w:szCs w:val="18"/>
          <w:color w:val="auto"/>
        </w:rPr>
        <w:t>1(b)(1)(ii)(G);</w:t>
      </w:r>
    </w:p>
    <w:p>
      <w:pPr>
        <w:spacing w:after="0" w:line="179" w:lineRule="exact"/>
        <w:rPr>
          <w:rFonts w:ascii="Arial" w:cs="Arial" w:eastAsia="Arial" w:hAnsi="Arial"/>
          <w:sz w:val="18"/>
          <w:szCs w:val="18"/>
          <w:color w:val="auto"/>
        </w:rPr>
      </w:pPr>
    </w:p>
    <w:p>
      <w:pPr>
        <w:ind w:left="920" w:hanging="264"/>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8"/>
          <w:szCs w:val="18"/>
          <w:color w:val="auto"/>
        </w:rPr>
        <w:t>A savings association as defined in Section 3(b) of the Federal Deposit Insurance Act;</w:t>
      </w:r>
    </w:p>
    <w:p>
      <w:pPr>
        <w:spacing w:after="0" w:line="192" w:lineRule="exact"/>
        <w:rPr>
          <w:rFonts w:ascii="Arial" w:cs="Arial" w:eastAsia="Arial" w:hAnsi="Arial"/>
          <w:sz w:val="18"/>
          <w:szCs w:val="18"/>
          <w:color w:val="auto"/>
        </w:rPr>
      </w:pPr>
    </w:p>
    <w:p>
      <w:pPr>
        <w:ind w:left="1620" w:right="2720" w:hanging="964"/>
        <w:spacing w:after="0" w:line="220" w:lineRule="auto"/>
        <w:tabs>
          <w:tab w:leader="none" w:pos="863"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8"/>
          <w:szCs w:val="18"/>
          <w:color w:val="auto"/>
        </w:rPr>
        <w:t>A church plan that is excluded from the definition of an investment company under section 3(c)(14) of the</w:t>
      </w:r>
      <w:r>
        <w:rPr>
          <w:rFonts w:ascii="Arial" w:cs="Arial" w:eastAsia="Arial" w:hAnsi="Arial"/>
          <w:sz w:val="22"/>
          <w:szCs w:val="22"/>
          <w:color w:val="auto"/>
        </w:rPr>
        <w:t xml:space="preserve"> </w:t>
      </w:r>
      <w:r>
        <w:rPr>
          <w:rFonts w:ascii="Arial" w:cs="Arial" w:eastAsia="Arial" w:hAnsi="Arial"/>
          <w:sz w:val="18"/>
          <w:szCs w:val="18"/>
          <w:color w:val="auto"/>
        </w:rPr>
        <w:t>Investment Company Act;</w:t>
      </w:r>
    </w:p>
    <w:p>
      <w:pPr>
        <w:spacing w:after="0" w:line="252" w:lineRule="exact"/>
        <w:rPr>
          <w:rFonts w:ascii="Arial" w:cs="Arial" w:eastAsia="Arial" w:hAnsi="Arial"/>
          <w:sz w:val="18"/>
          <w:szCs w:val="18"/>
          <w:color w:val="auto"/>
        </w:rPr>
      </w:pPr>
    </w:p>
    <w:p>
      <w:pPr>
        <w:ind w:left="880" w:hanging="224"/>
        <w:spacing w:after="0" w:line="253" w:lineRule="exact"/>
        <w:tabs>
          <w:tab w:leader="none" w:pos="880"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8"/>
          <w:szCs w:val="18"/>
          <w:color w:val="auto"/>
        </w:rPr>
        <w:t>A non-U.S. institution in accordance with § 240.13d</w:t>
      </w:r>
      <w:r>
        <w:rPr>
          <w:rFonts w:ascii="MS PGothic" w:cs="MS PGothic" w:eastAsia="MS PGothic" w:hAnsi="MS PGothic"/>
          <w:sz w:val="18"/>
          <w:szCs w:val="18"/>
          <w:color w:val="auto"/>
        </w:rPr>
        <w:t>‑</w:t>
      </w:r>
      <w:r>
        <w:rPr>
          <w:rFonts w:ascii="Arial" w:cs="Arial" w:eastAsia="Arial" w:hAnsi="Arial"/>
          <w:sz w:val="18"/>
          <w:szCs w:val="18"/>
          <w:color w:val="auto"/>
        </w:rPr>
        <w:t>1(b)(1)(ii)(J);</w:t>
      </w:r>
    </w:p>
    <w:p>
      <w:pPr>
        <w:spacing w:after="0" w:line="200" w:lineRule="exact"/>
        <w:rPr>
          <w:sz w:val="20"/>
          <w:szCs w:val="20"/>
          <w:color w:val="auto"/>
        </w:rPr>
      </w:pPr>
    </w:p>
    <w:p>
      <w:pPr>
        <w:spacing w:after="0" w:line="201" w:lineRule="exact"/>
        <w:rPr>
          <w:sz w:val="20"/>
          <w:szCs w:val="20"/>
          <w:color w:val="auto"/>
        </w:rPr>
      </w:pPr>
    </w:p>
    <w:p>
      <w:pPr>
        <w:ind w:firstLine="8"/>
        <w:spacing w:after="0" w:line="278" w:lineRule="auto"/>
        <w:tabs>
          <w:tab w:leader="none" w:pos="8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The Trustee of the Hawkins, Inc. Employee Stock Ownership Plan and Trust and the Hawkins, Inc. Employee Stock Ownership Plan for Certain Collectively Bargained Employees and Trust (together, the “ESOP”) is BMO Harris Bank N.A. The ESOP allows plan participants to direct voting of shares allocated to their plan accounts, and all shares held by the ESOP and reported on this Schedule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as to all shares reported on this Schedule. The Trustee also has limited dispositive power with respect to all shares reported on this Schedule, reflecting a requirement that the assets of the ESOP must primarily consist of shares of the Issuer’s stock. The Trustee disclaims beneficial ownership of the shares attributed to it in its capacity as Trustee of the ESOP.</w:t>
      </w:r>
    </w:p>
    <w:p>
      <w:pPr>
        <w:sectPr>
          <w:pgSz w:w="11900" w:h="16838" w:orient="portrait"/>
          <w:cols w:equalWidth="0" w:num="1">
            <w:col w:w="11400"/>
          </w:cols>
          <w:pgMar w:left="240" w:top="769" w:right="25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769" w:right="259" w:bottom="1440" w:gutter="0" w:footer="0" w:header="0"/>
          <w:type w:val="continuous"/>
        </w:sectPr>
      </w:pPr>
    </w:p>
    <w:bookmarkStart w:id="3" w:name="page4"/>
    <w:bookmarkEnd w:id="3"/>
    <w:p>
      <w:pPr>
        <w:ind w:left="1620" w:right="520" w:hanging="964"/>
        <w:spacing w:after="0" w:line="232" w:lineRule="exact"/>
        <w:tabs>
          <w:tab w:leader="none" w:pos="902" w:val="left"/>
        </w:tabs>
        <w:numPr>
          <w:ilvl w:val="0"/>
          <w:numId w:val="15"/>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8"/>
          <w:szCs w:val="18"/>
          <w:color w:val="auto"/>
        </w:rPr>
        <w:t>Group, in accordance with § 240.13d</w:t>
      </w:r>
      <w:r>
        <w:rPr>
          <w:rFonts w:ascii="MS PGothic" w:cs="MS PGothic" w:eastAsia="MS PGothic" w:hAnsi="MS PGothic"/>
          <w:sz w:val="18"/>
          <w:szCs w:val="18"/>
          <w:color w:val="auto"/>
        </w:rPr>
        <w:t>‑</w:t>
      </w:r>
      <w:r>
        <w:rPr>
          <w:rFonts w:ascii="Arial" w:cs="Arial" w:eastAsia="Arial" w:hAnsi="Arial"/>
          <w:sz w:val="18"/>
          <w:szCs w:val="18"/>
          <w:color w:val="auto"/>
        </w:rPr>
        <w:t>1(b)(1)(ii)(K). If filing as a non-U.S. institution in accordance with §240.13d-1(b)(1)(ii)(J), please</w:t>
      </w:r>
      <w:r>
        <w:rPr>
          <w:rFonts w:ascii="Arial" w:cs="Arial" w:eastAsia="Arial" w:hAnsi="Arial"/>
          <w:sz w:val="22"/>
          <w:szCs w:val="22"/>
          <w:color w:val="auto"/>
        </w:rPr>
        <w:t xml:space="preserve"> </w:t>
      </w:r>
      <w:r>
        <w:rPr>
          <w:rFonts w:ascii="Arial" w:cs="Arial" w:eastAsia="Arial" w:hAnsi="Arial"/>
          <w:sz w:val="18"/>
          <w:szCs w:val="18"/>
          <w:color w:val="auto"/>
        </w:rPr>
        <w:t>specify the type of institution: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beneficially owned: 675,315.68</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6.4%.</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 675,315.68.</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675,315.68.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plan participants and beneficiaries of the ESOP have the right to receive dividends from and the proceeds from the sale of the shares reported on this Schedule. No person has such a right with respect to more than 5% of the Issuer’s outstanding common stock.</w:t>
      </w:r>
    </w:p>
    <w:p>
      <w:pPr>
        <w:spacing w:after="0" w:line="166" w:lineRule="exact"/>
        <w:rPr>
          <w:sz w:val="20"/>
          <w:szCs w:val="20"/>
          <w:color w:val="auto"/>
        </w:rPr>
      </w:pPr>
    </w:p>
    <w:p>
      <w:pPr>
        <w:ind w:left="660" w:right="42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795"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February 7, 2020 </w:t>
      </w:r>
      <w:r>
        <w:rPr>
          <w:rFonts w:ascii="Arial" w:cs="Arial" w:eastAsia="Arial" w:hAnsi="Arial"/>
          <w:sz w:val="18"/>
          <w:szCs w:val="18"/>
          <w:b w:val="1"/>
          <w:bCs w:val="1"/>
          <w:color w:val="auto"/>
        </w:rPr>
        <w:t>HAWKINS, INC. EMPLOYEE STOCK OWNERSHIP TRUST</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HAWKINS, INC., AS ADMINISTRATOR</w:t>
      </w:r>
    </w:p>
    <w:p>
      <w:pPr>
        <w:spacing w:after="0" w:line="25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Richard G. Erstad</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Richard G. Erstad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Vice President, General Counsel and Secretary</w:t>
      </w:r>
    </w:p>
    <w:sectPr>
      <w:pgSz w:w="11900" w:h="16838" w:orient="portrait"/>
      <w:cols w:equalWidth="0" w:num="1">
        <w:col w:w="11160"/>
      </w:cols>
      <w:pgMar w:left="240" w:top="76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4"/>
      <w:numFmt w:val="bullet"/>
      <w:start w:val="1"/>
    </w:lvl>
  </w:abstractNum>
  <w:abstractNum w:abstractNumId="6">
    <w:nsid w:val="1190CDE7"/>
    <w:multiLevelType w:val="hybridMultilevel"/>
    <w:lvl w:ilvl="0">
      <w:lvlJc w:val="left"/>
      <w:lvlText w:val="5"/>
      <w:numFmt w:val="bullet"/>
      <w:start w:val="1"/>
    </w:lvl>
  </w:abstractNum>
  <w:abstractNum w:abstractNumId="7">
    <w:nsid w:val="66EF438D"/>
    <w:multiLevelType w:val="hybridMultilevel"/>
    <w:lvl w:ilvl="0">
      <w:lvlJc w:val="left"/>
      <w:lvlText w:val="9"/>
      <w:numFmt w:val="bullet"/>
      <w:start w:val="1"/>
    </w:lvl>
  </w:abstractNum>
  <w:abstractNum w:abstractNumId="8">
    <w:nsid w:val="140E0F76"/>
    <w:multiLevelType w:val="hybridMultilevel"/>
    <w:lvl w:ilvl="0">
      <w:lvlJc w:val="left"/>
      <w:lvlText w:val="%1"/>
      <w:numFmt w:val="decimal"/>
      <w:start w:val="10"/>
    </w:lvl>
  </w:abstractNum>
  <w:abstractNum w:abstractNumId="9">
    <w:nsid w:val="3352255A"/>
    <w:multiLevelType w:val="hybridMultilevel"/>
    <w:lvl w:ilvl="0">
      <w:lvlJc w:val="left"/>
      <w:lvlText w:val="(%1)"/>
      <w:numFmt w:val="lowerLetter"/>
      <w:start w:val="2"/>
    </w:lvl>
  </w:abstractNum>
  <w:abstractNum w:abstractNumId="10">
    <w:nsid w:val="109CF92E"/>
    <w:multiLevelType w:val="hybridMultilevel"/>
    <w:lvl w:ilvl="0">
      <w:lvlJc w:val="left"/>
      <w:lvlText w:val="(%1)"/>
      <w:numFmt w:val="lowerLetter"/>
      <w:start w:val="2"/>
    </w:lvl>
  </w:abstractNum>
  <w:abstractNum w:abstractNumId="11">
    <w:nsid w:val="DED7263"/>
    <w:multiLevelType w:val="hybridMultilevel"/>
    <w:lvl w:ilvl="0">
      <w:lvlJc w:val="left"/>
      <w:lvlText w:val="(%1)"/>
      <w:numFmt w:val="lowerLetter"/>
      <w:start w:val="5"/>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bullet"/>
      <w:start w:val="1"/>
    </w:lvl>
  </w:abstractNum>
  <w:abstractNum w:abstractNumId="14">
    <w:nsid w:val="41A7C4C9"/>
    <w:multiLevelType w:val="hybridMultilevel"/>
    <w:lvl w:ilvl="0">
      <w:lvlJc w:val="left"/>
      <w:lvlText w:val="(%1)"/>
      <w:numFmt w:val="lowerLetter"/>
      <w:start w:val="11"/>
    </w:lvl>
  </w:abstractNum>
  <w:abstractNum w:abstractNumId="15">
    <w:nsid w:val="6B68079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2020-02-07T15:33:37Z</dcterms:created>
  <dcterms:modified xsi:type="dcterms:W3CDTF">2020-02-07T15:33:37Z</dcterms:modified>
</cp:coreProperties>
</file>