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020" w:type="dxa"/>
            <w:vAlign w:val="bottom"/>
          </w:tcPr>
          <w:p>
            <w:pPr>
              <w:ind w:left="380"/>
              <w:spacing w:after="0"/>
              <w:rPr>
                <w:sz w:val="20"/>
                <w:szCs w:val="20"/>
                <w:color w:val="auto"/>
              </w:rPr>
            </w:pPr>
            <w:r>
              <w:rPr>
                <w:rFonts w:ascii="Arial" w:cs="Arial" w:eastAsia="Arial" w:hAnsi="Arial"/>
                <w:sz w:val="18"/>
                <w:szCs w:val="18"/>
                <w:color w:val="auto"/>
                <w:w w:val="96"/>
              </w:rPr>
              <w:t>Date of Report (Date of earliest event reported)</w:t>
            </w:r>
          </w:p>
        </w:tc>
        <w:tc>
          <w:tcPr>
            <w:tcW w:w="4400" w:type="dxa"/>
            <w:vAlign w:val="bottom"/>
          </w:tcPr>
          <w:p>
            <w:pPr>
              <w:jc w:val="right"/>
              <w:ind w:right="3270"/>
              <w:spacing w:after="0"/>
              <w:rPr>
                <w:sz w:val="20"/>
                <w:szCs w:val="20"/>
                <w:color w:val="auto"/>
              </w:rPr>
            </w:pPr>
            <w:r>
              <w:rPr>
                <w:rFonts w:ascii="Arial" w:cs="Arial" w:eastAsia="Arial" w:hAnsi="Arial"/>
                <w:sz w:val="18"/>
                <w:szCs w:val="18"/>
                <w:b w:val="1"/>
                <w:bCs w:val="1"/>
                <w:color w:val="auto"/>
                <w:w w:val="95"/>
              </w:rPr>
              <w:t>June 9, 2004</w:t>
            </w:r>
          </w:p>
        </w:tc>
        <w:tc>
          <w:tcPr>
            <w:tcW w:w="20" w:type="dxa"/>
            <w:vAlign w:val="bottom"/>
          </w:tcPr>
          <w:p>
            <w:pPr>
              <w:spacing w:after="0"/>
              <w:rPr>
                <w:sz w:val="20"/>
                <w:szCs w:val="20"/>
                <w:color w:val="auto"/>
              </w:rPr>
            </w:pPr>
          </w:p>
        </w:tc>
      </w:tr>
      <w:tr>
        <w:trPr>
          <w:trHeight w:val="566"/>
        </w:trPr>
        <w:tc>
          <w:tcPr>
            <w:tcW w:w="3000" w:type="dxa"/>
            <w:vAlign w:val="bottom"/>
          </w:tcPr>
          <w:p>
            <w:pPr>
              <w:spacing w:after="0"/>
              <w:rPr>
                <w:sz w:val="24"/>
                <w:szCs w:val="24"/>
                <w:color w:val="auto"/>
              </w:rPr>
            </w:pPr>
          </w:p>
        </w:tc>
        <w:tc>
          <w:tcPr>
            <w:tcW w:w="4020" w:type="dxa"/>
            <w:vAlign w:val="bottom"/>
          </w:tcPr>
          <w:p>
            <w:pPr>
              <w:jc w:val="center"/>
              <w:ind w:left="1318"/>
              <w:spacing w:after="0"/>
              <w:rPr>
                <w:sz w:val="20"/>
                <w:szCs w:val="20"/>
                <w:color w:val="auto"/>
              </w:rPr>
            </w:pPr>
            <w:r>
              <w:rPr>
                <w:rFonts w:ascii="Arial" w:cs="Arial" w:eastAsia="Arial" w:hAnsi="Arial"/>
                <w:sz w:val="32"/>
                <w:szCs w:val="32"/>
                <w:b w:val="1"/>
                <w:bCs w:val="1"/>
                <w:color w:val="auto"/>
                <w:w w:val="94"/>
              </w:rPr>
              <w:t>Hawkins, Inc.</w:t>
            </w: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420" w:type="dxa"/>
            <w:vAlign w:val="bottom"/>
            <w:gridSpan w:val="2"/>
          </w:tcPr>
          <w:p>
            <w:pPr>
              <w:jc w:val="center"/>
              <w:ind w:right="2890"/>
              <w:spacing w:after="0"/>
              <w:rPr>
                <w:sz w:val="20"/>
                <w:szCs w:val="20"/>
                <w:color w:val="auto"/>
              </w:rPr>
            </w:pPr>
            <w:r>
              <w:rPr>
                <w:rFonts w:ascii="Arial" w:cs="Arial" w:eastAsia="Arial" w:hAnsi="Arial"/>
                <w:sz w:val="18"/>
                <w:szCs w:val="18"/>
                <w:color w:val="auto"/>
                <w:w w:val="90"/>
              </w:rPr>
              <w:t>(Exact name of registrant as specified in its charter)</w:t>
            </w:r>
          </w:p>
        </w:tc>
        <w:tc>
          <w:tcPr>
            <w:tcW w:w="20" w:type="dxa"/>
            <w:vAlign w:val="bottom"/>
          </w:tcPr>
          <w:p>
            <w:pPr>
              <w:spacing w:after="0"/>
              <w:rPr>
                <w:sz w:val="20"/>
                <w:szCs w:val="20"/>
                <w:color w:val="auto"/>
              </w:rPr>
            </w:pPr>
          </w:p>
        </w:tc>
      </w:tr>
      <w:tr>
        <w:trPr>
          <w:trHeight w:val="418"/>
        </w:trPr>
        <w:tc>
          <w:tcPr>
            <w:tcW w:w="300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Minnesota</w:t>
            </w:r>
          </w:p>
        </w:tc>
        <w:tc>
          <w:tcPr>
            <w:tcW w:w="4020" w:type="dxa"/>
            <w:vAlign w:val="bottom"/>
          </w:tcPr>
          <w:p>
            <w:pPr>
              <w:jc w:val="center"/>
              <w:ind w:left="1338"/>
              <w:spacing w:after="0"/>
              <w:rPr>
                <w:sz w:val="20"/>
                <w:szCs w:val="20"/>
                <w:color w:val="auto"/>
              </w:rPr>
            </w:pPr>
            <w:r>
              <w:rPr>
                <w:rFonts w:ascii="Arial" w:cs="Arial" w:eastAsia="Arial" w:hAnsi="Arial"/>
                <w:sz w:val="18"/>
                <w:szCs w:val="18"/>
                <w:b w:val="1"/>
                <w:bCs w:val="1"/>
                <w:color w:val="auto"/>
                <w:w w:val="89"/>
              </w:rPr>
              <w:t>0-7647</w:t>
            </w:r>
          </w:p>
        </w:tc>
        <w:tc>
          <w:tcPr>
            <w:tcW w:w="4400" w:type="dxa"/>
            <w:vAlign w:val="bottom"/>
          </w:tcPr>
          <w:p>
            <w:pPr>
              <w:jc w:val="right"/>
              <w:ind w:right="1290"/>
              <w:spacing w:after="0"/>
              <w:rPr>
                <w:sz w:val="20"/>
                <w:szCs w:val="20"/>
                <w:color w:val="auto"/>
              </w:rPr>
            </w:pPr>
            <w:r>
              <w:rPr>
                <w:rFonts w:ascii="Arial" w:cs="Arial" w:eastAsia="Arial" w:hAnsi="Arial"/>
                <w:sz w:val="18"/>
                <w:szCs w:val="18"/>
                <w:b w:val="1"/>
                <w:bCs w:val="1"/>
                <w:color w:val="auto"/>
              </w:rPr>
              <w:t>41-0771293</w:t>
            </w:r>
          </w:p>
        </w:tc>
        <w:tc>
          <w:tcPr>
            <w:tcW w:w="20" w:type="dxa"/>
            <w:vAlign w:val="bottom"/>
          </w:tcPr>
          <w:p>
            <w:pPr>
              <w:spacing w:after="0"/>
              <w:rPr>
                <w:sz w:val="24"/>
                <w:szCs w:val="24"/>
                <w:color w:val="auto"/>
              </w:rPr>
            </w:pPr>
          </w:p>
        </w:tc>
      </w:tr>
      <w:tr>
        <w:trPr>
          <w:trHeight w:val="216"/>
        </w:trPr>
        <w:tc>
          <w:tcPr>
            <w:tcW w:w="3000" w:type="dxa"/>
            <w:vAlign w:val="bottom"/>
          </w:tcPr>
          <w:p>
            <w:pPr>
              <w:jc w:val="center"/>
              <w:ind w:left="570"/>
              <w:spacing w:after="0"/>
              <w:rPr>
                <w:sz w:val="20"/>
                <w:szCs w:val="20"/>
                <w:color w:val="auto"/>
              </w:rPr>
            </w:pPr>
            <w:r>
              <w:rPr>
                <w:rFonts w:ascii="Arial" w:cs="Arial" w:eastAsia="Arial" w:hAnsi="Arial"/>
                <w:sz w:val="18"/>
                <w:szCs w:val="18"/>
                <w:color w:val="auto"/>
                <w:w w:val="92"/>
              </w:rPr>
              <w:t>(State of Incorporation)</w:t>
            </w:r>
          </w:p>
        </w:tc>
        <w:tc>
          <w:tcPr>
            <w:tcW w:w="4020" w:type="dxa"/>
            <w:vAlign w:val="bottom"/>
          </w:tcPr>
          <w:p>
            <w:pPr>
              <w:jc w:val="center"/>
              <w:ind w:left="1338"/>
              <w:spacing w:after="0"/>
              <w:rPr>
                <w:sz w:val="20"/>
                <w:szCs w:val="20"/>
                <w:color w:val="auto"/>
              </w:rPr>
            </w:pPr>
            <w:r>
              <w:rPr>
                <w:rFonts w:ascii="Arial" w:cs="Arial" w:eastAsia="Arial" w:hAnsi="Arial"/>
                <w:sz w:val="18"/>
                <w:szCs w:val="18"/>
                <w:color w:val="auto"/>
                <w:w w:val="92"/>
              </w:rPr>
              <w:t>(Commission File Number)</w:t>
            </w:r>
          </w:p>
        </w:tc>
        <w:tc>
          <w:tcPr>
            <w:tcW w:w="4400" w:type="dxa"/>
            <w:vAlign w:val="bottom"/>
          </w:tcPr>
          <w:p>
            <w:pPr>
              <w:jc w:val="center"/>
              <w:ind w:left="65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400" w:type="dxa"/>
            <w:vAlign w:val="bottom"/>
          </w:tcPr>
          <w:p>
            <w:pPr>
              <w:jc w:val="center"/>
              <w:ind w:left="65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14"/>
        </w:trPr>
        <w:tc>
          <w:tcPr>
            <w:tcW w:w="300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3100 East Hennepin Avenue</w:t>
            </w:r>
          </w:p>
        </w:tc>
        <w:tc>
          <w:tcPr>
            <w:tcW w:w="40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000" w:type="dxa"/>
            <w:vAlign w:val="bottom"/>
          </w:tcPr>
          <w:p>
            <w:pPr>
              <w:jc w:val="center"/>
              <w:ind w:left="570"/>
              <w:spacing w:after="0"/>
              <w:rPr>
                <w:sz w:val="20"/>
                <w:szCs w:val="20"/>
                <w:color w:val="auto"/>
              </w:rPr>
            </w:pPr>
            <w:r>
              <w:rPr>
                <w:rFonts w:ascii="Arial" w:cs="Arial" w:eastAsia="Arial" w:hAnsi="Arial"/>
                <w:sz w:val="18"/>
                <w:szCs w:val="18"/>
                <w:b w:val="1"/>
                <w:bCs w:val="1"/>
                <w:color w:val="auto"/>
                <w:w w:val="94"/>
              </w:rPr>
              <w:t>Minneapolis, MN</w:t>
            </w:r>
          </w:p>
        </w:tc>
        <w:tc>
          <w:tcPr>
            <w:tcW w:w="4020" w:type="dxa"/>
            <w:vAlign w:val="bottom"/>
          </w:tcPr>
          <w:p>
            <w:pPr>
              <w:spacing w:after="0"/>
              <w:rPr>
                <w:sz w:val="19"/>
                <w:szCs w:val="19"/>
                <w:color w:val="auto"/>
              </w:rPr>
            </w:pPr>
          </w:p>
        </w:tc>
        <w:tc>
          <w:tcPr>
            <w:tcW w:w="4400" w:type="dxa"/>
            <w:vAlign w:val="bottom"/>
          </w:tcPr>
          <w:p>
            <w:pPr>
              <w:jc w:val="right"/>
              <w:ind w:right="1510"/>
              <w:spacing w:after="0"/>
              <w:rPr>
                <w:sz w:val="20"/>
                <w:szCs w:val="20"/>
                <w:color w:val="auto"/>
              </w:rPr>
            </w:pPr>
            <w:r>
              <w:rPr>
                <w:rFonts w:ascii="Arial" w:cs="Arial" w:eastAsia="Arial" w:hAnsi="Arial"/>
                <w:sz w:val="18"/>
                <w:szCs w:val="18"/>
                <w:b w:val="1"/>
                <w:bCs w:val="1"/>
                <w:color w:val="auto"/>
              </w:rPr>
              <w:t>55413</w:t>
            </w:r>
          </w:p>
        </w:tc>
        <w:tc>
          <w:tcPr>
            <w:tcW w:w="20" w:type="dxa"/>
            <w:vAlign w:val="bottom"/>
          </w:tcPr>
          <w:p>
            <w:pPr>
              <w:spacing w:after="0"/>
              <w:rPr>
                <w:sz w:val="19"/>
                <w:szCs w:val="19"/>
                <w:color w:val="auto"/>
              </w:rPr>
            </w:pPr>
          </w:p>
        </w:tc>
      </w:tr>
      <w:tr>
        <w:trPr>
          <w:trHeight w:val="230"/>
        </w:trPr>
        <w:tc>
          <w:tcPr>
            <w:tcW w:w="7020" w:type="dxa"/>
            <w:vAlign w:val="bottom"/>
            <w:gridSpan w:val="2"/>
          </w:tcPr>
          <w:p>
            <w:pPr>
              <w:jc w:val="center"/>
              <w:ind w:right="3238"/>
              <w:spacing w:after="0"/>
              <w:rPr>
                <w:sz w:val="20"/>
                <w:szCs w:val="20"/>
                <w:color w:val="auto"/>
              </w:rPr>
            </w:pPr>
            <w:r>
              <w:rPr>
                <w:rFonts w:ascii="Arial" w:cs="Arial" w:eastAsia="Arial" w:hAnsi="Arial"/>
                <w:sz w:val="18"/>
                <w:szCs w:val="18"/>
                <w:color w:val="auto"/>
                <w:w w:val="92"/>
              </w:rPr>
              <w:t>(Address of Principal Executive Offices)</w:t>
            </w:r>
          </w:p>
        </w:tc>
        <w:tc>
          <w:tcPr>
            <w:tcW w:w="4400" w:type="dxa"/>
            <w:vAlign w:val="bottom"/>
          </w:tcPr>
          <w:p>
            <w:pPr>
              <w:jc w:val="center"/>
              <w:ind w:left="67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w w:val="91"/>
              </w:rPr>
              <w:t>Registrant’s Telephone Number, Including Area Code</w:t>
            </w:r>
          </w:p>
        </w:tc>
        <w:tc>
          <w:tcPr>
            <w:tcW w:w="4400" w:type="dxa"/>
            <w:vAlign w:val="bottom"/>
          </w:tcPr>
          <w:p>
            <w:pPr>
              <w:jc w:val="right"/>
              <w:ind w:right="2970"/>
              <w:spacing w:after="0"/>
              <w:rPr>
                <w:sz w:val="20"/>
                <w:szCs w:val="20"/>
                <w:color w:val="auto"/>
              </w:rPr>
            </w:pPr>
            <w:r>
              <w:rPr>
                <w:rFonts w:ascii="Arial" w:cs="Arial" w:eastAsia="Arial" w:hAnsi="Arial"/>
                <w:sz w:val="18"/>
                <w:szCs w:val="18"/>
                <w:b w:val="1"/>
                <w:bCs w:val="1"/>
                <w:color w:val="auto"/>
              </w:rPr>
              <w:t>(612) 331-6910</w:t>
            </w:r>
          </w:p>
        </w:tc>
        <w:tc>
          <w:tcPr>
            <w:tcW w:w="20" w:type="dxa"/>
            <w:vAlign w:val="bottom"/>
          </w:tcPr>
          <w:p>
            <w:pPr>
              <w:spacing w:after="0"/>
              <w:rPr>
                <w:sz w:val="24"/>
                <w:szCs w:val="24"/>
                <w:color w:val="auto"/>
              </w:rPr>
            </w:pPr>
          </w:p>
        </w:tc>
      </w:tr>
      <w:tr>
        <w:trPr>
          <w:trHeight w:val="250"/>
        </w:trPr>
        <w:tc>
          <w:tcPr>
            <w:tcW w:w="30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00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4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0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Exhibit 99 - Press Release, dated June 9, 2004, announcing financial results of Hawkins, Inc. for its fourth quarter and year ended March 28, 2004.</w:t>
      </w:r>
    </w:p>
    <w:p>
      <w:pPr>
        <w:spacing w:after="0" w:line="244"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On June 9, 2004, Hawkins, Inc. issued a press release announcing financial results for its fourth quarter and year ended March 28, 2004. A copy of the press release issued by the Registrant is furnished herewith as Exhibit 99 hereto and is incorporated herein by reference.</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HAWKINS, INC.</w:t>
      </w:r>
    </w:p>
    <w:p>
      <w:pPr>
        <w:spacing w:after="0" w:line="200" w:lineRule="exact"/>
        <w:rPr>
          <w:sz w:val="24"/>
          <w:szCs w:val="24"/>
          <w:color w:val="auto"/>
        </w:rPr>
      </w:pPr>
    </w:p>
    <w:p>
      <w:pPr>
        <w:spacing w:after="0" w:line="241" w:lineRule="exact"/>
        <w:rPr>
          <w:sz w:val="24"/>
          <w:szCs w:val="24"/>
          <w:color w:val="auto"/>
        </w:rPr>
      </w:pPr>
    </w:p>
    <w:p>
      <w:pPr>
        <w:spacing w:after="0"/>
        <w:tabs>
          <w:tab w:leader="none" w:pos="6340" w:val="left"/>
          <w:tab w:leader="none" w:pos="8420" w:val="left"/>
        </w:tabs>
        <w:rPr>
          <w:sz w:val="20"/>
          <w:szCs w:val="20"/>
          <w:color w:val="auto"/>
        </w:rPr>
      </w:pPr>
      <w:r>
        <w:rPr>
          <w:rFonts w:ascii="Arial" w:cs="Arial" w:eastAsia="Arial" w:hAnsi="Arial"/>
          <w:sz w:val="18"/>
          <w:szCs w:val="18"/>
          <w:color w:val="auto"/>
        </w:rPr>
        <w:t>Date: June 9,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4"/>
          <w:szCs w:val="24"/>
          <w:color w:val="auto"/>
        </w:rPr>
      </w:pPr>
    </w:p>
    <w:p>
      <w:pPr>
        <w:jc w:val="center"/>
        <w:ind w:left="674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67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674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1" w:name="page2"/>
    <w:bookmarkEnd w:id="1"/>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RESULTS FOR FISCAL 2004</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Minneapolis, MN, June 9, 2004 – Hawkins, Inc. (Nasdaq: HWKN) today announced results for the 2004 fiscal year and fourth quarter ended March 28, 2004. Net income for fiscal 2004 was $5.8 million, equal to $0.56 per share, on sales of $107.0 million compared with fiscal 2003 net income of $8.4 million, earnings per share of $0.83, and sales of $104.0 million. Profitability was negatively impacted by the previously announced $3.0 million litigation settlement in the fourth quarter of fiscal 2004 related to the Company’s pharmaceutical business unit.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fourth quarter ended March 28, 2004, Hawkins had a net loss of $0.8 million and loss per share of $0.08 on sales of $24.4 million versus net income of $1.3 million and earnings per share of $0.14 on sales of $24.8 million for the comparable period a year ago.</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Chairman and Chief Executive Officer, John R. Hawkins, commented, “Hawkins’ Water Treatment segment sales increased by 8.1% versus a year ago mainly due to volume increases associated with favorable weather conditions and to a lesser extent the introduction of new product lines. Recently, the Company expanded its operations by opening a new distribution facility in Eldridge, Iowa during the first quarter of fiscal 2005.”</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Mr. Hawkins noted that Industrial segment sales were flat compared to the prior year as continued market pressures along several product lines offset increases in the selling prices and cost of caustic soda. As a result of these and other factors, overall gross margins were 26.1% compared to 26.9% a year ago.</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Selling, general and administrative expenses rose as the Company implements a new Enterprise Resource Planning System and incurs professional services fees to assist it in meeting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the Sarbanes-Oxley Act. These two areas of expense are expected to continue to increase significantly through fiscal 2005.</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strong liquidity and capital position are key contributors to our success,” Hawkins stated. “We ended fiscal 2004 with approximately $23.9 million in cash and marketable securities, strong, predictable cash flow and no debt.”</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30, 2003,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5160" w:type="dxa"/>
        <w:tblCellMar>
          <w:top w:w="0" w:type="dxa"/>
          <w:left w:w="0" w:type="dxa"/>
          <w:bottom w:w="0" w:type="dxa"/>
          <w:right w:w="0" w:type="dxa"/>
        </w:tblCellMar>
      </w:tblPr>
      <w:tr>
        <w:trPr>
          <w:trHeight w:val="171"/>
        </w:trPr>
        <w:tc>
          <w:tcPr>
            <w:tcW w:w="3200" w:type="dxa"/>
            <w:vAlign w:val="bottom"/>
            <w:gridSpan w:val="4"/>
          </w:tcPr>
          <w:p>
            <w:pPr>
              <w:ind w:left="980"/>
              <w:spacing w:after="0"/>
              <w:rPr>
                <w:sz w:val="20"/>
                <w:szCs w:val="20"/>
                <w:color w:val="auto"/>
              </w:rPr>
            </w:pPr>
            <w:r>
              <w:rPr>
                <w:rFonts w:ascii="Arial" w:cs="Arial" w:eastAsia="Arial" w:hAnsi="Arial"/>
                <w:sz w:val="14"/>
                <w:szCs w:val="14"/>
                <w:b w:val="1"/>
                <w:bCs w:val="1"/>
                <w:color w:val="auto"/>
              </w:rPr>
              <w:t>Quarters Ended</w:t>
            </w:r>
          </w:p>
        </w:tc>
        <w:tc>
          <w:tcPr>
            <w:tcW w:w="2960" w:type="dxa"/>
            <w:vAlign w:val="bottom"/>
            <w:gridSpan w:val="3"/>
          </w:tcPr>
          <w:p>
            <w:pPr>
              <w:ind w:left="900"/>
              <w:spacing w:after="0"/>
              <w:rPr>
                <w:sz w:val="20"/>
                <w:szCs w:val="20"/>
                <w:color w:val="auto"/>
              </w:rPr>
            </w:pPr>
            <w:r>
              <w:rPr>
                <w:rFonts w:ascii="Arial" w:cs="Arial" w:eastAsia="Arial" w:hAnsi="Arial"/>
                <w:sz w:val="14"/>
                <w:szCs w:val="14"/>
                <w:b w:val="1"/>
                <w:bCs w:val="1"/>
                <w:color w:val="auto"/>
              </w:rPr>
              <w:t>Fiscal Years Ended</w:t>
            </w:r>
          </w:p>
        </w:tc>
      </w:tr>
      <w:tr>
        <w:trPr>
          <w:trHeight w:val="119"/>
        </w:trPr>
        <w:tc>
          <w:tcPr>
            <w:tcW w:w="16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March 28,</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30,</w:t>
            </w:r>
          </w:p>
        </w:tc>
        <w:tc>
          <w:tcPr>
            <w:tcW w:w="220" w:type="dxa"/>
            <w:vAlign w:val="bottom"/>
          </w:tcPr>
          <w:p>
            <w:pPr>
              <w:spacing w:after="0"/>
              <w:rPr>
                <w:sz w:val="10"/>
                <w:szCs w:val="10"/>
                <w:color w:val="auto"/>
              </w:rPr>
            </w:pPr>
          </w:p>
        </w:tc>
        <w:tc>
          <w:tcPr>
            <w:tcW w:w="160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March 28,</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30,</w:t>
            </w:r>
          </w:p>
        </w:tc>
      </w:tr>
      <w:tr>
        <w:trPr>
          <w:trHeight w:val="171"/>
        </w:trPr>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2003</w:t>
            </w:r>
          </w:p>
        </w:tc>
      </w:tr>
    </w:tbl>
    <w:p>
      <w:pPr>
        <w:sectPr>
          <w:pgSz w:w="11900" w:h="16870"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24,364,443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24,753,448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107,028,131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104,004,611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19,083,300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18,799,858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79,053,842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76,046,759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5,953,590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27,974,289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27,957,852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3,944,819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3,620,708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16,793,094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14,890,640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(1,663,676)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2,332,882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8,181,195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13,067,212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(loss), net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(157,579)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825,689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(1,468,542)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2,175,303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9,006,884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13,430,172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(794,542)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1,339,303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5,751,884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8,430,172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10,216,688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 basic and diluted</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  #  #</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2019-12-11T18:01:45Z</dcterms:created>
  <dcterms:modified xsi:type="dcterms:W3CDTF">2019-12-11T18:01:45Z</dcterms:modified>
</cp:coreProperties>
</file>