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3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0" w:lineRule="exact"/>
        <w:rPr>
          <w:sz w:val="24"/>
          <w:szCs w:val="24"/>
          <w:color w:val="auto"/>
        </w:rPr>
      </w:pPr>
    </w:p>
    <w:p>
      <w:pPr>
        <w:spacing w:after="0" w:line="38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CURRENT REPORT</w:t>
      </w:r>
    </w:p>
    <w:p>
      <w:pPr>
        <w:spacing w:after="0" w:line="18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14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December 11, 2019</w:t>
      </w:r>
    </w:p>
    <w:p>
      <w:pPr>
        <w:spacing w:after="0" w:line="17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Hawkins,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420"/>
          </w:cols>
          <w:pgMar w:left="240" w:top="1044" w:right="239" w:bottom="1440" w:gutter="0" w:footer="0" w:header="0"/>
        </w:sectPr>
      </w:pPr>
    </w:p>
    <w:p>
      <w:pPr>
        <w:spacing w:after="0" w:line="232" w:lineRule="exact"/>
        <w:rPr>
          <w:sz w:val="24"/>
          <w:szCs w:val="24"/>
          <w:color w:val="auto"/>
        </w:rPr>
      </w:pPr>
    </w:p>
    <w:p>
      <w:pPr>
        <w:ind w:left="1680"/>
        <w:spacing w:after="0"/>
        <w:rPr>
          <w:sz w:val="20"/>
          <w:szCs w:val="20"/>
          <w:color w:val="auto"/>
        </w:rPr>
      </w:pPr>
      <w:r>
        <w:rPr>
          <w:rFonts w:ascii="Arial" w:cs="Arial" w:eastAsia="Arial" w:hAnsi="Arial"/>
          <w:sz w:val="16"/>
          <w:szCs w:val="16"/>
          <w:b w:val="1"/>
          <w:bCs w:val="1"/>
          <w:color w:val="auto"/>
        </w:rPr>
        <w:t>Minnesota</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0-7647</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41-0771293</w:t>
      </w:r>
    </w:p>
    <w:p>
      <w:pPr>
        <w:spacing w:after="0" w:line="82" w:lineRule="exact"/>
        <w:rPr>
          <w:sz w:val="24"/>
          <w:szCs w:val="24"/>
          <w:color w:val="auto"/>
        </w:rPr>
      </w:pPr>
    </w:p>
    <w:p>
      <w:pPr>
        <w:sectPr>
          <w:pgSz w:w="11900" w:h="16838" w:orient="portrait"/>
          <w:cols w:equalWidth="0" w:num="3">
            <w:col w:w="5020" w:space="720"/>
            <w:col w:w="2500" w:space="720"/>
            <w:col w:w="2460"/>
          </w:cols>
          <w:pgMar w:left="240" w:top="1044" w:right="239" w:bottom="1440" w:gutter="0" w:footer="0" w:header="0"/>
          <w:type w:val="continuous"/>
        </w:sectPr>
      </w:pPr>
    </w:p>
    <w:p>
      <w:pPr>
        <w:ind w:left="720"/>
        <w:spacing w:after="0"/>
        <w:rPr>
          <w:sz w:val="20"/>
          <w:szCs w:val="20"/>
          <w:color w:val="auto"/>
        </w:rPr>
      </w:pPr>
      <w:r>
        <w:rPr>
          <w:rFonts w:ascii="Arial" w:cs="Arial" w:eastAsia="Arial" w:hAnsi="Arial"/>
          <w:sz w:val="13"/>
          <w:szCs w:val="13"/>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No.)</w:t>
      </w:r>
    </w:p>
    <w:p>
      <w:pPr>
        <w:spacing w:after="0" w:line="200" w:lineRule="exact"/>
        <w:rPr>
          <w:sz w:val="24"/>
          <w:szCs w:val="24"/>
          <w:color w:val="auto"/>
        </w:rPr>
      </w:pPr>
    </w:p>
    <w:p>
      <w:pPr>
        <w:sectPr>
          <w:pgSz w:w="11900" w:h="16838" w:orient="portrait"/>
          <w:cols w:equalWidth="0" w:num="3">
            <w:col w:w="4440" w:space="720"/>
            <w:col w:w="2480" w:space="720"/>
            <w:col w:w="3060"/>
          </w:cols>
          <w:pgMar w:left="240" w:top="1044" w:right="239" w:bottom="1440" w:gutter="0" w:footer="0" w:header="0"/>
          <w:type w:val="continuous"/>
        </w:sectPr>
      </w:pPr>
    </w:p>
    <w:p>
      <w:pPr>
        <w:spacing w:after="0" w:line="20" w:lineRule="exact"/>
        <w:rPr>
          <w:sz w:val="24"/>
          <w:szCs w:val="24"/>
          <w:color w:val="auto"/>
        </w:rPr>
      </w:pPr>
    </w:p>
    <w:p>
      <w:pPr>
        <w:ind w:left="2640"/>
        <w:spacing w:after="0"/>
        <w:rPr>
          <w:sz w:val="20"/>
          <w:szCs w:val="20"/>
          <w:color w:val="auto"/>
        </w:rPr>
      </w:pPr>
      <w:r>
        <w:rPr>
          <w:rFonts w:ascii="Arial" w:cs="Arial" w:eastAsia="Arial" w:hAnsi="Arial"/>
          <w:sz w:val="16"/>
          <w:szCs w:val="16"/>
          <w:b w:val="1"/>
          <w:bCs w:val="1"/>
          <w:color w:val="auto"/>
        </w:rPr>
        <w:t>2381 Rosegate, Roseville, MN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55113</w:t>
      </w:r>
    </w:p>
    <w:p>
      <w:pPr>
        <w:spacing w:after="0" w:line="93" w:lineRule="exact"/>
        <w:rPr>
          <w:sz w:val="24"/>
          <w:szCs w:val="24"/>
          <w:color w:val="auto"/>
        </w:rPr>
      </w:pPr>
    </w:p>
    <w:p>
      <w:pPr>
        <w:sectPr>
          <w:pgSz w:w="11900" w:h="16838" w:orient="portrait"/>
          <w:cols w:equalWidth="0" w:num="2">
            <w:col w:w="8460" w:space="720"/>
            <w:col w:w="2240"/>
          </w:cols>
          <w:pgMar w:left="240" w:top="1044" w:right="239" w:bottom="1440" w:gutter="0" w:footer="0" w:header="0"/>
          <w:type w:val="continuous"/>
        </w:sectPr>
      </w:pPr>
    </w:p>
    <w:p>
      <w:pPr>
        <w:ind w:left="254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3" w:lineRule="exact"/>
        <w:rPr>
          <w:sz w:val="24"/>
          <w:szCs w:val="24"/>
          <w:color w:val="auto"/>
        </w:rPr>
      </w:pPr>
    </w:p>
    <w:p>
      <w:pPr>
        <w:sectPr>
          <w:pgSz w:w="11900" w:h="16838" w:orient="portrait"/>
          <w:cols w:equalWidth="0" w:num="2">
            <w:col w:w="8340" w:space="720"/>
            <w:col w:w="2360"/>
          </w:cols>
          <w:pgMar w:left="240" w:top="1044"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(612) 331-6910</w:t>
      </w:r>
    </w:p>
    <w:p>
      <w:pPr>
        <w:spacing w:after="0" w:line="200" w:lineRule="exact"/>
        <w:rPr>
          <w:sz w:val="24"/>
          <w:szCs w:val="24"/>
          <w:color w:val="auto"/>
        </w:rPr>
      </w:pPr>
    </w:p>
    <w:p>
      <w:pPr>
        <w:spacing w:after="0" w:line="380" w:lineRule="exact"/>
        <w:rPr>
          <w:sz w:val="24"/>
          <w:szCs w:val="24"/>
          <w:color w:val="auto"/>
        </w:rPr>
      </w:pPr>
    </w:p>
    <w:p>
      <w:pPr>
        <w:ind w:right="420" w:firstLine="446"/>
        <w:spacing w:after="0" w:line="262"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34" w:lineRule="exact"/>
        <w:rPr>
          <w:sz w:val="24"/>
          <w:szCs w:val="24"/>
          <w:color w:val="auto"/>
        </w:rPr>
      </w:pPr>
    </w:p>
    <w:p>
      <w:pPr>
        <w:ind w:left="260" w:hanging="234"/>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260" w:hanging="234"/>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260" w:hanging="234"/>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260" w:hanging="234"/>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44"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64" w:lineRule="exact"/>
        <w:rPr>
          <w:sz w:val="24"/>
          <w:szCs w:val="24"/>
          <w:color w:val="auto"/>
        </w:rPr>
      </w:pPr>
    </w:p>
    <w:tbl>
      <w:tblPr>
        <w:tblLayout w:type="fixed"/>
        <w:tblInd w:w="540" w:type="dxa"/>
        <w:tblCellMar>
          <w:top w:w="0" w:type="dxa"/>
          <w:left w:w="0" w:type="dxa"/>
          <w:bottom w:w="0" w:type="dxa"/>
          <w:right w:w="0" w:type="dxa"/>
        </w:tblCellMar>
      </w:tblPr>
      <w:tr>
        <w:trPr>
          <w:trHeight w:val="210"/>
        </w:trPr>
        <w:tc>
          <w:tcPr>
            <w:tcW w:w="3300" w:type="dxa"/>
            <w:vAlign w:val="bottom"/>
          </w:tcPr>
          <w:p>
            <w:pPr>
              <w:ind w:left="1180"/>
              <w:spacing w:after="0"/>
              <w:rPr>
                <w:sz w:val="20"/>
                <w:szCs w:val="20"/>
                <w:color w:val="auto"/>
              </w:rPr>
            </w:pPr>
            <w:r>
              <w:rPr>
                <w:rFonts w:ascii="Arial" w:cs="Arial" w:eastAsia="Arial" w:hAnsi="Arial"/>
                <w:sz w:val="16"/>
                <w:szCs w:val="16"/>
                <w:b w:val="1"/>
                <w:bCs w:val="1"/>
                <w:color w:val="auto"/>
              </w:rPr>
              <w:t>Title of each class</w:t>
            </w:r>
          </w:p>
        </w:tc>
        <w:tc>
          <w:tcPr>
            <w:tcW w:w="2560" w:type="dxa"/>
            <w:vAlign w:val="bottom"/>
          </w:tcPr>
          <w:p>
            <w:pPr>
              <w:jc w:val="center"/>
              <w:spacing w:after="0"/>
              <w:rPr>
                <w:sz w:val="20"/>
                <w:szCs w:val="20"/>
                <w:color w:val="auto"/>
              </w:rPr>
            </w:pPr>
            <w:r>
              <w:rPr>
                <w:rFonts w:ascii="Arial" w:cs="Arial" w:eastAsia="Arial" w:hAnsi="Arial"/>
                <w:sz w:val="16"/>
                <w:szCs w:val="16"/>
                <w:b w:val="1"/>
                <w:bCs w:val="1"/>
                <w:color w:val="auto"/>
                <w:w w:val="92"/>
              </w:rPr>
              <w:t>Trading Symbol(s)</w:t>
            </w:r>
          </w:p>
        </w:tc>
        <w:tc>
          <w:tcPr>
            <w:tcW w:w="4500" w:type="dxa"/>
            <w:vAlign w:val="bottom"/>
          </w:tcPr>
          <w:p>
            <w:pPr>
              <w:jc w:val="center"/>
              <w:ind w:right="179"/>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33"/>
        </w:trPr>
        <w:tc>
          <w:tcPr>
            <w:tcW w:w="330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4500" w:type="dxa"/>
            <w:vAlign w:val="bottom"/>
            <w:tcBorders>
              <w:bottom w:val="single" w:sz="8" w:color="auto"/>
            </w:tcBorders>
          </w:tcPr>
          <w:p>
            <w:pPr>
              <w:spacing w:after="0"/>
              <w:rPr>
                <w:sz w:val="2"/>
                <w:szCs w:val="2"/>
                <w:color w:val="auto"/>
              </w:rPr>
            </w:pPr>
          </w:p>
        </w:tc>
      </w:tr>
      <w:tr>
        <w:trPr>
          <w:trHeight w:val="217"/>
        </w:trPr>
        <w:tc>
          <w:tcPr>
            <w:tcW w:w="3300" w:type="dxa"/>
            <w:vAlign w:val="bottom"/>
          </w:tcPr>
          <w:p>
            <w:pPr>
              <w:spacing w:after="0"/>
              <w:rPr>
                <w:sz w:val="20"/>
                <w:szCs w:val="20"/>
                <w:color w:val="auto"/>
              </w:rPr>
            </w:pPr>
            <w:r>
              <w:rPr>
                <w:rFonts w:ascii="Arial" w:cs="Arial" w:eastAsia="Arial" w:hAnsi="Arial"/>
                <w:sz w:val="16"/>
                <w:szCs w:val="16"/>
                <w:color w:val="auto"/>
              </w:rPr>
              <w:t>Common Stock, par value $.05 per share</w:t>
            </w:r>
          </w:p>
        </w:tc>
        <w:tc>
          <w:tcPr>
            <w:tcW w:w="2560" w:type="dxa"/>
            <w:vAlign w:val="bottom"/>
          </w:tcPr>
          <w:p>
            <w:pPr>
              <w:jc w:val="center"/>
              <w:spacing w:after="0"/>
              <w:rPr>
                <w:sz w:val="20"/>
                <w:szCs w:val="20"/>
                <w:color w:val="auto"/>
              </w:rPr>
            </w:pPr>
            <w:r>
              <w:rPr>
                <w:rFonts w:ascii="Arial" w:cs="Arial" w:eastAsia="Arial" w:hAnsi="Arial"/>
                <w:sz w:val="16"/>
                <w:szCs w:val="16"/>
                <w:color w:val="auto"/>
              </w:rPr>
              <w:t>HWKN</w:t>
            </w:r>
          </w:p>
        </w:tc>
        <w:tc>
          <w:tcPr>
            <w:tcW w:w="4500" w:type="dxa"/>
            <w:vAlign w:val="bottom"/>
          </w:tcPr>
          <w:p>
            <w:pPr>
              <w:jc w:val="center"/>
              <w:ind w:right="179"/>
              <w:spacing w:after="0"/>
              <w:rPr>
                <w:sz w:val="20"/>
                <w:szCs w:val="20"/>
                <w:color w:val="auto"/>
              </w:rPr>
            </w:pPr>
            <w:r>
              <w:rPr>
                <w:rFonts w:ascii="Arial" w:cs="Arial" w:eastAsia="Arial" w:hAnsi="Arial"/>
                <w:sz w:val="16"/>
                <w:szCs w:val="16"/>
                <w:color w:val="auto"/>
                <w:w w:val="94"/>
              </w:rPr>
              <w:t>Nasdaq Stock Market LLC</w:t>
            </w:r>
          </w:p>
        </w:tc>
      </w:tr>
    </w:tbl>
    <w:p>
      <w:pPr>
        <w:spacing w:after="0" w:line="370"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Exchange Act (§240.12b-2 of this chapter).</w:t>
      </w:r>
    </w:p>
    <w:p>
      <w:pPr>
        <w:spacing w:after="0" w:line="165" w:lineRule="exact"/>
        <w:rPr>
          <w:sz w:val="24"/>
          <w:szCs w:val="24"/>
          <w:color w:val="auto"/>
        </w:rPr>
      </w:pPr>
    </w:p>
    <w:p>
      <w:pPr>
        <w:ind w:left="924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86"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420"/>
          </w:cols>
          <w:pgMar w:left="240" w:top="1044" w:right="239" w:bottom="1440" w:gutter="0" w:footer="0" w:header="0"/>
          <w:type w:val="continuous"/>
        </w:sectPr>
      </w:pPr>
    </w:p>
    <w:bookmarkStart w:id="1" w:name="page2"/>
    <w:bookmarkEnd w:id="1"/>
    <w:p>
      <w:pPr>
        <w:ind w:left="660" w:right="380" w:hanging="647"/>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93"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On December 11, 2019, Hawkins, Inc. announced that Thomas J. Keller, Vice President, Water Treatment, plans to retire from his position with our company. To facilitate a smooth transition, Mr. Keller is expected to continue in his current role until June 2020. The company expects to fill the position through internal candidates.</w:t>
      </w:r>
    </w:p>
    <w:p>
      <w:pPr>
        <w:sectPr>
          <w:pgSz w:w="11900" w:h="16838" w:orient="portrait"/>
          <w:cols w:equalWidth="0" w:num="1">
            <w:col w:w="11360"/>
          </w:cols>
          <w:pgMar w:left="240" w:top="891" w:right="299" w:bottom="1440" w:gutter="0" w:footer="0" w:header="0"/>
        </w:sectPr>
      </w:pPr>
    </w:p>
    <w:bookmarkStart w:id="2" w:name="page3"/>
    <w:bookmarkEnd w:id="2"/>
    <w:p>
      <w:pPr>
        <w:jc w:val="center"/>
        <w:ind w:right="-63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4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HAWKINS, INC.</w:t>
      </w:r>
    </w:p>
    <w:p>
      <w:pPr>
        <w:spacing w:after="0" w:line="117" w:lineRule="exact"/>
        <w:rPr>
          <w:sz w:val="20"/>
          <w:szCs w:val="20"/>
          <w:color w:val="auto"/>
        </w:rPr>
      </w:pPr>
    </w:p>
    <w:p>
      <w:pPr>
        <w:ind w:left="20"/>
        <w:spacing w:after="0"/>
        <w:tabs>
          <w:tab w:leader="none" w:pos="4620" w:val="left"/>
          <w:tab w:leader="none" w:pos="7440" w:val="left"/>
        </w:tabs>
        <w:rPr>
          <w:sz w:val="20"/>
          <w:szCs w:val="20"/>
          <w:color w:val="auto"/>
        </w:rPr>
      </w:pPr>
      <w:r>
        <w:rPr>
          <w:rFonts w:ascii="Arial" w:cs="Arial" w:eastAsia="Arial" w:hAnsi="Arial"/>
          <w:sz w:val="18"/>
          <w:szCs w:val="18"/>
          <w:color w:val="auto"/>
        </w:rPr>
        <w:t>Date: December 11,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Richard G. Erstad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3212465</wp:posOffset>
            </wp:positionH>
            <wp:positionV relativeFrom="paragraph">
              <wp:posOffset>48895</wp:posOffset>
            </wp:positionV>
            <wp:extent cx="40132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013200" cy="8890"/>
                    </a:xfrm>
                    <a:prstGeom prst="rect">
                      <a:avLst/>
                    </a:prstGeom>
                    <a:noFill/>
                  </pic:spPr>
                </pic:pic>
              </a:graphicData>
            </a:graphic>
          </wp:anchor>
        </w:drawing>
      </w:r>
    </w:p>
    <w:p>
      <w:pPr>
        <w:spacing w:after="0" w:line="84" w:lineRule="exact"/>
        <w:rPr>
          <w:sz w:val="20"/>
          <w:szCs w:val="20"/>
          <w:color w:val="auto"/>
        </w:rPr>
      </w:pPr>
    </w:p>
    <w:p>
      <w:pPr>
        <w:jc w:val="center"/>
        <w:ind w:left="5020"/>
        <w:spacing w:after="0"/>
        <w:rPr>
          <w:sz w:val="20"/>
          <w:szCs w:val="20"/>
          <w:color w:val="auto"/>
        </w:rPr>
      </w:pPr>
      <w:r>
        <w:rPr>
          <w:rFonts w:ascii="Arial" w:cs="Arial" w:eastAsia="Arial" w:hAnsi="Arial"/>
          <w:sz w:val="18"/>
          <w:szCs w:val="18"/>
          <w:color w:val="auto"/>
        </w:rPr>
        <w:t>Richard G. Erstad</w:t>
      </w:r>
    </w:p>
    <w:p>
      <w:pPr>
        <w:spacing w:after="0" w:line="63" w:lineRule="exact"/>
        <w:rPr>
          <w:sz w:val="20"/>
          <w:szCs w:val="20"/>
          <w:color w:val="auto"/>
        </w:rPr>
      </w:pPr>
    </w:p>
    <w:p>
      <w:pPr>
        <w:jc w:val="center"/>
        <w:ind w:left="5020"/>
        <w:spacing w:after="0"/>
        <w:rPr>
          <w:sz w:val="20"/>
          <w:szCs w:val="20"/>
          <w:color w:val="auto"/>
        </w:rPr>
      </w:pPr>
      <w:r>
        <w:rPr>
          <w:rFonts w:ascii="Arial" w:cs="Arial" w:eastAsia="Arial" w:hAnsi="Arial"/>
          <w:sz w:val="18"/>
          <w:szCs w:val="18"/>
          <w:color w:val="auto"/>
        </w:rPr>
        <w:t>Vice President, General Counsel and Secretary</w:t>
      </w:r>
    </w:p>
    <w:sectPr>
      <w:pgSz w:w="11900" w:h="16838" w:orient="portrait"/>
      <w:cols w:equalWidth="0" w:num="1">
        <w:col w:w="10800"/>
      </w:cols>
      <w:pgMar w:left="240" w:top="891" w:right="8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2019-12-11T08:22:47Z</dcterms:created>
  <dcterms:modified xsi:type="dcterms:W3CDTF">2019-12-11T08:22:47Z</dcterms:modified>
</cp:coreProperties>
</file>