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HAWKINS CHEMICAL,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420200 10 7</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CUSIP No.  420200 10 7</w:t>
            </w:r>
          </w:p>
        </w:tc>
        <w:tc>
          <w:tcPr>
            <w:tcW w:w="2220" w:type="dxa"/>
            <w:vAlign w:val="bottom"/>
          </w:tcPr>
          <w:p>
            <w:pPr>
              <w:ind w:left="640"/>
              <w:spacing w:after="0"/>
              <w:rPr>
                <w:sz w:val="20"/>
                <w:szCs w:val="20"/>
                <w:color w:val="auto"/>
              </w:rPr>
            </w:pPr>
            <w:r>
              <w:rPr>
                <w:rFonts w:ascii="Courier New" w:cs="Courier New" w:eastAsia="Courier New" w:hAnsi="Courier New"/>
                <w:sz w:val="18"/>
                <w:szCs w:val="18"/>
                <w:color w:val="auto"/>
              </w:rPr>
              <w:t>13G</w:t>
            </w:r>
          </w:p>
        </w:tc>
        <w:tc>
          <w:tcPr>
            <w:tcW w:w="3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2 of 7 Pages</w:t>
            </w:r>
          </w:p>
        </w:tc>
      </w:tr>
      <w:tr>
        <w:trPr>
          <w:trHeight w:val="203"/>
        </w:trPr>
        <w:tc>
          <w:tcPr>
            <w:tcW w:w="3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580" w:hanging="519"/>
        <w:spacing w:after="0" w:line="238" w:lineRule="auto"/>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Hawkins Chemical, Inc. Employee Stock Ownership Plan and Trust</w:t>
      </w:r>
    </w:p>
    <w:p>
      <w:pPr>
        <w:ind w:left="2540" w:hanging="531"/>
        <w:spacing w:after="0" w:line="238" w:lineRule="auto"/>
        <w:tabs>
          <w:tab w:leader="none" w:pos="2540" w:val="left"/>
        </w:tabs>
        <w:numPr>
          <w:ilvl w:val="3"/>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41-0771293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380" w:hanging="422"/>
        <w:spacing w:after="0" w:line="238" w:lineRule="auto"/>
        <w:tabs>
          <w:tab w:leader="none" w:pos="7380" w:val="left"/>
        </w:tabs>
        <w:numPr>
          <w:ilvl w:val="4"/>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380" w:hanging="422"/>
        <w:spacing w:after="0" w:line="238" w:lineRule="auto"/>
        <w:tabs>
          <w:tab w:leader="none" w:pos="7380" w:val="left"/>
        </w:tabs>
        <w:numPr>
          <w:ilvl w:val="4"/>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454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2,434,823  (b)</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WITH</w:t>
            </w:r>
          </w:p>
        </w:tc>
        <w:tc>
          <w:tcPr>
            <w:tcW w:w="126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540" w:type="dxa"/>
            <w:vAlign w:val="bottom"/>
          </w:tcPr>
          <w:p>
            <w:pPr>
              <w:jc w:val="right"/>
              <w:ind w:right="37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rPr>
                <w:sz w:val="17"/>
                <w:szCs w:val="17"/>
                <w:color w:val="auto"/>
              </w:rPr>
            </w:pPr>
          </w:p>
        </w:tc>
        <w:tc>
          <w:tcPr>
            <w:tcW w:w="5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rPr>
                <w:sz w:val="17"/>
                <w:szCs w:val="17"/>
                <w:color w:val="auto"/>
              </w:rPr>
            </w:pP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jc w:val="center"/>
        <w:ind w:left="1500"/>
        <w:spacing w:after="0"/>
        <w:tabs>
          <w:tab w:leader="none" w:pos="200" w:val="left"/>
        </w:tabs>
        <w:rPr>
          <w:sz w:val="20"/>
          <w:szCs w:val="20"/>
          <w:color w:val="auto"/>
        </w:rPr>
      </w:pPr>
      <w:r>
        <w:rPr>
          <w:rFonts w:ascii="Courier New" w:cs="Courier New" w:eastAsia="Courier New" w:hAnsi="Courier New"/>
          <w:sz w:val="18"/>
          <w:szCs w:val="18"/>
          <w:color w:val="auto"/>
        </w:rPr>
        <w:t>2,434,823</w:t>
        <w:tab/>
        <w:t>(b)</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2,434,823 (b)</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EP</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jc w:val="both"/>
        <w:ind w:right="2019" w:firstLine="534"/>
        <w:spacing w:after="0" w:line="23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Trustees of the Hawkins Chemical, Inc. Employee Stock Ownership Plan and Trust are Messrs. Dean L. Hahn, Donald L. Shipp, John R. Hawkins and Marvin E. Dee. Messrs.</w:t>
      </w:r>
    </w:p>
    <w:p>
      <w:pPr>
        <w:sectPr>
          <w:pgSz w:w="11900" w:h="16838" w:orient="portrait"/>
          <w:cols w:equalWidth="0" w:num="1">
            <w:col w:w="10139"/>
          </w:cols>
          <w:pgMar w:left="32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CUSIP No.  420200 10 7</w:t>
            </w:r>
          </w:p>
        </w:tc>
        <w:tc>
          <w:tcPr>
            <w:tcW w:w="2160" w:type="dxa"/>
            <w:vAlign w:val="bottom"/>
          </w:tcPr>
          <w:p>
            <w:pPr>
              <w:ind w:left="580"/>
              <w:spacing w:after="0"/>
              <w:rPr>
                <w:sz w:val="20"/>
                <w:szCs w:val="20"/>
                <w:color w:val="auto"/>
              </w:rPr>
            </w:pPr>
            <w:r>
              <w:rPr>
                <w:rFonts w:ascii="Courier New" w:cs="Courier New" w:eastAsia="Courier New" w:hAnsi="Courier New"/>
                <w:sz w:val="18"/>
                <w:szCs w:val="18"/>
                <w:color w:val="auto"/>
              </w:rPr>
              <w:t>13G</w:t>
            </w:r>
          </w:p>
        </w:tc>
        <w:tc>
          <w:tcPr>
            <w:tcW w:w="3060" w:type="dxa"/>
            <w:vAlign w:val="bottom"/>
          </w:tcPr>
          <w:p>
            <w:pPr>
              <w:ind w:left="1280"/>
              <w:spacing w:after="0"/>
              <w:rPr>
                <w:sz w:val="20"/>
                <w:szCs w:val="20"/>
                <w:color w:val="auto"/>
              </w:rPr>
            </w:pPr>
            <w:r>
              <w:rPr>
                <w:rFonts w:ascii="Courier New" w:cs="Courier New" w:eastAsia="Courier New" w:hAnsi="Courier New"/>
                <w:sz w:val="18"/>
                <w:szCs w:val="18"/>
                <w:color w:val="auto"/>
                <w:w w:val="95"/>
              </w:rPr>
              <w:t>Page 3 of 7 Pages</w:t>
            </w:r>
          </w:p>
        </w:tc>
      </w:tr>
      <w:tr>
        <w:trPr>
          <w:trHeight w:val="203"/>
        </w:trPr>
        <w:tc>
          <w:tcPr>
            <w:tcW w:w="3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rPr>
                <w:sz w:val="17"/>
                <w:szCs w:val="17"/>
                <w:color w:val="auto"/>
              </w:rPr>
            </w:pPr>
          </w:p>
        </w:tc>
        <w:tc>
          <w:tcPr>
            <w:tcW w:w="3060" w:type="dxa"/>
            <w:vAlign w:val="bottom"/>
          </w:tcPr>
          <w:p>
            <w:pPr>
              <w:spacing w:after="0"/>
              <w:rPr>
                <w:sz w:val="17"/>
                <w:szCs w:val="17"/>
                <w:color w:val="auto"/>
              </w:rPr>
            </w:pPr>
          </w:p>
        </w:tc>
      </w:tr>
    </w:tbl>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Hahn, Shipp and Hawkins are all directors and officers of the Issuer and Mr. Dee is an officer but not a director. Apart from the plan holdings in this plan and the individual interests of each trustee under such plan as of December 31, 1999, these individuals had personal holdings of the Issuer's common stock as set forth below. Unless otherwise noted, all shares shown are held by individuals possessing sole voting and dispositive power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7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Number of</w:t>
            </w:r>
          </w:p>
        </w:tc>
        <w:tc>
          <w:tcPr>
            <w:tcW w:w="188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6"/>
              </w:rPr>
              <w:t>Percentage</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Shares</w:t>
            </w:r>
          </w:p>
        </w:tc>
        <w:tc>
          <w:tcPr>
            <w:tcW w:w="188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of Class</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Dean L. Hahn</w:t>
            </w:r>
          </w:p>
        </w:tc>
        <w:tc>
          <w:tcPr>
            <w:tcW w:w="27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106,576(1)</w:t>
            </w:r>
          </w:p>
        </w:tc>
        <w:tc>
          <w:tcPr>
            <w:tcW w:w="1880" w:type="dxa"/>
            <w:vAlign w:val="bottom"/>
          </w:tcPr>
          <w:p>
            <w:pPr>
              <w:jc w:val="center"/>
              <w:ind w:left="732"/>
              <w:spacing w:after="0"/>
              <w:rPr>
                <w:sz w:val="20"/>
                <w:szCs w:val="20"/>
                <w:color w:val="auto"/>
              </w:rPr>
            </w:pPr>
            <w:r>
              <w:rPr>
                <w:rFonts w:ascii="Courier New" w:cs="Courier New" w:eastAsia="Courier New" w:hAnsi="Courier New"/>
                <w:sz w:val="18"/>
                <w:szCs w:val="18"/>
                <w:color w:val="auto"/>
                <w:w w:val="97"/>
              </w:rPr>
              <w:t>0.9%</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L. Shipp</w:t>
            </w:r>
          </w:p>
        </w:tc>
        <w:tc>
          <w:tcPr>
            <w:tcW w:w="27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122,717(2)</w:t>
            </w:r>
          </w:p>
        </w:tc>
        <w:tc>
          <w:tcPr>
            <w:tcW w:w="188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1.1%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Hawkins</w:t>
            </w:r>
          </w:p>
        </w:tc>
        <w:tc>
          <w:tcPr>
            <w:tcW w:w="27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75,787(3)</w:t>
            </w:r>
          </w:p>
        </w:tc>
        <w:tc>
          <w:tcPr>
            <w:tcW w:w="188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0.7%</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Marvin E. Dee</w:t>
            </w:r>
          </w:p>
        </w:tc>
        <w:tc>
          <w:tcPr>
            <w:tcW w:w="2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w:t>
            </w:r>
          </w:p>
        </w:tc>
        <w:tc>
          <w:tcPr>
            <w:tcW w:w="18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699" w:firstLine="534"/>
        <w:spacing w:after="0" w:line="270" w:lineRule="auto"/>
        <w:tabs>
          <w:tab w:leader="none" w:pos="10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Hawkins Chemical, Inc. Employee Stock Ownership Plan and Trust (the "ESOP") currently holds 2,434,823 shares of the Issuer's common stock, representing 22%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certain Trustees, as individual participants in the ESOP, have the power to direct the voting of the following number of shares allocated to their personal accounts as of December 31, 1999: Dean L. Hahn, 205,301 shares; Donald L. Shipp, 181,654 shares; and John R. Hawkins, 122,090 shares. The Trustees also have dispositive power with respect to all 2,434,823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19" w:firstLine="8"/>
        <w:spacing w:after="0" w:line="236" w:lineRule="auto"/>
        <w:tabs>
          <w:tab w:leader="none" w:pos="52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Hahn has sole voting and dispositive power over all of these 106,576 shares, except for 9,902 shares that Mr. Hahn holds jointly with his wife as to which he shares voting and dispositive power.</w:t>
      </w:r>
    </w:p>
    <w:p>
      <w:pPr>
        <w:spacing w:after="0" w:line="208" w:lineRule="exact"/>
        <w:rPr>
          <w:rFonts w:ascii="Courier New" w:cs="Courier New" w:eastAsia="Courier New" w:hAnsi="Courier New"/>
          <w:sz w:val="18"/>
          <w:szCs w:val="18"/>
          <w:color w:val="auto"/>
        </w:rPr>
      </w:pPr>
    </w:p>
    <w:p>
      <w:pPr>
        <w:ind w:right="1919" w:firstLine="8"/>
        <w:spacing w:after="0" w:line="237" w:lineRule="auto"/>
        <w:tabs>
          <w:tab w:leader="none" w:pos="52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Shipp has sole voting and dispositive power over all of these 122,171 shares, except 60,000 shares held by his wife as to which he may be deemed to share voting and investment power, but as to which he disclaims beneficial ownership.</w:t>
      </w:r>
    </w:p>
    <w:p>
      <w:pPr>
        <w:spacing w:after="0" w:line="207" w:lineRule="exact"/>
        <w:rPr>
          <w:rFonts w:ascii="Courier New" w:cs="Courier New" w:eastAsia="Courier New" w:hAnsi="Courier New"/>
          <w:sz w:val="18"/>
          <w:szCs w:val="18"/>
          <w:color w:val="auto"/>
        </w:rPr>
      </w:pPr>
    </w:p>
    <w:p>
      <w:pPr>
        <w:ind w:right="1819" w:firstLine="8"/>
        <w:spacing w:after="0" w:line="237" w:lineRule="auto"/>
        <w:tabs>
          <w:tab w:leader="none" w:pos="52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Hawkins has sole voting and dispositive power over all of these 75,787 shares, except 42,647 shares held by him as custodian for one minor child as to which he has full voting and dispositive power, but as to which he disclaims beneficial ownership; and 33,080 shares that Mr. Hawkins holds jointly with his wife as to which he shares voting and dispositive power.</w:t>
      </w:r>
    </w:p>
    <w:p>
      <w:pPr>
        <w:sectPr>
          <w:pgSz w:w="11900" w:h="16838" w:orient="portrait"/>
          <w:cols w:equalWidth="0" w:num="1">
            <w:col w:w="10139"/>
          </w:cols>
          <w:pgMar w:left="32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420200 10 7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16" w:lineRule="exact"/>
        <w:rPr>
          <w:sz w:val="20"/>
          <w:szCs w:val="20"/>
          <w:color w:val="auto"/>
        </w:rPr>
      </w:pPr>
    </w:p>
    <w:p>
      <w:pPr>
        <w:sectPr>
          <w:pgSz w:w="11900" w:h="16838" w:orient="portrait"/>
          <w:cols w:equalWidth="0" w:num="4">
            <w:col w:w="960" w:space="200"/>
            <w:col w:w="1700" w:space="720"/>
            <w:col w:w="2140" w:space="720"/>
            <w:col w:w="3699"/>
          </w:cols>
          <w:pgMar w:left="320" w:top="722" w:right="1440" w:bottom="1440" w:gutter="0" w:footer="0" w:header="0"/>
        </w:sect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SCHEDULE 13G</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ectPr>
          <w:pgSz w:w="11900" w:h="16838" w:orient="portrait"/>
          <w:cols w:equalWidth="0" w:num="1">
            <w:col w:w="10139"/>
          </w:cols>
          <w:pgMar w:left="320" w:top="722" w:right="1440" w:bottom="1440" w:gutter="0" w:footer="0" w:header="0"/>
          <w:type w:val="continuous"/>
        </w:sectPr>
      </w:pPr>
    </w:p>
    <w:p>
      <w:pPr>
        <w:spacing w:after="0" w:line="201" w:lineRule="exact"/>
        <w:rPr>
          <w:sz w:val="20"/>
          <w:szCs w:val="20"/>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Hawkins Chemical, Inc.</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900" w:right="52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right="27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Hawkins Chemical, Inc. Employee Stock Ownership Plan and Trust</w:t>
      </w:r>
    </w:p>
    <w:p>
      <w:pPr>
        <w:spacing w:after="0" w:line="208" w:lineRule="exact"/>
        <w:rPr>
          <w:rFonts w:ascii="Courier New" w:cs="Courier New" w:eastAsia="Courier New" w:hAnsi="Courier New"/>
          <w:sz w:val="18"/>
          <w:szCs w:val="18"/>
          <w:color w:val="auto"/>
        </w:rPr>
      </w:pPr>
    </w:p>
    <w:p>
      <w:pPr>
        <w:ind w:left="1900" w:right="3079" w:hanging="944"/>
        <w:spacing w:after="0" w:line="235"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 Hawkins Chemical, Inc.</w:t>
      </w:r>
    </w:p>
    <w:p>
      <w:pPr>
        <w:spacing w:after="0" w:line="4" w:lineRule="exact"/>
        <w:rPr>
          <w:rFonts w:ascii="Courier New" w:cs="Courier New" w:eastAsia="Courier New" w:hAnsi="Courier New"/>
          <w:sz w:val="18"/>
          <w:szCs w:val="18"/>
          <w:color w:val="auto"/>
        </w:rPr>
      </w:pPr>
    </w:p>
    <w:p>
      <w:pPr>
        <w:ind w:left="1900" w:right="52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169" w:lineRule="exact"/>
        <w:rPr>
          <w:rFonts w:ascii="Courier New" w:cs="Courier New" w:eastAsia="Courier New" w:hAnsi="Courier New"/>
          <w:sz w:val="18"/>
          <w:szCs w:val="18"/>
          <w:color w:val="auto"/>
        </w:rPr>
      </w:pPr>
    </w:p>
    <w:p>
      <w:pPr>
        <w:ind w:left="1900" w:right="7079" w:hanging="944"/>
        <w:spacing w:after="0" w:line="536" w:lineRule="auto"/>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Minnesota</w:t>
      </w: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$.05 per share</w:t>
      </w:r>
    </w:p>
    <w:p>
      <w:pPr>
        <w:spacing w:after="0" w:line="206" w:lineRule="exact"/>
        <w:rPr>
          <w:rFonts w:ascii="Courier New" w:cs="Courier New" w:eastAsia="Courier New" w:hAnsi="Courier New"/>
          <w:sz w:val="18"/>
          <w:szCs w:val="18"/>
          <w:color w:val="auto"/>
        </w:rPr>
      </w:pPr>
    </w:p>
    <w:p>
      <w:pPr>
        <w:ind w:left="1900" w:right="6979" w:hanging="944"/>
        <w:spacing w:after="0" w:line="558" w:lineRule="auto"/>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420200 10 7</w:t>
      </w:r>
    </w:p>
    <w:p>
      <w:pPr>
        <w:sectPr>
          <w:pgSz w:w="11900" w:h="16838" w:orient="portrait"/>
          <w:cols w:equalWidth="0" w:num="1">
            <w:col w:w="10139"/>
          </w:cols>
          <w:pgMar w:left="320" w:top="722"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6"/>
              </w:rPr>
              <w:t>CUSIP No.  420200 10 7</w:t>
            </w:r>
          </w:p>
        </w:tc>
        <w:tc>
          <w:tcPr>
            <w:tcW w:w="3640" w:type="dxa"/>
            <w:vAlign w:val="bottom"/>
          </w:tcPr>
          <w:p>
            <w:pPr>
              <w:ind w:left="940"/>
              <w:spacing w:after="0"/>
              <w:rPr>
                <w:sz w:val="20"/>
                <w:szCs w:val="20"/>
                <w:color w:val="auto"/>
              </w:rPr>
            </w:pPr>
            <w:r>
              <w:rPr>
                <w:rFonts w:ascii="Courier New" w:cs="Courier New" w:eastAsia="Courier New" w:hAnsi="Courier New"/>
                <w:sz w:val="18"/>
                <w:szCs w:val="18"/>
                <w:color w:val="auto"/>
              </w:rPr>
              <w:t>13G</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w w:val="95"/>
              </w:rPr>
              <w:t>Page 5 of 7 Pages</w:t>
            </w:r>
          </w:p>
        </w:tc>
      </w:tr>
      <w:tr>
        <w:trPr>
          <w:trHeight w:val="203"/>
        </w:trPr>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8220" w:type="dxa"/>
            <w:vAlign w:val="bottom"/>
            <w:gridSpan w:val="4"/>
          </w:tcPr>
          <w:p>
            <w:pPr>
              <w:spacing w:after="0"/>
              <w:rPr>
                <w:sz w:val="20"/>
                <w:szCs w:val="20"/>
                <w:color w:val="auto"/>
              </w:rPr>
            </w:pPr>
            <w:r>
              <w:rPr>
                <w:rFonts w:ascii="Courier New" w:cs="Courier New" w:eastAsia="Courier New" w:hAnsi="Courier New"/>
                <w:sz w:val="18"/>
                <w:szCs w:val="18"/>
                <w:color w:val="auto"/>
              </w:rPr>
              <w:t>ITEM 3.  IF THIS STATEMENT IS FILED PURSUANT TO RULE 13d-1(b), OR</w:t>
            </w:r>
          </w:p>
        </w:tc>
      </w:tr>
      <w:tr>
        <w:trPr>
          <w:trHeight w:val="203"/>
        </w:trPr>
        <w:tc>
          <w:tcPr>
            <w:tcW w:w="628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13d-2(b), CHECK WHETHER THE PERSON FILING IS A:</w:t>
            </w:r>
          </w:p>
        </w:tc>
        <w:tc>
          <w:tcPr>
            <w:tcW w:w="1940" w:type="dxa"/>
            <w:vAlign w:val="bottom"/>
          </w:tcPr>
          <w:p>
            <w:pPr>
              <w:spacing w:after="0"/>
              <w:rPr>
                <w:sz w:val="17"/>
                <w:szCs w:val="17"/>
                <w:color w:val="auto"/>
              </w:rPr>
            </w:pP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(a)</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Broker or Dealer registered under Section</w:t>
            </w:r>
          </w:p>
        </w:tc>
      </w:tr>
      <w:tr>
        <w:trPr>
          <w:trHeight w:val="203"/>
        </w:trPr>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 of the Act</w:t>
            </w:r>
          </w:p>
        </w:tc>
        <w:tc>
          <w:tcPr>
            <w:tcW w:w="1940" w:type="dxa"/>
            <w:vAlign w:val="bottom"/>
          </w:tcPr>
          <w:p>
            <w:pPr>
              <w:spacing w:after="0"/>
              <w:rPr>
                <w:sz w:val="17"/>
                <w:szCs w:val="17"/>
                <w:color w:val="auto"/>
              </w:rPr>
            </w:pP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(b)</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Bank as defined in section 3(a)(6) of the</w:t>
            </w:r>
          </w:p>
        </w:tc>
      </w:tr>
      <w:tr>
        <w:trPr>
          <w:trHeight w:val="203"/>
        </w:trPr>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w:t>
            </w:r>
          </w:p>
        </w:tc>
        <w:tc>
          <w:tcPr>
            <w:tcW w:w="1940" w:type="dxa"/>
            <w:vAlign w:val="bottom"/>
          </w:tcPr>
          <w:p>
            <w:pPr>
              <w:spacing w:after="0"/>
              <w:rPr>
                <w:sz w:val="17"/>
                <w:szCs w:val="17"/>
                <w:color w:val="auto"/>
              </w:rPr>
            </w:pP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(c)</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Insurance Company as defined in section</w:t>
            </w:r>
          </w:p>
        </w:tc>
      </w:tr>
      <w:tr>
        <w:trPr>
          <w:trHeight w:val="203"/>
        </w:trPr>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3(a)(19) of the Act</w:t>
            </w:r>
          </w:p>
        </w:tc>
        <w:tc>
          <w:tcPr>
            <w:tcW w:w="1940" w:type="dxa"/>
            <w:vAlign w:val="bottom"/>
          </w:tcPr>
          <w:p>
            <w:pPr>
              <w:spacing w:after="0"/>
              <w:rPr>
                <w:sz w:val="17"/>
                <w:szCs w:val="17"/>
                <w:color w:val="auto"/>
              </w:rPr>
            </w:pP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(d)</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Investment Company registered under section</w:t>
            </w:r>
          </w:p>
        </w:tc>
      </w:tr>
      <w:tr>
        <w:trPr>
          <w:trHeight w:val="203"/>
        </w:trPr>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 of the Investment Company Act</w:t>
            </w:r>
          </w:p>
        </w:tc>
        <w:tc>
          <w:tcPr>
            <w:tcW w:w="1940" w:type="dxa"/>
            <w:vAlign w:val="bottom"/>
          </w:tcPr>
          <w:p>
            <w:pPr>
              <w:spacing w:after="0"/>
              <w:rPr>
                <w:sz w:val="17"/>
                <w:szCs w:val="17"/>
                <w:color w:val="auto"/>
              </w:rPr>
            </w:pPr>
          </w:p>
        </w:tc>
      </w:tr>
      <w:tr>
        <w:trPr>
          <w:trHeight w:val="405"/>
        </w:trPr>
        <w:tc>
          <w:tcPr>
            <w:tcW w:w="1580" w:type="dxa"/>
            <w:vAlign w:val="bottom"/>
          </w:tcPr>
          <w:p>
            <w:pPr>
              <w:ind w:left="960"/>
              <w:spacing w:after="0"/>
              <w:rPr>
                <w:sz w:val="20"/>
                <w:szCs w:val="20"/>
                <w:color w:val="auto"/>
              </w:rPr>
            </w:pPr>
            <w:r>
              <w:rPr>
                <w:rFonts w:ascii="Courier New" w:cs="Courier New" w:eastAsia="Courier New" w:hAnsi="Courier New"/>
                <w:sz w:val="18"/>
                <w:szCs w:val="18"/>
                <w:color w:val="auto"/>
              </w:rPr>
              <w:t>(e)</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Investment Adviser registered under section</w:t>
            </w:r>
          </w:p>
        </w:tc>
      </w:tr>
      <w:tr>
        <w:trPr>
          <w:trHeight w:val="203"/>
        </w:trPr>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203 of the Investment Advisers Act of 1940</w:t>
            </w:r>
          </w:p>
        </w:tc>
      </w:tr>
    </w:tbl>
    <w:p>
      <w:pPr>
        <w:spacing w:after="0" w:line="201" w:lineRule="exact"/>
        <w:rPr>
          <w:sz w:val="20"/>
          <w:szCs w:val="20"/>
          <w:color w:val="auto"/>
        </w:rPr>
      </w:pPr>
    </w:p>
    <w:p>
      <w:pPr>
        <w:ind w:left="2000" w:hanging="1044"/>
        <w:spacing w:after="0"/>
        <w:tabs>
          <w:tab w:leader="none" w:pos="20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Employee Benefit Plan, Pension Fund which</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is subject to the provisions of</w:t>
      </w:r>
    </w:p>
    <w:p>
      <w:pPr>
        <w:spacing w:after="0" w:line="238" w:lineRule="auto"/>
        <w:rPr>
          <w:sz w:val="20"/>
          <w:szCs w:val="20"/>
          <w:color w:val="auto"/>
        </w:rPr>
      </w:pPr>
      <w:r>
        <w:rPr>
          <w:rFonts w:ascii="Courier New" w:cs="Courier New" w:eastAsia="Courier New" w:hAnsi="Courier New"/>
          <w:sz w:val="18"/>
          <w:szCs w:val="18"/>
          <w:color w:val="auto"/>
        </w:rPr>
        <w:t>the Employee Retirement Income Security Act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1974 or Endowment Fund; see Rule 13d-1(b)(1)(ii)(F)</w:t>
      </w:r>
    </w:p>
    <w:p>
      <w:pPr>
        <w:spacing w:after="0" w:line="200" w:lineRule="exact"/>
        <w:rPr>
          <w:sz w:val="20"/>
          <w:szCs w:val="20"/>
          <w:color w:val="auto"/>
        </w:rPr>
      </w:pPr>
    </w:p>
    <w:p>
      <w:pPr>
        <w:sectPr>
          <w:pgSz w:w="11900" w:h="16838" w:orient="portrait"/>
          <w:cols w:equalWidth="0" w:num="2">
            <w:col w:w="2320" w:space="540"/>
            <w:col w:w="7279"/>
          </w:cols>
          <w:pgMar w:left="320" w:top="717" w:right="1440" w:bottom="1440" w:gutter="0" w:footer="0" w:header="0"/>
          <w:type w:val="continuous"/>
        </w:sectPr>
      </w:pPr>
    </w:p>
    <w:p>
      <w:pPr>
        <w:spacing w:after="0" w:line="2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8"/>
          <w:szCs w:val="18"/>
          <w:color w:val="auto"/>
        </w:rPr>
        <w:t>Parent Holding Company, in accordance with Rule 13d-1(b)(1)(ii)(G) (Note: See Item 7)</w:t>
      </w:r>
    </w:p>
    <w:p>
      <w:pPr>
        <w:spacing w:after="0" w:line="200" w:lineRule="exact"/>
        <w:rPr>
          <w:sz w:val="20"/>
          <w:szCs w:val="20"/>
          <w:color w:val="auto"/>
        </w:rPr>
      </w:pPr>
    </w:p>
    <w:p>
      <w:pPr>
        <w:sectPr>
          <w:pgSz w:w="11900" w:h="16838" w:orient="portrait"/>
          <w:cols w:equalWidth="0" w:num="2">
            <w:col w:w="2320" w:space="540"/>
            <w:col w:w="7279"/>
          </w:cols>
          <w:pgMar w:left="320" w:top="717" w:right="1440" w:bottom="1440" w:gutter="0" w:footer="0" w:header="0"/>
          <w:type w:val="continuous"/>
        </w:sectPr>
      </w:pPr>
    </w:p>
    <w:p>
      <w:pPr>
        <w:spacing w:after="0" w:line="8"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13d-1(b)(1)(ii)(H)</w:t>
      </w:r>
    </w:p>
    <w:p>
      <w:pPr>
        <w:spacing w:after="0" w:line="200" w:lineRule="exact"/>
        <w:rPr>
          <w:sz w:val="20"/>
          <w:szCs w:val="20"/>
          <w:color w:val="auto"/>
        </w:rPr>
      </w:pPr>
    </w:p>
    <w:p>
      <w:pPr>
        <w:sectPr>
          <w:pgSz w:w="11900" w:h="16838" w:orient="portrait"/>
          <w:cols w:equalWidth="0" w:num="2">
            <w:col w:w="2320" w:space="540"/>
            <w:col w:w="7279"/>
          </w:cols>
          <w:pgMar w:left="320" w:top="717" w:right="1440" w:bottom="1440" w:gutter="0" w:footer="0" w:header="0"/>
          <w:type w:val="continuous"/>
        </w:sectPr>
      </w:pP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five percent, provide the following information as of that date and identify those shares which there is a right to acquire.</w:t>
      </w:r>
    </w:p>
    <w:p>
      <w:pPr>
        <w:spacing w:after="0" w:line="208" w:lineRule="exact"/>
        <w:rPr>
          <w:sz w:val="20"/>
          <w:szCs w:val="20"/>
          <w:color w:val="auto"/>
        </w:rPr>
      </w:pPr>
    </w:p>
    <w:p>
      <w:pPr>
        <w:ind w:left="1900" w:right="5599" w:hanging="944"/>
        <w:spacing w:after="0" w:line="536"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2,434,823 (See Note b)</w:t>
      </w:r>
    </w:p>
    <w:p>
      <w:pPr>
        <w:ind w:left="1900" w:right="6559" w:hanging="944"/>
        <w:spacing w:after="0" w:line="469"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22%</w:t>
      </w:r>
    </w:p>
    <w:p>
      <w:pPr>
        <w:spacing w:after="0" w:line="7"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860" w:right="3079" w:hanging="957"/>
        <w:spacing w:after="0" w:line="235" w:lineRule="auto"/>
        <w:tabs>
          <w:tab w:leader="none" w:pos="2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ectPr>
          <w:pgSz w:w="11900" w:h="16838" w:orient="portrait"/>
          <w:cols w:equalWidth="0" w:num="1">
            <w:col w:w="10139"/>
          </w:cols>
          <w:pgMar w:left="320" w:top="71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38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6"/>
              </w:rPr>
              <w:t>CUSIP No.  420200 10 7</w:t>
            </w:r>
          </w:p>
        </w:tc>
        <w:tc>
          <w:tcPr>
            <w:tcW w:w="2260" w:type="dxa"/>
            <w:vAlign w:val="bottom"/>
          </w:tcPr>
          <w:p>
            <w:pPr>
              <w:ind w:left="940"/>
              <w:spacing w:after="0"/>
              <w:rPr>
                <w:sz w:val="20"/>
                <w:szCs w:val="20"/>
                <w:color w:val="auto"/>
              </w:rPr>
            </w:pPr>
            <w:r>
              <w:rPr>
                <w:rFonts w:ascii="Courier New" w:cs="Courier New" w:eastAsia="Courier New" w:hAnsi="Courier New"/>
                <w:sz w:val="18"/>
                <w:szCs w:val="18"/>
                <w:color w:val="auto"/>
              </w:rPr>
              <w:t>13G</w:t>
            </w: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6 of 7 Pages</w:t>
            </w:r>
          </w:p>
        </w:tc>
      </w:tr>
      <w:tr>
        <w:trPr>
          <w:trHeight w:val="203"/>
        </w:trPr>
        <w:tc>
          <w:tcPr>
            <w:tcW w:w="3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pacing w:after="0" w:line="207" w:lineRule="exact"/>
        <w:rPr>
          <w:sz w:val="20"/>
          <w:szCs w:val="20"/>
          <w:color w:val="auto"/>
        </w:rPr>
      </w:pPr>
    </w:p>
    <w:p>
      <w:pPr>
        <w:ind w:left="2860" w:right="2859" w:hanging="957"/>
        <w:spacing w:after="0" w:line="235" w:lineRule="auto"/>
        <w:tabs>
          <w:tab w:leader="none" w:pos="2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2,434,823 (See Note b)</w:t>
      </w:r>
    </w:p>
    <w:p>
      <w:pPr>
        <w:spacing w:after="0" w:line="208" w:lineRule="exact"/>
        <w:rPr>
          <w:rFonts w:ascii="Courier New" w:cs="Courier New" w:eastAsia="Courier New" w:hAnsi="Courier New"/>
          <w:sz w:val="18"/>
          <w:szCs w:val="18"/>
          <w:color w:val="auto"/>
        </w:rPr>
      </w:pPr>
    </w:p>
    <w:p>
      <w:pPr>
        <w:ind w:left="2860" w:right="1699" w:hanging="957"/>
        <w:spacing w:after="0" w:line="469" w:lineRule="auto"/>
        <w:tabs>
          <w:tab w:leader="none" w:pos="2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3" w:lineRule="exact"/>
        <w:rPr>
          <w:rFonts w:ascii="Courier New" w:cs="Courier New" w:eastAsia="Courier New" w:hAnsi="Courier New"/>
          <w:sz w:val="18"/>
          <w:szCs w:val="18"/>
          <w:color w:val="auto"/>
        </w:rPr>
      </w:pPr>
    </w:p>
    <w:p>
      <w:pPr>
        <w:ind w:left="2860" w:right="1819" w:hanging="957"/>
        <w:spacing w:after="0" w:line="235" w:lineRule="auto"/>
        <w:tabs>
          <w:tab w:leader="none" w:pos="2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2,434,823 (See Note b)</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16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0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in the</w:t>
      </w:r>
    </w:p>
    <w:p>
      <w:pPr>
        <w:ind w:left="1060"/>
        <w:spacing w:after="0" w:line="238" w:lineRule="auto"/>
        <w:rPr>
          <w:sz w:val="20"/>
          <w:szCs w:val="20"/>
          <w:color w:val="auto"/>
        </w:rPr>
      </w:pPr>
      <w:r>
        <w:rPr>
          <w:rFonts w:ascii="Courier New" w:cs="Courier New" w:eastAsia="Courier New" w:hAnsi="Courier New"/>
          <w:sz w:val="18"/>
          <w:szCs w:val="18"/>
          <w:color w:val="auto"/>
        </w:rPr>
        <w:t>ordinary course of business and were not acquired for the purpose</w:t>
      </w:r>
    </w:p>
    <w:p>
      <w:pPr>
        <w:ind w:left="1060"/>
        <w:spacing w:after="0"/>
        <w:rPr>
          <w:sz w:val="20"/>
          <w:szCs w:val="20"/>
          <w:color w:val="auto"/>
        </w:rPr>
      </w:pPr>
      <w:r>
        <w:rPr>
          <w:rFonts w:ascii="Courier New" w:cs="Courier New" w:eastAsia="Courier New" w:hAnsi="Courier New"/>
          <w:sz w:val="18"/>
          <w:szCs w:val="18"/>
          <w:color w:val="auto"/>
        </w:rPr>
        <w:t>of and do not have the effect of changing or influencing the control</w:t>
      </w:r>
    </w:p>
    <w:p>
      <w:pPr>
        <w:ind w:left="1060"/>
        <w:spacing w:after="0" w:line="237" w:lineRule="auto"/>
        <w:rPr>
          <w:sz w:val="20"/>
          <w:szCs w:val="20"/>
          <w:color w:val="auto"/>
        </w:rPr>
      </w:pPr>
      <w:r>
        <w:rPr>
          <w:rFonts w:ascii="Courier New" w:cs="Courier New" w:eastAsia="Courier New" w:hAnsi="Courier New"/>
          <w:sz w:val="18"/>
          <w:szCs w:val="18"/>
          <w:color w:val="auto"/>
        </w:rPr>
        <w:t>of the issuer of such securities and were not acquired in connection</w:t>
      </w:r>
    </w:p>
    <w:p>
      <w:pPr>
        <w:ind w:left="1060"/>
        <w:spacing w:after="0" w:line="238" w:lineRule="auto"/>
        <w:rPr>
          <w:sz w:val="20"/>
          <w:szCs w:val="20"/>
          <w:color w:val="auto"/>
        </w:rPr>
      </w:pPr>
      <w:r>
        <w:rPr>
          <w:rFonts w:ascii="Courier New" w:cs="Courier New" w:eastAsia="Courier New" w:hAnsi="Courier New"/>
          <w:sz w:val="18"/>
          <w:szCs w:val="18"/>
          <w:color w:val="auto"/>
        </w:rPr>
        <w:t>with or as a participant in any transaction having such purpose or</w:t>
      </w:r>
    </w:p>
    <w:p>
      <w:pPr>
        <w:ind w:left="1060"/>
        <w:spacing w:after="0"/>
        <w:rPr>
          <w:sz w:val="20"/>
          <w:szCs w:val="20"/>
          <w:color w:val="auto"/>
        </w:rPr>
      </w:pPr>
      <w:r>
        <w:rPr>
          <w:rFonts w:ascii="Courier New" w:cs="Courier New" w:eastAsia="Courier New" w:hAnsi="Courier New"/>
          <w:sz w:val="18"/>
          <w:szCs w:val="18"/>
          <w:color w:val="auto"/>
        </w:rPr>
        <w:t>effect.</w:t>
      </w:r>
    </w:p>
    <w:p>
      <w:pPr>
        <w:sectPr>
          <w:pgSz w:w="11900" w:h="16838" w:orient="portrait"/>
          <w:cols w:equalWidth="0" w:num="1">
            <w:col w:w="10139"/>
          </w:cols>
          <w:pgMar w:left="32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420200 10 7</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16" w:lineRule="exact"/>
        <w:rPr>
          <w:sz w:val="20"/>
          <w:szCs w:val="20"/>
          <w:color w:val="auto"/>
        </w:rPr>
      </w:pPr>
    </w:p>
    <w:p>
      <w:pPr>
        <w:sectPr>
          <w:pgSz w:w="11900" w:h="16838" w:orient="portrait"/>
          <w:cols w:equalWidth="0" w:num="4">
            <w:col w:w="960" w:space="200"/>
            <w:col w:w="2440" w:space="720"/>
            <w:col w:w="1600" w:space="720"/>
            <w:col w:w="3499"/>
          </w:cols>
          <w:pgMar w:left="320" w:top="722" w:right="1440" w:bottom="1440" w:gutter="0" w:footer="0" w:header="0"/>
        </w:sect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139"/>
          </w:cols>
          <w:pgMar w:left="320" w:top="722" w:right="1440" w:bottom="1440" w:gutter="0" w:footer="0" w:header="0"/>
          <w:type w:val="continuous"/>
        </w:sectPr>
      </w:pPr>
    </w:p>
    <w:p>
      <w:pPr>
        <w:spacing w:after="0" w:line="224"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Trustees of the Hawkins Chemical, Inc. Employee Stock Ownership Trust certify on behalf of the Trust that the information set forth in this statement is true, complete and correct.</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HAWKINS CHEMICAL, INC.</w:t>
      </w:r>
    </w:p>
    <w:p>
      <w:pPr>
        <w:ind w:left="4320"/>
        <w:spacing w:after="0" w:line="238" w:lineRule="auto"/>
        <w:rPr>
          <w:sz w:val="20"/>
          <w:szCs w:val="20"/>
          <w:color w:val="auto"/>
        </w:rPr>
      </w:pPr>
      <w:r>
        <w:rPr>
          <w:rFonts w:ascii="Courier New" w:cs="Courier New" w:eastAsia="Courier New" w:hAnsi="Courier New"/>
          <w:sz w:val="18"/>
          <w:szCs w:val="18"/>
          <w:color w:val="auto"/>
        </w:rPr>
        <w:t>EMPLOYEE STOCK OWNERSHIP</w:t>
      </w:r>
    </w:p>
    <w:p>
      <w:pPr>
        <w:ind w:left="4320"/>
        <w:spacing w:after="0" w:line="238" w:lineRule="auto"/>
        <w:rPr>
          <w:sz w:val="20"/>
          <w:szCs w:val="20"/>
          <w:color w:val="auto"/>
        </w:rPr>
      </w:pPr>
      <w:r>
        <w:rPr>
          <w:rFonts w:ascii="Courier New" w:cs="Courier New" w:eastAsia="Courier New" w:hAnsi="Courier New"/>
          <w:sz w:val="18"/>
          <w:szCs w:val="18"/>
          <w:color w:val="auto"/>
        </w:rPr>
        <w:t>TRUST</w:t>
      </w:r>
    </w:p>
    <w:p>
      <w:pPr>
        <w:sectPr>
          <w:pgSz w:w="11900" w:h="16838" w:orient="portrait"/>
          <w:cols w:equalWidth="0" w:num="1">
            <w:col w:w="10139"/>
          </w:cols>
          <w:pgMar w:left="320" w:top="72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28, 2000</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Dean L. Hahn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Dean L. Hahn, Trustee</w:t>
      </w:r>
    </w:p>
    <w:p>
      <w:pPr>
        <w:spacing w:after="0" w:line="200" w:lineRule="exact"/>
        <w:rPr>
          <w:sz w:val="20"/>
          <w:szCs w:val="20"/>
          <w:color w:val="auto"/>
        </w:rPr>
      </w:pPr>
    </w:p>
    <w:p>
      <w:pPr>
        <w:sectPr>
          <w:pgSz w:w="11900" w:h="16838" w:orient="portrait"/>
          <w:cols w:equalWidth="0" w:num="3">
            <w:col w:w="640" w:space="220"/>
            <w:col w:w="2740" w:space="720"/>
            <w:col w:w="5819"/>
          </w:cols>
          <w:pgMar w:left="320" w:top="722" w:right="1440" w:bottom="1440" w:gutter="0" w:footer="0" w:header="0"/>
          <w:type w:val="continuous"/>
        </w:sectPr>
      </w:pP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Donald L. Shipp</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Donald L. Shipp, Trustee</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John R. Hawkins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R. Hawkins, Trustee</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Marvin E. Dee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Marvin E. Dee, Trustee</w:t>
      </w:r>
    </w:p>
    <w:sectPr>
      <w:pgSz w:w="11900" w:h="16838" w:orient="portrait"/>
      <w:cols w:equalWidth="0" w:num="1">
        <w:col w:w="10139"/>
      </w:cols>
      <w:pgMar w:left="320" w:top="7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lvl w:ilvl="2">
      <w:lvlJc w:val="left"/>
      <w:lvlText w:val="S.%3."/>
      <w:numFmt w:val="upperLetter"/>
      <w:start w:val="19"/>
    </w:lvl>
    <w:lvl w:ilvl="3">
      <w:lvlJc w:val="left"/>
      <w:lvlText w:val="(%4)"/>
      <w:numFmt w:val="lowerLetter"/>
      <w:start w:val="1"/>
    </w:lvl>
    <w:lvl w:ilvl="4">
      <w:lvlJc w:val="left"/>
      <w:lvlText w:val="(%5)"/>
      <w:numFmt w:val="lowerLetter"/>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upperLetter"/>
      <w:start w:val="1"/>
    </w:lvl>
    <w:lvl w:ilvl="1">
      <w:lvlJc w:val="left"/>
      <w:lvlText w:val="(%2)"/>
      <w:numFmt w:val="lowerLetter"/>
      <w:start w:val="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6"/>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2020-10-07T04:27:44Z</dcterms:created>
  <dcterms:modified xsi:type="dcterms:W3CDTF">2020-10-07T04:27:44Z</dcterms:modified>
</cp:coreProperties>
</file>