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166370</wp:posOffset>
            </wp:positionH>
            <wp:positionV relativeFrom="page">
              <wp:posOffset>715010</wp:posOffset>
            </wp:positionV>
            <wp:extent cx="72294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534670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As filed with the Securities and Exchange Commission on November 1, 2019.</w:t>
      </w:r>
    </w:p>
    <w:p>
      <w:pPr>
        <w:spacing w:after="0" w:line="225" w:lineRule="exact"/>
        <w:rPr>
          <w:sz w:val="24"/>
          <w:szCs w:val="24"/>
          <w:color w:val="auto"/>
        </w:rPr>
      </w:pPr>
    </w:p>
    <w:p>
      <w:pPr>
        <w:ind w:left="9440"/>
        <w:spacing w:after="0"/>
        <w:rPr>
          <w:sz w:val="20"/>
          <w:szCs w:val="20"/>
          <w:color w:val="auto"/>
        </w:rPr>
      </w:pPr>
      <w:r>
        <w:rPr>
          <w:rFonts w:ascii="Arial" w:cs="Arial" w:eastAsia="Arial" w:hAnsi="Arial"/>
          <w:sz w:val="18"/>
          <w:szCs w:val="18"/>
          <w:color w:val="auto"/>
        </w:rPr>
        <w:t>Registration no. 333-</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UNITED STATES</w:t>
      </w:r>
    </w:p>
    <w:p>
      <w:pPr>
        <w:jc w:val="center"/>
        <w:ind w:right="-9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 w:lineRule="exact"/>
        <w:rPr>
          <w:sz w:val="24"/>
          <w:szCs w:val="24"/>
          <w:color w:val="auto"/>
        </w:rPr>
      </w:pPr>
    </w:p>
    <w:p>
      <w:pPr>
        <w:ind w:left="3280"/>
        <w:spacing w:after="0"/>
        <w:rPr>
          <w:sz w:val="20"/>
          <w:szCs w:val="20"/>
          <w:color w:val="auto"/>
        </w:rPr>
      </w:pPr>
      <w:r>
        <w:rPr>
          <w:rFonts w:ascii="Arial" w:cs="Arial" w:eastAsia="Arial" w:hAnsi="Arial"/>
          <w:sz w:val="18"/>
          <w:szCs w:val="18"/>
          <w:color w:val="auto"/>
        </w:rPr>
        <w:t>______________________________________________________</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S-8</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REGISTRATION STATEMENT UNDER THE SECURITIES ACT OF 1933</w:t>
      </w:r>
    </w:p>
    <w:p>
      <w:pPr>
        <w:jc w:val="center"/>
        <w:ind w:right="-99"/>
        <w:spacing w:after="0"/>
        <w:rPr>
          <w:sz w:val="20"/>
          <w:szCs w:val="20"/>
          <w:color w:val="auto"/>
        </w:rPr>
      </w:pPr>
      <w:r>
        <w:rPr>
          <w:rFonts w:ascii="Arial" w:cs="Arial" w:eastAsia="Arial" w:hAnsi="Arial"/>
          <w:sz w:val="29"/>
          <w:szCs w:val="29"/>
          <w:b w:val="1"/>
          <w:bCs w:val="1"/>
          <w:color w:val="auto"/>
        </w:rPr>
        <w:t>HAWKINS, INC.</w:t>
      </w:r>
    </w:p>
    <w:p>
      <w:pPr>
        <w:spacing w:after="0" w:line="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(Exact name of registrant as specified in its charter)</w:t>
      </w:r>
    </w:p>
    <w:p>
      <w:pPr>
        <w:spacing w:after="0" w:line="129" w:lineRule="exact"/>
        <w:rPr>
          <w:sz w:val="24"/>
          <w:szCs w:val="24"/>
          <w:color w:val="auto"/>
        </w:rPr>
      </w:pPr>
    </w:p>
    <w:tbl>
      <w:tblPr>
        <w:tblLayout w:type="fixed"/>
        <w:tblInd w:w="720" w:type="dxa"/>
        <w:tblCellMar>
          <w:top w:w="0" w:type="dxa"/>
          <w:left w:w="0" w:type="dxa"/>
          <w:bottom w:w="0" w:type="dxa"/>
          <w:right w:w="0" w:type="dxa"/>
        </w:tblCellMar>
      </w:tblPr>
      <w:tr>
        <w:trPr>
          <w:trHeight w:val="230"/>
        </w:trPr>
        <w:tc>
          <w:tcPr>
            <w:tcW w:w="1700" w:type="dxa"/>
            <w:vAlign w:val="bottom"/>
          </w:tcPr>
          <w:p>
            <w:pPr>
              <w:spacing w:after="0"/>
              <w:rPr>
                <w:sz w:val="19"/>
                <w:szCs w:val="19"/>
                <w:color w:val="auto"/>
              </w:rPr>
            </w:pPr>
          </w:p>
        </w:tc>
        <w:tc>
          <w:tcPr>
            <w:tcW w:w="2860" w:type="dxa"/>
            <w:vAlign w:val="bottom"/>
            <w:gridSpan w:val="2"/>
          </w:tcPr>
          <w:p>
            <w:pPr>
              <w:jc w:val="center"/>
              <w:ind w:right="1980"/>
              <w:spacing w:after="0"/>
              <w:rPr>
                <w:sz w:val="20"/>
                <w:szCs w:val="20"/>
                <w:color w:val="auto"/>
              </w:rPr>
            </w:pPr>
            <w:r>
              <w:rPr>
                <w:rFonts w:ascii="Arial" w:cs="Arial" w:eastAsia="Arial" w:hAnsi="Arial"/>
                <w:sz w:val="20"/>
                <w:szCs w:val="20"/>
                <w:b w:val="1"/>
                <w:bCs w:val="1"/>
                <w:color w:val="auto"/>
                <w:w w:val="88"/>
              </w:rPr>
              <w:t>Minnesota</w:t>
            </w:r>
          </w:p>
        </w:tc>
        <w:tc>
          <w:tcPr>
            <w:tcW w:w="4600" w:type="dxa"/>
            <w:vAlign w:val="bottom"/>
          </w:tcPr>
          <w:p>
            <w:pPr>
              <w:jc w:val="right"/>
              <w:ind w:right="745"/>
              <w:spacing w:after="0"/>
              <w:rPr>
                <w:sz w:val="20"/>
                <w:szCs w:val="20"/>
                <w:color w:val="auto"/>
              </w:rPr>
            </w:pPr>
            <w:r>
              <w:rPr>
                <w:rFonts w:ascii="Arial" w:cs="Arial" w:eastAsia="Arial" w:hAnsi="Arial"/>
                <w:sz w:val="20"/>
                <w:szCs w:val="20"/>
                <w:b w:val="1"/>
                <w:bCs w:val="1"/>
                <w:color w:val="auto"/>
              </w:rPr>
              <w:t>41-0771293</w:t>
            </w:r>
          </w:p>
        </w:tc>
      </w:tr>
      <w:tr>
        <w:trPr>
          <w:trHeight w:val="20"/>
        </w:trPr>
        <w:tc>
          <w:tcPr>
            <w:tcW w:w="1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91"/>
        </w:trPr>
        <w:tc>
          <w:tcPr>
            <w:tcW w:w="456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600" w:type="dxa"/>
            <w:vAlign w:val="bottom"/>
          </w:tcPr>
          <w:p>
            <w:pPr>
              <w:jc w:val="center"/>
              <w:ind w:left="1885"/>
              <w:spacing w:after="0"/>
              <w:rPr>
                <w:sz w:val="20"/>
                <w:szCs w:val="20"/>
                <w:color w:val="auto"/>
              </w:rPr>
            </w:pPr>
            <w:r>
              <w:rPr>
                <w:rFonts w:ascii="Arial" w:cs="Arial" w:eastAsia="Arial" w:hAnsi="Arial"/>
                <w:sz w:val="18"/>
                <w:szCs w:val="18"/>
                <w:color w:val="auto"/>
                <w:w w:val="94"/>
              </w:rPr>
              <w:t>(I.R.S. Employer Identification No.)</w:t>
            </w:r>
          </w:p>
        </w:tc>
      </w:tr>
      <w:tr>
        <w:trPr>
          <w:trHeight w:val="234"/>
        </w:trPr>
        <w:tc>
          <w:tcPr>
            <w:tcW w:w="1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00" w:type="dxa"/>
            <w:vAlign w:val="bottom"/>
          </w:tcPr>
          <w:p>
            <w:pPr>
              <w:jc w:val="center"/>
              <w:ind w:right="1145"/>
              <w:spacing w:after="0"/>
              <w:rPr>
                <w:sz w:val="20"/>
                <w:szCs w:val="20"/>
                <w:color w:val="auto"/>
              </w:rPr>
            </w:pPr>
            <w:r>
              <w:rPr>
                <w:rFonts w:ascii="Arial" w:cs="Arial" w:eastAsia="Arial" w:hAnsi="Arial"/>
                <w:sz w:val="20"/>
                <w:szCs w:val="20"/>
                <w:b w:val="1"/>
                <w:bCs w:val="1"/>
                <w:color w:val="auto"/>
                <w:w w:val="85"/>
              </w:rPr>
              <w:t>2381 Rosegate</w:t>
            </w:r>
          </w:p>
        </w:tc>
      </w:tr>
      <w:tr>
        <w:trPr>
          <w:trHeight w:val="238"/>
        </w:trPr>
        <w:tc>
          <w:tcPr>
            <w:tcW w:w="1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00" w:type="dxa"/>
            <w:vAlign w:val="bottom"/>
          </w:tcPr>
          <w:p>
            <w:pPr>
              <w:jc w:val="center"/>
              <w:ind w:right="1145"/>
              <w:spacing w:after="0"/>
              <w:rPr>
                <w:sz w:val="20"/>
                <w:szCs w:val="20"/>
                <w:color w:val="auto"/>
              </w:rPr>
            </w:pPr>
            <w:r>
              <w:rPr>
                <w:rFonts w:ascii="Arial" w:cs="Arial" w:eastAsia="Arial" w:hAnsi="Arial"/>
                <w:sz w:val="20"/>
                <w:szCs w:val="20"/>
                <w:b w:val="1"/>
                <w:bCs w:val="1"/>
                <w:color w:val="auto"/>
                <w:w w:val="89"/>
              </w:rPr>
              <w:t>Roseville, MN 55113</w:t>
            </w:r>
          </w:p>
        </w:tc>
      </w:tr>
      <w:tr>
        <w:trPr>
          <w:trHeight w:val="230"/>
        </w:trPr>
        <w:tc>
          <w:tcPr>
            <w:tcW w:w="1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00" w:type="dxa"/>
            <w:vAlign w:val="bottom"/>
          </w:tcPr>
          <w:p>
            <w:pPr>
              <w:jc w:val="center"/>
              <w:ind w:right="1125"/>
              <w:spacing w:after="0"/>
              <w:rPr>
                <w:sz w:val="20"/>
                <w:szCs w:val="20"/>
                <w:color w:val="auto"/>
              </w:rPr>
            </w:pPr>
            <w:r>
              <w:rPr>
                <w:rFonts w:ascii="Arial" w:cs="Arial" w:eastAsia="Arial" w:hAnsi="Arial"/>
                <w:sz w:val="18"/>
                <w:szCs w:val="18"/>
                <w:color w:val="auto"/>
                <w:w w:val="92"/>
              </w:rPr>
              <w:t>(Address of principal executive offices)</w:t>
            </w:r>
          </w:p>
        </w:tc>
      </w:tr>
    </w:tbl>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Hawkins, Inc. 2019 Equity Incentive Plan</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(Full title of the plan(s))</w:t>
      </w:r>
    </w:p>
    <w:p>
      <w:pPr>
        <w:spacing w:after="0" w:line="20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Richard G. Erstad</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Vice President, General Counsel and Secretary</w:t>
      </w:r>
    </w:p>
    <w:p>
      <w:pPr>
        <w:jc w:val="center"/>
        <w:ind w:right="-99"/>
        <w:spacing w:after="0"/>
        <w:rPr>
          <w:sz w:val="20"/>
          <w:szCs w:val="20"/>
          <w:color w:val="auto"/>
        </w:rPr>
      </w:pPr>
      <w:r>
        <w:rPr>
          <w:rFonts w:ascii="Arial" w:cs="Arial" w:eastAsia="Arial" w:hAnsi="Arial"/>
          <w:sz w:val="20"/>
          <w:szCs w:val="20"/>
          <w:b w:val="1"/>
          <w:bCs w:val="1"/>
          <w:color w:val="auto"/>
        </w:rPr>
        <w:t>Hawkins, Inc.</w:t>
      </w:r>
    </w:p>
    <w:p>
      <w:pPr>
        <w:jc w:val="center"/>
        <w:ind w:right="-99"/>
        <w:spacing w:after="0"/>
        <w:rPr>
          <w:sz w:val="20"/>
          <w:szCs w:val="20"/>
          <w:color w:val="auto"/>
        </w:rPr>
      </w:pPr>
      <w:r>
        <w:rPr>
          <w:rFonts w:ascii="Arial" w:cs="Arial" w:eastAsia="Arial" w:hAnsi="Arial"/>
          <w:sz w:val="20"/>
          <w:szCs w:val="20"/>
          <w:b w:val="1"/>
          <w:bCs w:val="1"/>
          <w:color w:val="auto"/>
        </w:rPr>
        <w:t>2381 Rosegate, Roseville, MN 55113</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and address of agent for service)</w:t>
      </w:r>
    </w:p>
    <w:p>
      <w:pPr>
        <w:spacing w:after="0" w:line="201" w:lineRule="exact"/>
        <w:rPr>
          <w:sz w:val="24"/>
          <w:szCs w:val="24"/>
          <w:color w:val="auto"/>
        </w:rPr>
      </w:pPr>
    </w:p>
    <w:p>
      <w:pPr>
        <w:jc w:val="center"/>
        <w:ind w:left="740"/>
        <w:spacing w:after="0"/>
        <w:rPr>
          <w:sz w:val="20"/>
          <w:szCs w:val="20"/>
          <w:color w:val="auto"/>
        </w:rPr>
      </w:pPr>
      <w:r>
        <w:rPr>
          <w:rFonts w:ascii="Arial" w:cs="Arial" w:eastAsia="Arial" w:hAnsi="Arial"/>
          <w:sz w:val="20"/>
          <w:szCs w:val="20"/>
          <w:b w:val="1"/>
          <w:bCs w:val="1"/>
          <w:color w:val="auto"/>
        </w:rPr>
        <w:t>(612) 331-6910</w:t>
      </w:r>
    </w:p>
    <w:p>
      <w:pPr>
        <w:spacing w:after="0" w:line="24"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27" w:lineRule="exact"/>
        <w:rPr>
          <w:sz w:val="24"/>
          <w:szCs w:val="24"/>
          <w:color w:val="auto"/>
        </w:rPr>
      </w:pPr>
    </w:p>
    <w:p>
      <w:pPr>
        <w:ind w:right="220" w:firstLine="648"/>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0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9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140" w:type="dxa"/>
            <w:vAlign w:val="bottom"/>
          </w:tcPr>
          <w:p>
            <w:pPr>
              <w:ind w:left="270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 w:lineRule="exact"/>
        <w:rPr>
          <w:sz w:val="24"/>
          <w:szCs w:val="24"/>
          <w:color w:val="auto"/>
        </w:rPr>
      </w:pPr>
    </w:p>
    <w:p>
      <w:pPr>
        <w:ind w:right="40" w:firstLine="64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 w:lineRule="exact"/>
        <w:rPr>
          <w:sz w:val="24"/>
          <w:szCs w:val="24"/>
          <w:color w:val="auto"/>
        </w:rPr>
      </w:pPr>
    </w:p>
    <w:p>
      <w:pPr>
        <w:ind w:left="4180"/>
        <w:spacing w:after="0"/>
        <w:rPr>
          <w:sz w:val="20"/>
          <w:szCs w:val="20"/>
          <w:color w:val="auto"/>
        </w:rPr>
      </w:pPr>
      <w:r>
        <w:rPr>
          <w:rFonts w:ascii="Arial" w:cs="Arial" w:eastAsia="Arial" w:hAnsi="Arial"/>
          <w:sz w:val="20"/>
          <w:szCs w:val="20"/>
          <w:b w:val="1"/>
          <w:bCs w:val="1"/>
          <w:color w:val="auto"/>
        </w:rPr>
        <w:t>CALCULATION OF REGISTRATION FEE</w:t>
      </w:r>
    </w:p>
    <w:p>
      <w:pPr>
        <w:spacing w:after="0" w:line="116" w:lineRule="exact"/>
        <w:rPr>
          <w:sz w:val="24"/>
          <w:szCs w:val="24"/>
          <w:color w:val="auto"/>
        </w:rPr>
      </w:pPr>
    </w:p>
    <w:tbl>
      <w:tblPr>
        <w:tblLayout w:type="fixed"/>
        <w:tblInd w:w="220" w:type="dxa"/>
        <w:tblCellMar>
          <w:top w:w="0" w:type="dxa"/>
          <w:left w:w="0" w:type="dxa"/>
          <w:bottom w:w="0" w:type="dxa"/>
          <w:right w:w="0" w:type="dxa"/>
        </w:tblCellMar>
      </w:tblPr>
      <w:tr>
        <w:trPr>
          <w:trHeight w:val="40"/>
        </w:trPr>
        <w:tc>
          <w:tcPr>
            <w:tcW w:w="398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398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176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Proposed Maximum</w:t>
            </w: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Amount of Registration</w:t>
            </w:r>
          </w:p>
        </w:tc>
        <w:tc>
          <w:tcPr>
            <w:tcW w:w="0" w:type="dxa"/>
            <w:vAlign w:val="bottom"/>
          </w:tcPr>
          <w:p>
            <w:pPr>
              <w:spacing w:after="0"/>
              <w:rPr>
                <w:sz w:val="1"/>
                <w:szCs w:val="1"/>
                <w:color w:val="auto"/>
              </w:rPr>
            </w:pPr>
          </w:p>
        </w:tc>
      </w:tr>
      <w:tr>
        <w:trPr>
          <w:trHeight w:val="68"/>
        </w:trPr>
        <w:tc>
          <w:tcPr>
            <w:tcW w:w="3980" w:type="dxa"/>
            <w:vAlign w:val="bottom"/>
            <w:tcBorders>
              <w:right w:val="single" w:sz="8" w:color="auto"/>
            </w:tcBorders>
            <w:vMerge w:val="restart"/>
          </w:tcPr>
          <w:p>
            <w:pPr>
              <w:ind w:left="920"/>
              <w:spacing w:after="0" w:line="149" w:lineRule="exact"/>
              <w:rPr>
                <w:sz w:val="20"/>
                <w:szCs w:val="20"/>
                <w:color w:val="auto"/>
              </w:rPr>
            </w:pPr>
            <w:r>
              <w:rPr>
                <w:rFonts w:ascii="Arial" w:cs="Arial" w:eastAsia="Arial" w:hAnsi="Arial"/>
                <w:sz w:val="14"/>
                <w:szCs w:val="14"/>
                <w:b w:val="1"/>
                <w:bCs w:val="1"/>
                <w:color w:val="auto"/>
              </w:rPr>
              <w:t>Title of Securities to be Registered</w:t>
            </w:r>
          </w:p>
        </w:tc>
        <w:tc>
          <w:tcPr>
            <w:tcW w:w="17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Amount to be Registered(1)</w:t>
            </w:r>
          </w:p>
        </w:tc>
        <w:tc>
          <w:tcPr>
            <w:tcW w:w="176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Proposed Maximum</w:t>
            </w:r>
          </w:p>
        </w:tc>
        <w:tc>
          <w:tcPr>
            <w:tcW w:w="176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Aggregate Offering</w:t>
            </w: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80" w:type="dxa"/>
            <w:vAlign w:val="bottom"/>
            <w:tcBorders>
              <w:right w:val="single" w:sz="8" w:color="auto"/>
            </w:tcBorders>
            <w:vMerge w:val="continue"/>
          </w:tcPr>
          <w:p>
            <w:pPr>
              <w:spacing w:after="0"/>
              <w:rPr>
                <w:sz w:val="7"/>
                <w:szCs w:val="7"/>
                <w:color w:val="auto"/>
              </w:rPr>
            </w:pPr>
          </w:p>
        </w:tc>
        <w:tc>
          <w:tcPr>
            <w:tcW w:w="1780" w:type="dxa"/>
            <w:vAlign w:val="bottom"/>
            <w:tcBorders>
              <w:right w:val="single" w:sz="8" w:color="auto"/>
            </w:tcBorders>
            <w:vMerge w:val="continue"/>
          </w:tcPr>
          <w:p>
            <w:pPr>
              <w:spacing w:after="0"/>
              <w:rPr>
                <w:sz w:val="7"/>
                <w:szCs w:val="7"/>
                <w:color w:val="auto"/>
              </w:rPr>
            </w:pPr>
          </w:p>
        </w:tc>
        <w:tc>
          <w:tcPr>
            <w:tcW w:w="1760" w:type="dxa"/>
            <w:vAlign w:val="bottom"/>
            <w:tcBorders>
              <w:right w:val="single" w:sz="8" w:color="auto"/>
            </w:tcBorders>
            <w:vMerge w:val="continue"/>
          </w:tcPr>
          <w:p>
            <w:pPr>
              <w:spacing w:after="0"/>
              <w:rPr>
                <w:sz w:val="7"/>
                <w:szCs w:val="7"/>
                <w:color w:val="auto"/>
              </w:rPr>
            </w:pPr>
          </w:p>
        </w:tc>
        <w:tc>
          <w:tcPr>
            <w:tcW w:w="1760" w:type="dxa"/>
            <w:vAlign w:val="bottom"/>
            <w:tcBorders>
              <w:right w:val="single" w:sz="8" w:color="auto"/>
            </w:tcBorders>
            <w:vMerge w:val="continue"/>
          </w:tcPr>
          <w:p>
            <w:pPr>
              <w:spacing w:after="0"/>
              <w:rPr>
                <w:sz w:val="7"/>
                <w:szCs w:val="7"/>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Fee</w:t>
            </w:r>
          </w:p>
        </w:tc>
        <w:tc>
          <w:tcPr>
            <w:tcW w:w="0" w:type="dxa"/>
            <w:vAlign w:val="bottom"/>
          </w:tcPr>
          <w:p>
            <w:pPr>
              <w:spacing w:after="0"/>
              <w:rPr>
                <w:sz w:val="1"/>
                <w:szCs w:val="1"/>
                <w:color w:val="auto"/>
              </w:rPr>
            </w:pPr>
          </w:p>
        </w:tc>
      </w:tr>
      <w:tr>
        <w:trPr>
          <w:trHeight w:val="105"/>
        </w:trPr>
        <w:tc>
          <w:tcPr>
            <w:tcW w:w="398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Offering Price per Share(3)</w:t>
            </w: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Price(3)</w:t>
            </w:r>
          </w:p>
        </w:tc>
        <w:tc>
          <w:tcPr>
            <w:tcW w:w="1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98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right w:val="single" w:sz="8" w:color="auto"/>
            </w:tcBorders>
            <w:vMerge w:val="continue"/>
          </w:tcPr>
          <w:p>
            <w:pPr>
              <w:spacing w:after="0"/>
              <w:rPr>
                <w:sz w:val="7"/>
                <w:szCs w:val="7"/>
                <w:color w:val="auto"/>
              </w:rPr>
            </w:pPr>
          </w:p>
        </w:tc>
        <w:tc>
          <w:tcPr>
            <w:tcW w:w="1760" w:type="dxa"/>
            <w:vAlign w:val="bottom"/>
            <w:tcBorders>
              <w:bottom w:val="single" w:sz="8" w:color="auto"/>
              <w:right w:val="single" w:sz="8" w:color="auto"/>
            </w:tcBorders>
            <w:vMerge w:val="continue"/>
          </w:tcPr>
          <w:p>
            <w:pPr>
              <w:spacing w:after="0"/>
              <w:rPr>
                <w:sz w:val="7"/>
                <w:szCs w:val="7"/>
                <w:color w:val="auto"/>
              </w:rPr>
            </w:pPr>
          </w:p>
        </w:tc>
        <w:tc>
          <w:tcPr>
            <w:tcW w:w="1760" w:type="dxa"/>
            <w:vAlign w:val="bottom"/>
            <w:tcBorders>
              <w:bottom w:val="single" w:sz="8" w:color="auto"/>
              <w:right w:val="single" w:sz="8" w:color="auto"/>
            </w:tcBorders>
            <w:vMerge w:val="continue"/>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9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 par value $.05 per share</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750,000 shares</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$40.60</w:t>
            </w:r>
          </w:p>
        </w:tc>
        <w:tc>
          <w:tcPr>
            <w:tcW w:w="1760" w:type="dxa"/>
            <w:vAlign w:val="bottom"/>
            <w:tcBorders>
              <w:right w:val="single" w:sz="8" w:color="auto"/>
            </w:tcBorders>
          </w:tcPr>
          <w:p>
            <w:pPr>
              <w:jc w:val="right"/>
              <w:ind w:right="384"/>
              <w:spacing w:after="0"/>
              <w:rPr>
                <w:sz w:val="20"/>
                <w:szCs w:val="20"/>
                <w:color w:val="auto"/>
              </w:rPr>
            </w:pPr>
            <w:r>
              <w:rPr>
                <w:rFonts w:ascii="Arial" w:cs="Arial" w:eastAsia="Arial" w:hAnsi="Arial"/>
                <w:sz w:val="18"/>
                <w:szCs w:val="18"/>
                <w:color w:val="auto"/>
              </w:rPr>
              <w:t>$30,450,000</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$3,953</w:t>
            </w:r>
          </w:p>
        </w:tc>
        <w:tc>
          <w:tcPr>
            <w:tcW w:w="0" w:type="dxa"/>
            <w:vAlign w:val="bottom"/>
          </w:tcPr>
          <w:p>
            <w:pPr>
              <w:spacing w:after="0"/>
              <w:rPr>
                <w:sz w:val="1"/>
                <w:szCs w:val="1"/>
                <w:color w:val="auto"/>
              </w:rPr>
            </w:pPr>
          </w:p>
        </w:tc>
      </w:tr>
      <w:tr>
        <w:trPr>
          <w:trHeight w:val="27"/>
        </w:trPr>
        <w:tc>
          <w:tcPr>
            <w:tcW w:w="39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 w:lineRule="exact"/>
        <w:rPr>
          <w:sz w:val="24"/>
          <w:szCs w:val="24"/>
          <w:color w:val="auto"/>
        </w:rPr>
      </w:pPr>
    </w:p>
    <w:p>
      <w:pPr>
        <w:ind w:left="260" w:hanging="238"/>
        <w:spacing w:after="0" w:line="246" w:lineRule="auto"/>
        <w:tabs>
          <w:tab w:leader="none" w:pos="260" w:val="left"/>
        </w:tabs>
        <w:numPr>
          <w:ilvl w:val="0"/>
          <w:numId w:val="1"/>
        </w:numPr>
        <w:rPr>
          <w:rFonts w:ascii="Arial" w:cs="Arial" w:eastAsia="Arial" w:hAnsi="Arial"/>
          <w:sz w:val="14"/>
          <w:szCs w:val="14"/>
          <w:color w:val="auto"/>
        </w:rPr>
      </w:pPr>
      <w:r>
        <w:rPr>
          <w:rFonts w:ascii="Arial" w:cs="Arial" w:eastAsia="Arial" w:hAnsi="Arial"/>
          <w:sz w:val="14"/>
          <w:szCs w:val="14"/>
          <w:color w:val="auto"/>
        </w:rPr>
        <w:t>As described in the Explanatory Note in this Registration Statement, the number of shares of common stock, $.05 par value per share (“Common Stock”), registered hereby consists of (a) 750,000 shares being registered for the first time pursuant to Hawkins, Inc. 2019 Equity Incentive Plan (the “2019 Plan”), plus (b) up to 152,155 shares of Common Stock that were subject to outstanding awards under the Hawkins, Inc. 2010 Omnibus Incentive Plan as of August 1, 2019, which shares may become available for future awards under the 2019 Plan to the extent that the associated awards under the 2010 plan expire, are cancelled, are forfeited or are settled for cash.</w:t>
      </w:r>
    </w:p>
    <w:p>
      <w:pPr>
        <w:ind w:left="260" w:right="120" w:hanging="238"/>
        <w:spacing w:after="0" w:line="241" w:lineRule="auto"/>
        <w:tabs>
          <w:tab w:leader="none" w:pos="26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 of the Securities Act of 1933, as amended (the “Securities Act”), this Registration Statement includes an indeterminate number of additional shares of Common Stock as may be issuable pursuant to a stock split, stock dividend or similar adjustment of the outstanding Common Stock of the Company and additional shares of Common Stock that may become issuable pursuant to anti-dilution provisions of the 2019 Plan.</w:t>
      </w:r>
    </w:p>
    <w:p>
      <w:pPr>
        <w:spacing w:after="0" w:line="1" w:lineRule="exact"/>
        <w:rPr>
          <w:rFonts w:ascii="Arial" w:cs="Arial" w:eastAsia="Arial" w:hAnsi="Arial"/>
          <w:sz w:val="14"/>
          <w:szCs w:val="14"/>
          <w:color w:val="auto"/>
        </w:rPr>
      </w:pPr>
    </w:p>
    <w:p>
      <w:pPr>
        <w:ind w:left="260" w:right="400" w:hanging="238"/>
        <w:spacing w:after="0" w:line="255" w:lineRule="auto"/>
        <w:tabs>
          <w:tab w:leader="none" w:pos="2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in accordance with Rule 457(c) solely for the purpose of calculating the registration fee. The maximum price per share and maximum aggregate offering price are based on the average of the high and low sales price per share on October 28, 2019 as reported by the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-941070</wp:posOffset>
            </wp:positionV>
            <wp:extent cx="6997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164465</wp:posOffset>
            </wp:positionV>
            <wp:extent cx="70923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2315" cy="1714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78740</wp:posOffset>
            </wp:positionV>
            <wp:extent cx="7092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2315" cy="8890"/>
                    </a:xfrm>
                    <a:prstGeom prst="rect">
                      <a:avLst/>
                    </a:prstGeom>
                    <a:noFill/>
                  </pic:spPr>
                </pic:pic>
              </a:graphicData>
            </a:graphic>
          </wp:anchor>
        </w:drawing>
      </w:r>
    </w:p>
    <w:p>
      <w:pPr>
        <w:sectPr>
          <w:pgSz w:w="11900" w:h="16838" w:orient="portrait"/>
          <w:cols w:equalWidth="0" w:num="1">
            <w:col w:w="11340"/>
          </w:cols>
          <w:pgMar w:left="240" w:top="1354" w:right="3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August 1, 2019, the shareholders of Hawkins, Inc. (the “Company”) approved the Hawkins, Inc. 2019 Equity Incentive Plan (the “2019 Plan”). As provided in the 2019 Plan, 750,000 shares of the Company’s common stock, $.05 par value per share (“Common Stock”), are available for issuance as the subject of awards and issued to employees, consultants, and advisors of the Company or any subsidiary, as well as non-employee directors of the Company. In addition, the number of shares of Common Stock available for issuance under the 2019 Plan will be increased by the number of shares subject to awards under the Hawkins, Inc. 2010 Omnibus Incentive Plan (the “2010 Plan”) as of August 1, 2019 that expire, are forfeited, or are settled in cash. The Company’s authority to grant new awards under the 2010 Plan terminated upon shareholder approval of the 2019 Plan.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specified in Part I of Form S-8 is not required to be filed with the Securities and Exchange Commission either as part of this Registration Statement or as prospectuses or prospectus supplements pursuant to the introductory Note to Part I of Form S-8 and Rule 424 under the Securities Act of 1933, as amended (the “Securities Act”). The information required in the Section 10(a) prospectus is included in the documents being maintained and delivered by the Company as required by Part I of Form S-8 and by Rule 428 under the Securities Act.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documents of the Company, filed with the Securities and Exchange Commission (the “Commission”) pursuant to the Securities Exchange Act of 1934, as amended (the “Exchange Act”), are, as of their respective dates, incorporated herein by reference and made a part hereof:</w:t>
      </w:r>
    </w:p>
    <w:p>
      <w:pPr>
        <w:spacing w:after="0" w:line="147"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w:t>
      </w:r>
      <w:hyperlink r:id="rId13">
        <w:r>
          <w:rPr>
            <w:rFonts w:ascii="Arial" w:cs="Arial" w:eastAsia="Arial" w:hAnsi="Arial"/>
            <w:sz w:val="18"/>
            <w:szCs w:val="18"/>
            <w:u w:val="single" w:color="auto"/>
            <w:color w:val="0000FF"/>
          </w:rPr>
          <w:t>March 31, 2019</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14">
        <w:r>
          <w:rPr>
            <w:rFonts w:ascii="Arial" w:cs="Arial" w:eastAsia="Arial" w:hAnsi="Arial"/>
            <w:sz w:val="18"/>
            <w:szCs w:val="18"/>
            <w:u w:val="single" w:color="auto"/>
            <w:color w:val="0000FF"/>
          </w:rPr>
          <w:t>June 30,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5">
        <w:r>
          <w:rPr>
            <w:rFonts w:ascii="Arial" w:cs="Arial" w:eastAsia="Arial" w:hAnsi="Arial"/>
            <w:sz w:val="18"/>
            <w:szCs w:val="18"/>
            <w:u w:val="single" w:color="auto"/>
            <w:color w:val="0000FF"/>
          </w:rPr>
          <w:t>September 29, 2019</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w:t>
      </w:r>
      <w:hyperlink r:id="rId16">
        <w:r>
          <w:rPr>
            <w:rFonts w:ascii="Arial" w:cs="Arial" w:eastAsia="Arial" w:hAnsi="Arial"/>
            <w:sz w:val="18"/>
            <w:szCs w:val="18"/>
            <w:u w:val="single" w:color="auto"/>
            <w:color w:val="0000FF"/>
          </w:rPr>
          <w:t>current report on Form 8-K filed with the Commission on August 5, 2019</w:t>
        </w:r>
      </w:hyperlink>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description of the Company’s Common Stock filed as </w:t>
      </w:r>
      <w:hyperlink r:id="rId17">
        <w:r>
          <w:rPr>
            <w:rFonts w:ascii="Arial" w:cs="Arial" w:eastAsia="Arial" w:hAnsi="Arial"/>
            <w:sz w:val="17"/>
            <w:szCs w:val="17"/>
            <w:u w:val="single" w:color="auto"/>
            <w:color w:val="0000FF"/>
          </w:rPr>
          <w:t>Exhibit 4.1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Annual Report on Form 10-K of the Company for the fiscal year ended March 31, 2019, together with any amendments or reports filed for the purpose of updating that description.</w:t>
      </w:r>
    </w:p>
    <w:p>
      <w:pPr>
        <w:spacing w:after="0" w:line="147" w:lineRule="exact"/>
        <w:rPr>
          <w:rFonts w:ascii="Arial" w:cs="Arial" w:eastAsia="Arial" w:hAnsi="Arial"/>
          <w:sz w:val="18"/>
          <w:szCs w:val="18"/>
          <w:color w:val="auto"/>
        </w:rPr>
      </w:pPr>
    </w:p>
    <w:p>
      <w:pPr>
        <w:jc w:val="both"/>
        <w:ind w:firstLine="648"/>
        <w:spacing w:after="0" w:line="220" w:lineRule="exact"/>
        <w:rPr>
          <w:sz w:val="20"/>
          <w:szCs w:val="20"/>
          <w:color w:val="auto"/>
        </w:rPr>
      </w:pPr>
      <w:r>
        <w:rPr>
          <w:rFonts w:ascii="Arial" w:cs="Arial" w:eastAsia="Arial" w:hAnsi="Arial"/>
          <w:sz w:val="18"/>
          <w:szCs w:val="18"/>
          <w:color w:val="auto"/>
        </w:rPr>
        <w:t>All reports and other documents filed by the Company pursuant to Sections 13(a), 13(c), 14 or 15(d) of the Exchange Act subsequent to the date of this Registration Statement and prior to the filing of a post</w:t>
      </w:r>
      <w:r>
        <w:rPr>
          <w:rFonts w:ascii="MS PGothic" w:cs="MS PGothic" w:eastAsia="MS PGothic" w:hAnsi="MS PGothic"/>
          <w:sz w:val="18"/>
          <w:szCs w:val="18"/>
          <w:color w:val="auto"/>
        </w:rPr>
        <w:t>‑</w:t>
      </w:r>
      <w:r>
        <w:rPr>
          <w:rFonts w:ascii="Arial" w:cs="Arial" w:eastAsia="Arial" w:hAnsi="Arial"/>
          <w:sz w:val="18"/>
          <w:szCs w:val="18"/>
          <w:color w:val="auto"/>
        </w:rPr>
        <w:t>effective amendment that indicates that all of the securities offered have been sold or that deregisters all securities then remaining unsold shall be deemed to be incorporated by reference in and a part of this Registration Statement from the date of filing of such documents.</w:t>
      </w:r>
    </w:p>
    <w:p>
      <w:pPr>
        <w:spacing w:after="0" w:line="204" w:lineRule="exact"/>
        <w:rPr>
          <w:rFonts w:ascii="Arial" w:cs="Arial" w:eastAsia="Arial" w:hAnsi="Arial"/>
          <w:sz w:val="18"/>
          <w:szCs w:val="18"/>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incorporated herein by reference or in any other subsequently filed document that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67" w:lineRule="exact"/>
        <w:rPr>
          <w:rFonts w:ascii="Arial" w:cs="Arial" w:eastAsia="Arial" w:hAnsi="Arial"/>
          <w:sz w:val="18"/>
          <w:szCs w:val="18"/>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229"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29"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580" w:right="239" w:bottom="1440" w:gutter="0" w:footer="0" w:header="0"/>
        </w:sectPr>
      </w:pPr>
    </w:p>
    <w:bookmarkStart w:id="2" w:name="page3"/>
    <w:bookmarkEnd w:id="2"/>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302A.521 of Minnesota Statutes requires the Company to indemnify a person made or threatened to be made a party to a proceeding by reason of the former or present official capacity of the person with respect to the Company, against judgments, penalties, fines, including, without limitation, excise taxes assessed against the person with respect to an employee benefit plan, settlements and reasonable expenses, including attorneys’ fees and disbursements, incurred by the person in connection with the proceeding, if such person (1) has not been indemnified by another organization or employee benefit plan for the same judgments, penalties, fines, including, without limitation, excise taxes assessed against the person with respect to an employee benefit plan, settlements, and reasonable expenses, including attorneys’ fees and disbursements, incurred by the person in connection with the proceeding with respect to the same acts or omissions; (2) acted in good faith; (3) received no improper personal benefit, and statutory procedure has been followed in the case of any conflict of interest by a director; (4) in the case of a criminal proceeding, had no reasonable cause to believe the conduct was unlawful; and (5) in the case of acts or omissions occurring in the person’s performance in the official capacity of director or, for a person not a director, in the official capacity of officer, committee member or employee, reasonably believed that the conduct was in the best interests of the Company, or, in the case of performance by a director, officer or employee of the Company as a director, officer, partner, trustee, employee or agent of another organization or employee benefit plan, reasonably believed that the conduct was not opposed to the best interests of the Company.</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Section 302A.521, subd. 3, requires payment by the Company, upon written request, of reasonable expenses in advance of final disposition in certain instances. A decision as to required indemnification is made by a disinterested majority of the Board of Directors present at a meeting at which a disinterested quorum is present, or by a designated committee of the Board, by special legal counsel, by the shareholders or by a court. The Company’s Amended and Second Restated Articles of Incorporation and Amended and Restated By-Laws provide for indemnification of officers, directors, employees, and agents to the fullest extent provided by Section 302A.521. Insofar as indemnification for liabilities arising under the Securities Act may be permitted to directors, officers and controlling persons of the Company pursuant to the provisions referenced in Item 6 of this Registration Statement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hereunder,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historically maintained directors’ and officers’ liability insurance.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6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9"/>
              </w:rPr>
              <w:t>Item 8.  Exhibits.</w:t>
            </w: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810"/>
        </w:trPr>
        <w:tc>
          <w:tcPr>
            <w:tcW w:w="420" w:type="dxa"/>
            <w:vAlign w:val="bottom"/>
          </w:tcPr>
          <w:p>
            <w:pPr>
              <w:spacing w:after="0"/>
              <w:rPr>
                <w:sz w:val="24"/>
                <w:szCs w:val="24"/>
                <w:color w:val="auto"/>
              </w:rPr>
            </w:pPr>
          </w:p>
        </w:tc>
        <w:tc>
          <w:tcPr>
            <w:tcW w:w="1180" w:type="dxa"/>
            <w:vAlign w:val="bottom"/>
            <w:gridSpan w:val="2"/>
          </w:tcPr>
          <w:p>
            <w:pPr>
              <w:jc w:val="center"/>
              <w:ind w:right="600"/>
              <w:spacing w:after="0"/>
              <w:rPr>
                <w:sz w:val="20"/>
                <w:szCs w:val="20"/>
                <w:color w:val="auto"/>
              </w:rPr>
            </w:pPr>
            <w:r>
              <w:rPr>
                <w:rFonts w:ascii="Arial" w:cs="Arial" w:eastAsia="Arial" w:hAnsi="Arial"/>
                <w:sz w:val="18"/>
                <w:szCs w:val="18"/>
                <w:color w:val="auto"/>
                <w:w w:val="99"/>
              </w:rPr>
              <w:t>Exhibit</w:t>
            </w: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2660" w:type="dxa"/>
            <w:vAlign w:val="bottom"/>
          </w:tcPr>
          <w:p>
            <w:pPr>
              <w:ind w:left="700"/>
              <w:spacing w:after="0"/>
              <w:rPr>
                <w:sz w:val="20"/>
                <w:szCs w:val="20"/>
                <w:color w:val="auto"/>
              </w:rPr>
            </w:pPr>
            <w:r>
              <w:rPr>
                <w:rFonts w:ascii="Arial" w:cs="Arial" w:eastAsia="Arial" w:hAnsi="Arial"/>
                <w:sz w:val="18"/>
                <w:szCs w:val="18"/>
                <w:color w:val="auto"/>
              </w:rPr>
              <w:t>Method of Filing</w:t>
            </w:r>
          </w:p>
        </w:tc>
      </w:tr>
      <w:tr>
        <w:trPr>
          <w:trHeight w:val="27"/>
        </w:trPr>
        <w:tc>
          <w:tcPr>
            <w:tcW w:w="4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547"/>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Opinion of Faegre Baker Daniels LLP</w:t>
            </w:r>
          </w:p>
        </w:tc>
        <w:tc>
          <w:tcPr>
            <w:tcW w:w="3960" w:type="dxa"/>
            <w:vAlign w:val="bottom"/>
            <w:gridSpan w:val="4"/>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Filed Electronically</w:t>
            </w:r>
          </w:p>
        </w:tc>
      </w:tr>
      <w:tr>
        <w:trPr>
          <w:trHeight w:val="250"/>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740" w:type="dxa"/>
            <w:vAlign w:val="bottom"/>
            <w:gridSpan w:val="7"/>
          </w:tcPr>
          <w:p>
            <w:pPr>
              <w:spacing w:after="0"/>
              <w:rPr>
                <w:sz w:val="20"/>
                <w:szCs w:val="20"/>
                <w:color w:val="auto"/>
              </w:rPr>
            </w:pPr>
            <w:r>
              <w:rPr>
                <w:rFonts w:ascii="Arial" w:cs="Arial" w:eastAsia="Arial" w:hAnsi="Arial"/>
                <w:sz w:val="18"/>
                <w:szCs w:val="18"/>
                <w:color w:val="0000FF"/>
              </w:rPr>
              <w:t>Consent of KPMG LLP, independent registered public accounting firm</w:t>
            </w:r>
          </w:p>
        </w:tc>
        <w:tc>
          <w:tcPr>
            <w:tcW w:w="2660" w:type="dxa"/>
            <w:vAlign w:val="bottom"/>
          </w:tcPr>
          <w:p>
            <w:pPr>
              <w:ind w:left="20"/>
              <w:spacing w:after="0"/>
              <w:rPr>
                <w:sz w:val="20"/>
                <w:szCs w:val="20"/>
                <w:color w:val="auto"/>
              </w:rPr>
            </w:pPr>
            <w:r>
              <w:rPr>
                <w:rFonts w:ascii="Arial" w:cs="Arial" w:eastAsia="Arial" w:hAnsi="Arial"/>
                <w:sz w:val="18"/>
                <w:szCs w:val="18"/>
                <w:color w:val="auto"/>
              </w:rPr>
              <w:t>Filed Electronically</w:t>
            </w:r>
          </w:p>
        </w:tc>
      </w:tr>
      <w:tr>
        <w:trPr>
          <w:trHeight w:val="250"/>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0"/>
              </w:rPr>
              <w:t>Consent of Faegre Baker Daniels LLP</w:t>
            </w:r>
          </w:p>
        </w:tc>
        <w:tc>
          <w:tcPr>
            <w:tcW w:w="2340" w:type="dxa"/>
            <w:vAlign w:val="bottom"/>
            <w:tcBorders>
              <w:top w:val="single" w:sz="8" w:color="0000FF"/>
            </w:tcBorders>
            <w:gridSpan w:val="3"/>
          </w:tcPr>
          <w:p>
            <w:pPr>
              <w:spacing w:after="0"/>
              <w:rPr>
                <w:sz w:val="21"/>
                <w:szCs w:val="21"/>
                <w:color w:val="auto"/>
              </w:rPr>
            </w:pPr>
          </w:p>
        </w:tc>
        <w:tc>
          <w:tcPr>
            <w:tcW w:w="1640" w:type="dxa"/>
            <w:vAlign w:val="bottom"/>
            <w:gridSpan w:val="2"/>
          </w:tcPr>
          <w:p>
            <w:pPr>
              <w:spacing w:after="0"/>
              <w:rPr>
                <w:sz w:val="21"/>
                <w:szCs w:val="21"/>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Contained in Exhibit 5.1</w:t>
            </w:r>
          </w:p>
        </w:tc>
      </w:tr>
      <w:tr>
        <w:trPr>
          <w:trHeight w:val="250"/>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Borders>
              <w:bottom w:val="single" w:sz="8" w:color="0000EE"/>
            </w:tcBorders>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Powers of Attorney</w:t>
              </w:r>
            </w:hyperlink>
          </w:p>
        </w:tc>
        <w:tc>
          <w:tcPr>
            <w:tcW w:w="5320" w:type="dxa"/>
            <w:vAlign w:val="bottom"/>
            <w:gridSpan w:val="6"/>
          </w:tcPr>
          <w:p>
            <w:pPr>
              <w:spacing w:after="0"/>
              <w:rPr>
                <w:sz w:val="21"/>
                <w:szCs w:val="21"/>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(included on signature page)</w:t>
            </w:r>
          </w:p>
        </w:tc>
      </w:tr>
      <w:tr>
        <w:trPr>
          <w:trHeight w:val="250"/>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740" w:type="dxa"/>
            <w:vAlign w:val="bottom"/>
            <w:gridSpan w:val="7"/>
          </w:tcPr>
          <w:p>
            <w:pPr>
              <w:spacing w:after="0"/>
              <w:rPr>
                <w:rFonts w:ascii="Arial" w:cs="Arial" w:eastAsia="Arial" w:hAnsi="Arial"/>
                <w:sz w:val="18"/>
                <w:szCs w:val="18"/>
                <w:color w:val="0000FF"/>
              </w:rPr>
            </w:pPr>
            <w:hyperlink r:id="rId18">
              <w:r>
                <w:rPr>
                  <w:rFonts w:ascii="Arial" w:cs="Arial" w:eastAsia="Arial" w:hAnsi="Arial"/>
                  <w:sz w:val="18"/>
                  <w:szCs w:val="18"/>
                  <w:color w:val="0000FF"/>
                </w:rPr>
                <w:t>Hawkins, Inc. 2019 Equity Incentive Plan</w:t>
              </w:r>
            </w:hyperlink>
          </w:p>
        </w:tc>
        <w:tc>
          <w:tcPr>
            <w:tcW w:w="2660" w:type="dxa"/>
            <w:vAlign w:val="bottom"/>
          </w:tcPr>
          <w:p>
            <w:pPr>
              <w:ind w:left="20"/>
              <w:spacing w:after="0"/>
              <w:rPr>
                <w:sz w:val="20"/>
                <w:szCs w:val="20"/>
                <w:color w:val="auto"/>
              </w:rPr>
            </w:pPr>
            <w:r>
              <w:rPr>
                <w:rFonts w:ascii="Arial" w:cs="Arial" w:eastAsia="Arial" w:hAnsi="Arial"/>
                <w:sz w:val="18"/>
                <w:szCs w:val="18"/>
                <w:color w:val="auto"/>
              </w:rPr>
              <w:t>Incorporated by reference to</w:t>
            </w:r>
          </w:p>
        </w:tc>
      </w:tr>
      <w:tr>
        <w:trPr>
          <w:trHeight w:val="237"/>
        </w:trPr>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Borders>
              <w:top w:val="single" w:sz="8" w:color="0000FF"/>
            </w:tcBorders>
          </w:tcPr>
          <w:p>
            <w:pPr>
              <w:spacing w:after="0"/>
              <w:rPr>
                <w:sz w:val="20"/>
                <w:szCs w:val="20"/>
                <w:color w:val="auto"/>
              </w:rPr>
            </w:pPr>
          </w:p>
        </w:tc>
        <w:tc>
          <w:tcPr>
            <w:tcW w:w="13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Exhibit 10.3 to the Company's</w:t>
            </w:r>
          </w:p>
        </w:tc>
      </w:tr>
    </w:tbl>
    <w:p>
      <w:pPr>
        <w:ind w:left="8380"/>
        <w:spacing w:after="0"/>
        <w:rPr>
          <w:sz w:val="20"/>
          <w:szCs w:val="20"/>
          <w:color w:val="auto"/>
        </w:rPr>
      </w:pPr>
      <w:r>
        <w:rPr>
          <w:rFonts w:ascii="Arial" w:cs="Arial" w:eastAsia="Arial" w:hAnsi="Arial"/>
          <w:sz w:val="18"/>
          <w:szCs w:val="18"/>
          <w:color w:val="auto"/>
        </w:rPr>
        <w:t>Quarterly Report on Form 10-Q for</w:t>
      </w:r>
    </w:p>
    <w:p>
      <w:pPr>
        <w:spacing w:after="0" w:line="9"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the quarterly period ended</w:t>
      </w:r>
    </w:p>
    <w:p>
      <w:pPr>
        <w:spacing w:after="0" w:line="9"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September 29,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1000" w:hanging="344"/>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hereby undertakes:</w:t>
      </w:r>
    </w:p>
    <w:p>
      <w:pPr>
        <w:spacing w:after="0" w:line="117" w:lineRule="exact"/>
        <w:rPr>
          <w:rFonts w:ascii="Arial" w:cs="Arial" w:eastAsia="Arial" w:hAnsi="Arial"/>
          <w:sz w:val="18"/>
          <w:szCs w:val="18"/>
          <w:color w:val="auto"/>
        </w:rPr>
      </w:pPr>
    </w:p>
    <w:p>
      <w:pPr>
        <w:ind w:left="1700" w:hanging="395"/>
        <w:spacing w:after="0"/>
        <w:tabs>
          <w:tab w:leader="none" w:pos="170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2300" w:hanging="347"/>
        <w:spacing w:after="0"/>
        <w:tabs>
          <w:tab w:leader="none" w:pos="2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jc w:val="both"/>
        <w:ind w:left="1300" w:firstLine="653"/>
        <w:spacing w:after="0" w:line="272" w:lineRule="auto"/>
        <w:tabs>
          <w:tab w:leader="none" w:pos="2421"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69" w:lineRule="exact"/>
        <w:rPr>
          <w:rFonts w:ascii="Arial" w:cs="Arial" w:eastAsia="Arial" w:hAnsi="Arial"/>
          <w:sz w:val="17"/>
          <w:szCs w:val="17"/>
          <w:color w:val="auto"/>
        </w:rPr>
      </w:pPr>
    </w:p>
    <w:p>
      <w:pPr>
        <w:ind w:left="1300" w:firstLine="653"/>
        <w:spacing w:after="0" w:line="277" w:lineRule="auto"/>
        <w:tabs>
          <w:tab w:leader="none" w:pos="2482"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and (A)(1)(ii) above do not apply if the Registration Statement is on Form S-8, and the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included in a post-effective amendment by those paragraphs is contained in reports filed with or furnished to the Commission by the Company pursuant to Section 13 or Section 15(d) of the Securities Exchange Act of 1934 that are incorporated by reference in the Registration Statement.</w:t>
      </w:r>
    </w:p>
    <w:p>
      <w:pPr>
        <w:spacing w:after="0" w:line="79" w:lineRule="exact"/>
        <w:rPr>
          <w:sz w:val="20"/>
          <w:szCs w:val="20"/>
          <w:color w:val="auto"/>
        </w:rPr>
      </w:pPr>
    </w:p>
    <w:p>
      <w:pPr>
        <w:jc w:val="both"/>
        <w:ind w:left="660" w:firstLine="645"/>
        <w:spacing w:after="0" w:line="264" w:lineRule="auto"/>
        <w:tabs>
          <w:tab w:leader="none" w:pos="1782"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3" w:lineRule="exact"/>
        <w:rPr>
          <w:rFonts w:ascii="Arial" w:cs="Arial" w:eastAsia="Arial" w:hAnsi="Arial"/>
          <w:sz w:val="18"/>
          <w:szCs w:val="18"/>
          <w:color w:val="auto"/>
        </w:rPr>
      </w:pPr>
    </w:p>
    <w:p>
      <w:pPr>
        <w:ind w:left="660" w:firstLine="645"/>
        <w:spacing w:after="0" w:line="277" w:lineRule="auto"/>
        <w:tabs>
          <w:tab w:leader="none" w:pos="1702"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01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Company hereby undertakes that, for purposes of determining any liability under the Securities Act of 1933, each filing of the Company’s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jc w:val="both"/>
        <w:ind w:firstLine="656"/>
        <w:spacing w:after="0" w:line="259" w:lineRule="auto"/>
        <w:tabs>
          <w:tab w:leader="none" w:pos="1011"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w:t>
      </w:r>
    </w:p>
    <w:p>
      <w:pPr>
        <w:sectPr>
          <w:pgSz w:w="11900" w:h="16838" w:orient="portrait"/>
          <w:cols w:equalWidth="0" w:num="1">
            <w:col w:w="11420"/>
          </w:cols>
          <w:pgMar w:left="240" w:top="580" w:right="239" w:bottom="1440" w:gutter="0" w:footer="0" w:header="0"/>
        </w:sectPr>
      </w:pPr>
    </w:p>
    <w:bookmarkStart w:id="4" w:name="page5"/>
    <w:bookmarkEnd w:id="4"/>
    <w:p>
      <w:pPr>
        <w:jc w:val="both"/>
        <w:spacing w:after="0" w:line="279" w:lineRule="auto"/>
        <w:rPr>
          <w:sz w:val="20"/>
          <w:szCs w:val="20"/>
          <w:color w:val="auto"/>
        </w:rPr>
      </w:pPr>
      <w:r>
        <w:rPr>
          <w:rFonts w:ascii="Arial" w:cs="Arial" w:eastAsia="Arial" w:hAnsi="Arial"/>
          <w:sz w:val="17"/>
          <w:szCs w:val="17"/>
          <w:color w:val="auto"/>
        </w:rPr>
        <w:t>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1420"/>
          </w:cols>
          <w:pgMar w:left="240" w:top="58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8"/>
          <w:szCs w:val="18"/>
          <w:color w:val="auto"/>
        </w:rPr>
        <w:t>Pursuant to the requirements of the Securities Act of 1933, the Company certifies that it has reasonable grounds to believe that it meets all of the requirements for filing on Form S</w:t>
      </w:r>
      <w:r>
        <w:rPr>
          <w:rFonts w:ascii="MS PGothic" w:cs="MS PGothic" w:eastAsia="MS PGothic" w:hAnsi="MS PGothic"/>
          <w:sz w:val="18"/>
          <w:szCs w:val="18"/>
          <w:color w:val="auto"/>
        </w:rPr>
        <w:t>‑</w:t>
      </w:r>
      <w:r>
        <w:rPr>
          <w:rFonts w:ascii="Arial" w:cs="Arial" w:eastAsia="Arial" w:hAnsi="Arial"/>
          <w:sz w:val="18"/>
          <w:szCs w:val="18"/>
          <w:color w:val="auto"/>
        </w:rPr>
        <w:t>8 and has duly caused this Registration Statement to be signed on its behalf by the undersigned, thereunto duly authorized, in the city of Roseville, Minnesota, on November 1, 2019.</w:t>
      </w:r>
    </w:p>
    <w:p>
      <w:pPr>
        <w:spacing w:after="0" w:line="20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Patrick H. Hawkins</w:t>
      </w:r>
    </w:p>
    <w:p>
      <w:pPr>
        <w:spacing w:after="0" w:line="23" w:lineRule="exact"/>
        <w:rPr>
          <w:sz w:val="20"/>
          <w:szCs w:val="20"/>
          <w:color w:val="auto"/>
        </w:rPr>
      </w:pPr>
    </w:p>
    <w:p>
      <w:pPr>
        <w:jc w:val="center"/>
        <w:ind w:right="26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person whose signature appears below also constitutes and appoints Patrick H. Hawkins, Jeffrey P. Oldenkamp and Richard G. Erstad, or any of them, his true and lawful attorney-in-fact and agent with full powers of substitution and resubstitution for and in his or her name, place and stead, in any and all capacities, to sign any or all amendments (including post-effective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or necessary to be done in and about the premises, as fully to all intents and purposes as he or she might or could do in person, hereby ratifying and confirming all that said attorney-in-fact and agent or his substitute or substitutes, may lawfully do or cause to be done by virtue hereof.</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November 1, 2019:</w:t>
      </w:r>
    </w:p>
    <w:p>
      <w:pPr>
        <w:spacing w:after="0" w:line="315"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17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4080" w:type="dxa"/>
            <w:vAlign w:val="bottom"/>
            <w:gridSpan w:val="3"/>
          </w:tcPr>
          <w:p>
            <w:pPr>
              <w:ind w:left="3000"/>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740" w:type="dxa"/>
            <w:vAlign w:val="bottom"/>
          </w:tcPr>
          <w:p>
            <w:pPr>
              <w:ind w:left="20"/>
              <w:spacing w:after="0"/>
              <w:rPr>
                <w:sz w:val="20"/>
                <w:szCs w:val="20"/>
                <w:color w:val="auto"/>
              </w:rPr>
            </w:pPr>
            <w:r>
              <w:rPr>
                <w:rFonts w:ascii="Arial" w:cs="Arial" w:eastAsia="Arial" w:hAnsi="Arial"/>
                <w:sz w:val="18"/>
                <w:szCs w:val="18"/>
                <w:color w:val="auto"/>
                <w:w w:val="97"/>
              </w:rPr>
              <w:t>/s/ Patrick H. Hawkins</w:t>
            </w:r>
          </w:p>
        </w:tc>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80" w:type="dxa"/>
            <w:vAlign w:val="bottom"/>
            <w:gridSpan w:val="3"/>
            <w:vMerge w:val="restart"/>
          </w:tcPr>
          <w:p>
            <w:pPr>
              <w:ind w:left="240"/>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gridSpan w:val="3"/>
          </w:tcPr>
          <w:p>
            <w:pPr>
              <w:ind w:left="20"/>
              <w:spacing w:after="0"/>
              <w:rPr>
                <w:sz w:val="20"/>
                <w:szCs w:val="20"/>
                <w:color w:val="auto"/>
              </w:rPr>
            </w:pPr>
            <w:r>
              <w:rPr>
                <w:rFonts w:ascii="Arial" w:cs="Arial" w:eastAsia="Arial" w:hAnsi="Arial"/>
                <w:sz w:val="18"/>
                <w:szCs w:val="18"/>
                <w:i w:val="1"/>
                <w:iCs w:val="1"/>
                <w:color w:val="auto"/>
              </w:rPr>
              <w:t>Patrick H. Hawkins</w:t>
            </w:r>
          </w:p>
        </w:tc>
        <w:tc>
          <w:tcPr>
            <w:tcW w:w="4080" w:type="dxa"/>
            <w:vAlign w:val="bottom"/>
            <w:gridSpan w:val="3"/>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240" w:type="dxa"/>
            <w:vAlign w:val="bottom"/>
            <w:gridSpan w:val="3"/>
          </w:tcPr>
          <w:p>
            <w:pPr>
              <w:ind w:left="20"/>
              <w:spacing w:after="0"/>
              <w:rPr>
                <w:sz w:val="20"/>
                <w:szCs w:val="20"/>
                <w:color w:val="auto"/>
              </w:rPr>
            </w:pPr>
            <w:r>
              <w:rPr>
                <w:rFonts w:ascii="Arial" w:cs="Arial" w:eastAsia="Arial" w:hAnsi="Arial"/>
                <w:sz w:val="18"/>
                <w:szCs w:val="18"/>
                <w:color w:val="auto"/>
              </w:rPr>
              <w:t>/s/ Jeffrey P. Oldenkamp</w:t>
            </w:r>
          </w:p>
        </w:tc>
        <w:tc>
          <w:tcPr>
            <w:tcW w:w="4080" w:type="dxa"/>
            <w:vAlign w:val="bottom"/>
            <w:gridSpan w:val="3"/>
            <w:vMerge w:val="restart"/>
          </w:tcPr>
          <w:p>
            <w:pPr>
              <w:ind w:left="240"/>
              <w:spacing w:after="0"/>
              <w:rPr>
                <w:sz w:val="20"/>
                <w:szCs w:val="20"/>
                <w:color w:val="auto"/>
              </w:rPr>
            </w:pPr>
            <w:r>
              <w:rPr>
                <w:rFonts w:ascii="Arial" w:cs="Arial" w:eastAsia="Arial" w:hAnsi="Arial"/>
                <w:sz w:val="18"/>
                <w:szCs w:val="18"/>
                <w:color w:val="auto"/>
                <w:w w:val="90"/>
              </w:rPr>
              <w:t>Chief Financial Officer, Vice President and Treasurer</w:t>
            </w:r>
          </w:p>
        </w:tc>
        <w:tc>
          <w:tcPr>
            <w:tcW w:w="0" w:type="dxa"/>
            <w:vAlign w:val="bottom"/>
          </w:tcPr>
          <w:p>
            <w:pPr>
              <w:spacing w:after="0"/>
              <w:rPr>
                <w:sz w:val="1"/>
                <w:szCs w:val="1"/>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gridSpan w:val="3"/>
          </w:tcPr>
          <w:p>
            <w:pPr>
              <w:ind w:left="20"/>
              <w:spacing w:after="0"/>
              <w:rPr>
                <w:sz w:val="20"/>
                <w:szCs w:val="20"/>
                <w:color w:val="auto"/>
              </w:rPr>
            </w:pPr>
            <w:r>
              <w:rPr>
                <w:rFonts w:ascii="Arial" w:cs="Arial" w:eastAsia="Arial" w:hAnsi="Arial"/>
                <w:sz w:val="18"/>
                <w:szCs w:val="18"/>
                <w:color w:val="auto"/>
              </w:rPr>
              <w:t>Jeffrey P. Oldenkamp</w:t>
            </w:r>
          </w:p>
        </w:tc>
        <w:tc>
          <w:tcPr>
            <w:tcW w:w="4080" w:type="dxa"/>
            <w:vAlign w:val="bottom"/>
            <w:gridSpan w:val="3"/>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240" w:type="dxa"/>
            <w:vAlign w:val="bottom"/>
            <w:gridSpan w:val="3"/>
          </w:tcPr>
          <w:p>
            <w:pPr>
              <w:ind w:left="20"/>
              <w:spacing w:after="0"/>
              <w:rPr>
                <w:sz w:val="20"/>
                <w:szCs w:val="20"/>
                <w:color w:val="auto"/>
              </w:rPr>
            </w:pPr>
            <w:r>
              <w:rPr>
                <w:rFonts w:ascii="Arial" w:cs="Arial" w:eastAsia="Arial" w:hAnsi="Arial"/>
                <w:sz w:val="18"/>
                <w:szCs w:val="18"/>
                <w:color w:val="auto"/>
              </w:rPr>
              <w:t>/s/ John S. McKeon</w:t>
            </w:r>
          </w:p>
        </w:tc>
        <w:tc>
          <w:tcPr>
            <w:tcW w:w="4080" w:type="dxa"/>
            <w:vAlign w:val="bottom"/>
            <w:gridSpan w:val="3"/>
          </w:tcPr>
          <w:p>
            <w:pPr>
              <w:ind w:left="20"/>
              <w:spacing w:after="0"/>
              <w:rPr>
                <w:sz w:val="20"/>
                <w:szCs w:val="20"/>
                <w:color w:val="auto"/>
              </w:rPr>
            </w:pPr>
            <w:r>
              <w:rPr>
                <w:rFonts w:ascii="Arial" w:cs="Arial" w:eastAsia="Arial" w:hAnsi="Arial"/>
                <w:sz w:val="18"/>
                <w:szCs w:val="18"/>
                <w:color w:val="auto"/>
              </w:rPr>
              <w:t>Director and Chairman of the Board</w:t>
            </w:r>
          </w:p>
        </w:tc>
        <w:tc>
          <w:tcPr>
            <w:tcW w:w="0" w:type="dxa"/>
            <w:vAlign w:val="bottom"/>
          </w:tcPr>
          <w:p>
            <w:pPr>
              <w:spacing w:after="0"/>
              <w:rPr>
                <w:sz w:val="1"/>
                <w:szCs w:val="1"/>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gridSpan w:val="3"/>
          </w:tcPr>
          <w:p>
            <w:pPr>
              <w:ind w:left="20"/>
              <w:spacing w:after="0"/>
              <w:rPr>
                <w:sz w:val="20"/>
                <w:szCs w:val="20"/>
                <w:color w:val="auto"/>
              </w:rPr>
            </w:pPr>
            <w:r>
              <w:rPr>
                <w:rFonts w:ascii="Arial" w:cs="Arial" w:eastAsia="Arial" w:hAnsi="Arial"/>
                <w:sz w:val="18"/>
                <w:szCs w:val="18"/>
                <w:color w:val="auto"/>
              </w:rPr>
              <w:t>John S. McKeon</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gridSpan w:val="3"/>
          </w:tcPr>
          <w:p>
            <w:pPr>
              <w:ind w:left="20"/>
              <w:spacing w:after="0"/>
              <w:rPr>
                <w:sz w:val="20"/>
                <w:szCs w:val="20"/>
                <w:color w:val="auto"/>
              </w:rPr>
            </w:pPr>
            <w:r>
              <w:rPr>
                <w:rFonts w:ascii="Arial" w:cs="Arial" w:eastAsia="Arial" w:hAnsi="Arial"/>
                <w:sz w:val="18"/>
                <w:szCs w:val="18"/>
                <w:color w:val="auto"/>
              </w:rPr>
              <w:t>/s/ James A. Faulconbridge</w:t>
            </w:r>
          </w:p>
        </w:tc>
        <w:tc>
          <w:tcPr>
            <w:tcW w:w="40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gridSpan w:val="3"/>
          </w:tcPr>
          <w:p>
            <w:pPr>
              <w:ind w:left="20"/>
              <w:spacing w:after="0"/>
              <w:rPr>
                <w:sz w:val="20"/>
                <w:szCs w:val="20"/>
                <w:color w:val="auto"/>
              </w:rPr>
            </w:pPr>
            <w:r>
              <w:rPr>
                <w:rFonts w:ascii="Arial" w:cs="Arial" w:eastAsia="Arial" w:hAnsi="Arial"/>
                <w:sz w:val="18"/>
                <w:szCs w:val="18"/>
                <w:color w:val="auto"/>
              </w:rPr>
              <w:t>James A. Faulconbridge</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gridSpan w:val="3"/>
          </w:tcPr>
          <w:p>
            <w:pPr>
              <w:ind w:left="20"/>
              <w:spacing w:after="0"/>
              <w:rPr>
                <w:sz w:val="20"/>
                <w:szCs w:val="20"/>
                <w:color w:val="auto"/>
              </w:rPr>
            </w:pPr>
            <w:r>
              <w:rPr>
                <w:rFonts w:ascii="Arial" w:cs="Arial" w:eastAsia="Arial" w:hAnsi="Arial"/>
                <w:sz w:val="18"/>
                <w:szCs w:val="18"/>
                <w:color w:val="auto"/>
              </w:rPr>
              <w:t>/s/ Duane M. Jergenson</w:t>
            </w:r>
          </w:p>
        </w:tc>
        <w:tc>
          <w:tcPr>
            <w:tcW w:w="40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gridSpan w:val="3"/>
          </w:tcPr>
          <w:p>
            <w:pPr>
              <w:ind w:left="20"/>
              <w:spacing w:after="0"/>
              <w:rPr>
                <w:sz w:val="20"/>
                <w:szCs w:val="20"/>
                <w:color w:val="auto"/>
              </w:rPr>
            </w:pPr>
            <w:r>
              <w:rPr>
                <w:rFonts w:ascii="Arial" w:cs="Arial" w:eastAsia="Arial" w:hAnsi="Arial"/>
                <w:sz w:val="18"/>
                <w:szCs w:val="18"/>
                <w:color w:val="auto"/>
              </w:rPr>
              <w:t>Duane M. Jergenson</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gridSpan w:val="3"/>
          </w:tcPr>
          <w:p>
            <w:pPr>
              <w:ind w:left="20"/>
              <w:spacing w:after="0"/>
              <w:rPr>
                <w:sz w:val="20"/>
                <w:szCs w:val="20"/>
                <w:color w:val="auto"/>
              </w:rPr>
            </w:pPr>
            <w:r>
              <w:rPr>
                <w:rFonts w:ascii="Arial" w:cs="Arial" w:eastAsia="Arial" w:hAnsi="Arial"/>
                <w:sz w:val="18"/>
                <w:szCs w:val="18"/>
                <w:color w:val="auto"/>
              </w:rPr>
              <w:t>/s/ Mary J. Schumacher</w:t>
            </w:r>
          </w:p>
        </w:tc>
        <w:tc>
          <w:tcPr>
            <w:tcW w:w="40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gridSpan w:val="3"/>
          </w:tcPr>
          <w:p>
            <w:pPr>
              <w:ind w:left="20"/>
              <w:spacing w:after="0"/>
              <w:rPr>
                <w:sz w:val="20"/>
                <w:szCs w:val="20"/>
                <w:color w:val="auto"/>
              </w:rPr>
            </w:pPr>
            <w:r>
              <w:rPr>
                <w:rFonts w:ascii="Arial" w:cs="Arial" w:eastAsia="Arial" w:hAnsi="Arial"/>
                <w:sz w:val="18"/>
                <w:szCs w:val="18"/>
                <w:color w:val="auto"/>
              </w:rPr>
              <w:t>Mary J. Schumacher</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gridSpan w:val="3"/>
          </w:tcPr>
          <w:p>
            <w:pPr>
              <w:ind w:left="20"/>
              <w:spacing w:after="0"/>
              <w:rPr>
                <w:sz w:val="20"/>
                <w:szCs w:val="20"/>
                <w:color w:val="auto"/>
              </w:rPr>
            </w:pPr>
            <w:r>
              <w:rPr>
                <w:rFonts w:ascii="Arial" w:cs="Arial" w:eastAsia="Arial" w:hAnsi="Arial"/>
                <w:sz w:val="18"/>
                <w:szCs w:val="18"/>
                <w:color w:val="auto"/>
              </w:rPr>
              <w:t>/s/ Daniel J. Stauber</w:t>
            </w:r>
          </w:p>
        </w:tc>
        <w:tc>
          <w:tcPr>
            <w:tcW w:w="40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gridSpan w:val="3"/>
          </w:tcPr>
          <w:p>
            <w:pPr>
              <w:ind w:left="20"/>
              <w:spacing w:after="0"/>
              <w:rPr>
                <w:sz w:val="20"/>
                <w:szCs w:val="20"/>
                <w:color w:val="auto"/>
              </w:rPr>
            </w:pPr>
            <w:r>
              <w:rPr>
                <w:rFonts w:ascii="Arial" w:cs="Arial" w:eastAsia="Arial" w:hAnsi="Arial"/>
                <w:sz w:val="18"/>
                <w:szCs w:val="18"/>
                <w:color w:val="auto"/>
              </w:rPr>
              <w:t>Daniel J. Stauber</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gridSpan w:val="3"/>
          </w:tcPr>
          <w:p>
            <w:pPr>
              <w:ind w:left="20"/>
              <w:spacing w:after="0"/>
              <w:rPr>
                <w:sz w:val="20"/>
                <w:szCs w:val="20"/>
                <w:color w:val="auto"/>
              </w:rPr>
            </w:pPr>
            <w:r>
              <w:rPr>
                <w:rFonts w:ascii="Arial" w:cs="Arial" w:eastAsia="Arial" w:hAnsi="Arial"/>
                <w:sz w:val="18"/>
                <w:szCs w:val="18"/>
                <w:color w:val="auto"/>
              </w:rPr>
              <w:t>/s/ James T. Thompson</w:t>
            </w:r>
          </w:p>
        </w:tc>
        <w:tc>
          <w:tcPr>
            <w:tcW w:w="40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gridSpan w:val="3"/>
          </w:tcPr>
          <w:p>
            <w:pPr>
              <w:ind w:left="20"/>
              <w:spacing w:after="0"/>
              <w:rPr>
                <w:sz w:val="20"/>
                <w:szCs w:val="20"/>
                <w:color w:val="auto"/>
              </w:rPr>
            </w:pPr>
            <w:r>
              <w:rPr>
                <w:rFonts w:ascii="Arial" w:cs="Arial" w:eastAsia="Arial" w:hAnsi="Arial"/>
                <w:sz w:val="18"/>
                <w:szCs w:val="18"/>
                <w:color w:val="auto"/>
              </w:rPr>
              <w:t>James T. Thompson</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gridSpan w:val="3"/>
          </w:tcPr>
          <w:p>
            <w:pPr>
              <w:ind w:left="20"/>
              <w:spacing w:after="0"/>
              <w:rPr>
                <w:sz w:val="20"/>
                <w:szCs w:val="20"/>
                <w:color w:val="auto"/>
              </w:rPr>
            </w:pPr>
            <w:r>
              <w:rPr>
                <w:rFonts w:ascii="Arial" w:cs="Arial" w:eastAsia="Arial" w:hAnsi="Arial"/>
                <w:sz w:val="18"/>
                <w:szCs w:val="18"/>
                <w:color w:val="auto"/>
              </w:rPr>
              <w:t>/s/ Jeffrey L. Wright</w:t>
            </w:r>
          </w:p>
        </w:tc>
        <w:tc>
          <w:tcPr>
            <w:tcW w:w="40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gridSpan w:val="3"/>
          </w:tcPr>
          <w:p>
            <w:pPr>
              <w:ind w:left="20"/>
              <w:spacing w:after="0"/>
              <w:rPr>
                <w:sz w:val="20"/>
                <w:szCs w:val="20"/>
                <w:color w:val="auto"/>
              </w:rPr>
            </w:pPr>
            <w:r>
              <w:rPr>
                <w:rFonts w:ascii="Arial" w:cs="Arial" w:eastAsia="Arial" w:hAnsi="Arial"/>
                <w:sz w:val="18"/>
                <w:szCs w:val="18"/>
                <w:color w:val="auto"/>
              </w:rPr>
              <w:t>Jeffrey L. Wright</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300" w:lineRule="exact"/>
        <w:rPr>
          <w:sz w:val="20"/>
          <w:szCs w:val="20"/>
          <w:color w:val="auto"/>
        </w:rPr>
      </w:pPr>
    </w:p>
    <w:p>
      <w:pPr>
        <w:jc w:val="right"/>
        <w:ind w:right="420"/>
        <w:spacing w:after="0"/>
        <w:rPr>
          <w:sz w:val="20"/>
          <w:szCs w:val="20"/>
          <w:color w:val="auto"/>
        </w:rPr>
      </w:pPr>
      <w:r>
        <w:rPr>
          <w:rFonts w:ascii="Arial" w:cs="Arial" w:eastAsia="Arial" w:hAnsi="Arial"/>
          <w:sz w:val="16"/>
          <w:szCs w:val="16"/>
          <w:b w:val="1"/>
          <w:bCs w:val="1"/>
          <w:color w:val="auto"/>
        </w:rPr>
        <w:t>Faegre Baker Daniels LLP</w:t>
      </w:r>
    </w:p>
    <w:p>
      <w:pPr>
        <w:spacing w:after="0" w:line="36" w:lineRule="exact"/>
        <w:rPr>
          <w:sz w:val="20"/>
          <w:szCs w:val="20"/>
          <w:color w:val="auto"/>
        </w:rPr>
      </w:pPr>
    </w:p>
    <w:p>
      <w:pPr>
        <w:jc w:val="right"/>
        <w:ind w:right="420"/>
        <w:spacing w:after="0"/>
        <w:rPr>
          <w:sz w:val="20"/>
          <w:szCs w:val="20"/>
          <w:color w:val="auto"/>
        </w:rPr>
      </w:pPr>
      <w:r>
        <w:rPr>
          <w:rFonts w:ascii="Arial" w:cs="Arial" w:eastAsia="Arial" w:hAnsi="Arial"/>
          <w:sz w:val="16"/>
          <w:szCs w:val="16"/>
          <w:color w:val="auto"/>
        </w:rPr>
        <w:t>2200 Wells Fargo Center, 90 South Seventh Street</w:t>
      </w:r>
    </w:p>
    <w:p>
      <w:pPr>
        <w:spacing w:after="0" w:line="32" w:lineRule="exact"/>
        <w:rPr>
          <w:sz w:val="20"/>
          <w:szCs w:val="20"/>
          <w:color w:val="auto"/>
        </w:rPr>
      </w:pPr>
    </w:p>
    <w:p>
      <w:pPr>
        <w:jc w:val="right"/>
        <w:ind w:right="420"/>
        <w:spacing w:after="0"/>
        <w:rPr>
          <w:sz w:val="20"/>
          <w:szCs w:val="20"/>
          <w:color w:val="auto"/>
        </w:rPr>
      </w:pPr>
      <w:r>
        <w:rPr>
          <w:rFonts w:ascii="Arial" w:cs="Arial" w:eastAsia="Arial" w:hAnsi="Arial"/>
          <w:sz w:val="16"/>
          <w:szCs w:val="16"/>
          <w:color w:val="auto"/>
        </w:rPr>
        <w:t xml:space="preserve">Minneapolis </w:t>
      </w:r>
      <w:r>
        <w:rPr>
          <w:rFonts w:ascii="Arial" w:cs="Arial" w:eastAsia="Arial" w:hAnsi="Arial"/>
          <w:sz w:val="7"/>
          <w:szCs w:val="7"/>
          <w:color w:val="auto"/>
        </w:rPr>
        <w:t>q</w:t>
      </w:r>
      <w:r>
        <w:rPr>
          <w:rFonts w:ascii="Arial" w:cs="Arial" w:eastAsia="Arial" w:hAnsi="Arial"/>
          <w:sz w:val="16"/>
          <w:szCs w:val="16"/>
          <w:color w:val="auto"/>
        </w:rPr>
        <w:t xml:space="preserve"> Minnesota 55402-3901</w:t>
      </w:r>
    </w:p>
    <w:p>
      <w:pPr>
        <w:spacing w:after="0" w:line="28" w:lineRule="exact"/>
        <w:rPr>
          <w:sz w:val="20"/>
          <w:szCs w:val="20"/>
          <w:color w:val="auto"/>
        </w:rPr>
      </w:pPr>
    </w:p>
    <w:p>
      <w:pPr>
        <w:jc w:val="right"/>
        <w:ind w:right="420"/>
        <w:spacing w:after="0"/>
        <w:rPr>
          <w:sz w:val="20"/>
          <w:szCs w:val="20"/>
          <w:color w:val="auto"/>
        </w:rPr>
      </w:pPr>
      <w:r>
        <w:rPr>
          <w:rFonts w:ascii="Arial" w:cs="Arial" w:eastAsia="Arial" w:hAnsi="Arial"/>
          <w:sz w:val="16"/>
          <w:szCs w:val="16"/>
          <w:color w:val="auto"/>
        </w:rPr>
        <w:t xml:space="preserve">Phone </w:t>
      </w:r>
      <w:r>
        <w:rPr>
          <w:rFonts w:ascii="Arial" w:cs="Arial" w:eastAsia="Arial" w:hAnsi="Arial"/>
          <w:sz w:val="16"/>
          <w:szCs w:val="16"/>
          <w:b w:val="1"/>
          <w:bCs w:val="1"/>
          <w:color w:val="auto"/>
        </w:rPr>
        <w:t>+1 612 766 7000</w:t>
      </w:r>
    </w:p>
    <w:p>
      <w:pPr>
        <w:spacing w:after="0" w:line="32" w:lineRule="exact"/>
        <w:rPr>
          <w:sz w:val="20"/>
          <w:szCs w:val="20"/>
          <w:color w:val="auto"/>
        </w:rPr>
      </w:pPr>
    </w:p>
    <w:p>
      <w:pPr>
        <w:jc w:val="right"/>
        <w:ind w:right="420"/>
        <w:spacing w:after="0"/>
        <w:rPr>
          <w:sz w:val="20"/>
          <w:szCs w:val="20"/>
          <w:color w:val="auto"/>
        </w:rPr>
      </w:pPr>
      <w:r>
        <w:rPr>
          <w:rFonts w:ascii="Arial" w:cs="Arial" w:eastAsia="Arial" w:hAnsi="Arial"/>
          <w:sz w:val="16"/>
          <w:szCs w:val="16"/>
          <w:color w:val="auto"/>
        </w:rPr>
        <w:t xml:space="preserve">Fax </w:t>
      </w:r>
      <w:r>
        <w:rPr>
          <w:rFonts w:ascii="Arial" w:cs="Arial" w:eastAsia="Arial" w:hAnsi="Arial"/>
          <w:sz w:val="16"/>
          <w:szCs w:val="16"/>
          <w:b w:val="1"/>
          <w:bCs w:val="1"/>
          <w:color w:val="auto"/>
        </w:rPr>
        <w:t>+1 612 766 1600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November 1,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2381 Rosegate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Roseville, Minnesota 55113</w:t>
      </w:r>
    </w:p>
    <w:p>
      <w:pPr>
        <w:spacing w:after="0" w:line="200" w:lineRule="exact"/>
        <w:rPr>
          <w:sz w:val="20"/>
          <w:szCs w:val="20"/>
          <w:color w:val="auto"/>
        </w:rPr>
      </w:pPr>
    </w:p>
    <w:p>
      <w:pPr>
        <w:spacing w:after="0" w:line="22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372"/>
        <w:spacing w:after="0" w:line="259" w:lineRule="auto"/>
        <w:rPr>
          <w:sz w:val="20"/>
          <w:szCs w:val="20"/>
          <w:color w:val="auto"/>
        </w:rPr>
      </w:pPr>
      <w:r>
        <w:rPr>
          <w:rFonts w:ascii="Arial" w:cs="Arial" w:eastAsia="Arial" w:hAnsi="Arial"/>
          <w:sz w:val="18"/>
          <w:szCs w:val="18"/>
          <w:color w:val="auto"/>
        </w:rPr>
        <w:t>We have acted as counsel to Hawkins, Inc., a Minnesota corporation (the “Company”), in connection with the preparation and filing with the Securities and Exchange Commission (the “Commission”) of the Company’s Registration Statement on Form S-8 (the “Registration Statement”) under the Securities Act of 1933, as amended (the “Act”), registering the offer and sale of up to 750,000 shares of the Company’s common stock, par value $.05 per share (the “Shares”), pursuant to the Hawkins, Inc. 2019 Equity Incentive Plan (the “Plan”).</w:t>
      </w:r>
    </w:p>
    <w:p>
      <w:pPr>
        <w:spacing w:after="0" w:line="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For purposes of this opinion letter, we have examined the Plan, the Registration Statement, the Articles of Incorporation, as currently in effect, and the Bylaws, as currently in effect, of the Company, and the resolutions of the Company’s board of directors authorizing the issuance of the Shares. We have also examined a certificate of the Secretary of the Company dated the date hereof (the “Certificate”) and originals, or copies certified or otherwise authenticated to our satisfaction, of such corporate and other records, agreements, instruments, certificates of public officials and documents as we have deemed necessary as a basis for the opinions hereinafter expressed and have made such examination of statutes and decisions and reviewed such questions of law as we have deemed relevant and necessary in connection with the opinions hereinafter expressed. As to facts material to this opinion letter, we have relied upon certificates, statements or representations of public officials, of officers and representatives of the Company (including the Certificate) and of others, without any independent verification thereof.</w:t>
      </w:r>
    </w:p>
    <w:p>
      <w:pPr>
        <w:spacing w:after="0" w:line="4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our examination, we have assumed: (i) the legal capacity of all natural persons; (ii) the genuineness of all signatures; (iii) the authenticity of all documents submitted to us as originals; (iv) the conformity to original documents of all documents submitted to us as certified, conformed, photostatic or facsimile copies; (v) the authenticity of the originals of such latter documents; (vi) the truth, accuracy and completeness of the information, representations and warranties contained in the agreements, documents, instruments, certificates and records we have reviewed; and (vii) the absence of any undisclosed modifications to the agreements and instruments reviewed by us. We have also assumed that the Company’s board of directors, or a duly authorized committee thereof, will have approved the issuance of each award under the Plan prior to the issuance thereof.</w:t>
      </w:r>
    </w:p>
    <w:p>
      <w:pPr>
        <w:spacing w:after="0" w:line="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Based on and subject to the foregoing and to the other qualifications, assumptions and limitations set forth herein, we are of the opinion that all necessary corporate action on the part of the Company has been taken to authorize the issuance and sale of the Shares to be issued in accordance with the Plan and that, when (a) the Shares have been issued and sold as contemplated in the Registration Statement and related prospectus and in accordance with the Plan and the terms of the applicable awards granted under the Plan, and (b) the consideration for the Shares specified in the Plan and the terms of any awards granted under the Plan has been received by the Company, the Shares will be validly issued, fully paid and nonassessable.</w:t>
      </w:r>
    </w:p>
    <w:p>
      <w:pPr>
        <w:spacing w:after="0" w:line="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admitted to the practice of law in the State of Minnesota and this opinion, subject to the limitations and assumptions contained herein, is limited to the laws of that State.</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opinion speaks only as of the date the Registration Statement becomes effective under the Act, and we assume no obligation to revise or supplement this opinion thereafter. This opinion is limited to the specific issues addressed herein, and no opinion may be inferred or implied beyond that expressly stated herein.</w:t>
      </w:r>
    </w:p>
    <w:p>
      <w:pPr>
        <w:sectPr>
          <w:pgSz w:w="11900" w:h="16838" w:orient="portrait"/>
          <w:cols w:equalWidth="0" w:num="1">
            <w:col w:w="11420"/>
          </w:cols>
          <w:pgMar w:left="240" w:top="580" w:right="239" w:bottom="1440" w:gutter="0" w:footer="0" w:header="0"/>
        </w:sectPr>
      </w:pPr>
    </w:p>
    <w:bookmarkStart w:id="7" w:name="page8"/>
    <w:bookmarkEnd w:id="7"/>
    <w:p>
      <w:pPr>
        <w:ind w:firstLine="324"/>
        <w:spacing w:after="0" w:line="308" w:lineRule="auto"/>
        <w:rPr>
          <w:sz w:val="20"/>
          <w:szCs w:val="20"/>
          <w:color w:val="auto"/>
        </w:rPr>
      </w:pPr>
      <w:r>
        <w:rPr>
          <w:rFonts w:ascii="Arial" w:cs="Arial" w:eastAsia="Arial" w:hAnsi="Arial"/>
          <w:sz w:val="17"/>
          <w:szCs w:val="17"/>
          <w:color w:val="auto"/>
        </w:rPr>
        <w:t>We hereby consent to the filing of this opinion as an exhibit to the Registration Statement. In giving such consent, we do not thereby admit that we are within the category of persons whose consent is required under Section 7 of the Act or the rules and regulations of the Commission thereunder.</w:t>
      </w:r>
    </w:p>
    <w:p>
      <w:pPr>
        <w:spacing w:after="0" w:line="22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FAEGRE BAKER DANIELS LLP</w:t>
      </w:r>
    </w:p>
    <w:p>
      <w:pPr>
        <w:spacing w:after="0" w:line="200" w:lineRule="exact"/>
        <w:rPr>
          <w:sz w:val="20"/>
          <w:szCs w:val="20"/>
          <w:color w:val="auto"/>
        </w:rPr>
      </w:pPr>
    </w:p>
    <w:p>
      <w:pPr>
        <w:spacing w:after="0" w:line="241"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Joshua L. Colburn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Joshua L. Colburn, Partner</w:t>
      </w:r>
    </w:p>
    <w:p>
      <w:pPr>
        <w:sectPr>
          <w:pgSz w:w="11900" w:h="16838" w:orient="portrait"/>
          <w:cols w:equalWidth="0" w:num="1">
            <w:col w:w="11420"/>
          </w:cols>
          <w:pgMar w:left="240" w:top="665"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1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consent to the use of our report dated May 23, 2019, with respect to the consolidated balance sheets of Hawkins, Inc. and subsidiaries as of March 31, 2019 and April 1, 2018, and the related consolidated statements of income (loss), comprehensive income (loss), shareholders' equity, and cash flows for each of the years in the three-year period ended March 31, 2019, and the related notes and financial statement schedule II (collectively, the "consolidated financial statements"), and the effectiveness of internal control over financial reporting as of March 31, 2019, incorporated herein by reference.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3">
    <w:nsid w:val="238E1F29"/>
    <w:multiLevelType w:val="hybridMultilevel"/>
    <w:lvl w:ilvl="0">
      <w:lvlJc w:val="left"/>
      <w:lvlText w:val="%1"/>
      <w:numFmt w:val="upperLetter"/>
      <w:start w:val="1"/>
    </w:lvl>
    <w:lvl w:ilvl="1">
      <w:lvlJc w:val="left"/>
      <w:lvlText w:val="(%2)"/>
      <w:numFmt w:val="decimal"/>
      <w:start w:val="2"/>
    </w:lvl>
  </w:abstractNum>
  <w:abstractNum w:abstractNumId="4">
    <w:nsid w:val="46E87CCD"/>
    <w:multiLevelType w:val="hybridMultilevel"/>
    <w:lvl w:ilvl="0">
      <w:lvlJc w:val="left"/>
      <w:lvlText w:val="%1."/>
      <w:numFmt w:val="upp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Archives/edgar/data/46250/000004625019000017/hwkn10k2019.htm" TargetMode="External"/><Relationship Id="rId14" Type="http://schemas.openxmlformats.org/officeDocument/2006/relationships/hyperlink" Target="http://www.sec.gov/Archives/edgar/data/46250/000004625019000031/hawkins10qq1063019.htm" TargetMode="External"/><Relationship Id="rId15" Type="http://schemas.openxmlformats.org/officeDocument/2006/relationships/hyperlink" Target="http://www.sec.gov/Archives/edgar/data/46250/000004625019000039/hawkins10qq2092919.htm" TargetMode="External"/><Relationship Id="rId16" Type="http://schemas.openxmlformats.org/officeDocument/2006/relationships/hyperlink" Target="http://www.sec.gov/Archives/edgar/data/46250/000004625019000033/hwkn-form8xk2019annualmeet.htm" TargetMode="External"/><Relationship Id="rId17" Type="http://schemas.openxmlformats.org/officeDocument/2006/relationships/hyperlink" Target="http://www.sec.gov/Archives/edgar/data/46250/000004625019000017/hwkn10k2019exhibit41.htm" TargetMode="External"/><Relationship Id="rId18" Type="http://schemas.openxmlformats.org/officeDocument/2006/relationships/hyperlink" Target="http://www.sec.gov/Archives/edgar/data/46250/000004625019000039/hawkins10qq2092919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2019-12-04T21:14:22Z</dcterms:created>
  <dcterms:modified xsi:type="dcterms:W3CDTF">2019-12-04T21:14:22Z</dcterms:modified>
</cp:coreProperties>
</file>