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March 30, 2008</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172085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300" w:type="dxa"/>
        <w:tblCellMar>
          <w:top w:w="0" w:type="dxa"/>
          <w:left w:w="0" w:type="dxa"/>
          <w:bottom w:w="0" w:type="dxa"/>
          <w:right w:w="0" w:type="dxa"/>
        </w:tblCellMar>
      </w:tblPr>
      <w:tr>
        <w:trPr>
          <w:trHeight w:val="262"/>
        </w:trPr>
        <w:tc>
          <w:tcPr>
            <w:tcW w:w="5080" w:type="dxa"/>
            <w:vAlign w:val="bottom"/>
            <w:gridSpan w:val="2"/>
          </w:tcPr>
          <w:p>
            <w:pPr>
              <w:jc w:val="center"/>
              <w:ind w:right="1200"/>
              <w:spacing w:after="0"/>
              <w:rPr>
                <w:sz w:val="20"/>
                <w:szCs w:val="20"/>
                <w:color w:val="auto"/>
              </w:rPr>
            </w:pPr>
            <w:r>
              <w:rPr>
                <w:rFonts w:ascii="Arial" w:cs="Arial" w:eastAsia="Arial" w:hAnsi="Arial"/>
                <w:sz w:val="22"/>
                <w:szCs w:val="22"/>
                <w:b w:val="1"/>
                <w:bCs w:val="1"/>
                <w:color w:val="auto"/>
                <w:w w:val="99"/>
              </w:rPr>
              <w:t>MINNESOTA</w:t>
            </w:r>
          </w:p>
        </w:tc>
        <w:tc>
          <w:tcPr>
            <w:tcW w:w="3080" w:type="dxa"/>
            <w:vAlign w:val="bottom"/>
          </w:tcPr>
          <w:p>
            <w:pPr>
              <w:jc w:val="right"/>
              <w:ind w:right="66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5080" w:type="dxa"/>
            <w:vAlign w:val="bottom"/>
            <w:gridSpan w:val="2"/>
          </w:tcPr>
          <w:p>
            <w:pPr>
              <w:jc w:val="center"/>
              <w:ind w:right="1220"/>
              <w:spacing w:after="0"/>
              <w:rPr>
                <w:sz w:val="20"/>
                <w:szCs w:val="20"/>
                <w:color w:val="auto"/>
              </w:rPr>
            </w:pPr>
            <w:r>
              <w:rPr>
                <w:rFonts w:ascii="Arial" w:cs="Arial" w:eastAsia="Arial" w:hAnsi="Arial"/>
                <w:sz w:val="18"/>
                <w:szCs w:val="18"/>
                <w:color w:val="auto"/>
                <w:w w:val="90"/>
              </w:rPr>
              <w:t>(State of Incorporation)</w:t>
            </w:r>
          </w:p>
        </w:tc>
        <w:tc>
          <w:tcPr>
            <w:tcW w:w="3080" w:type="dxa"/>
            <w:vAlign w:val="bottom"/>
          </w:tcPr>
          <w:p>
            <w:pPr>
              <w:jc w:val="center"/>
              <w:ind w:left="442"/>
              <w:spacing w:after="0"/>
              <w:rPr>
                <w:sz w:val="20"/>
                <w:szCs w:val="20"/>
                <w:color w:val="auto"/>
              </w:rPr>
            </w:pPr>
            <w:r>
              <w:rPr>
                <w:rFonts w:ascii="Arial" w:cs="Arial" w:eastAsia="Arial" w:hAnsi="Arial"/>
                <w:sz w:val="18"/>
                <w:szCs w:val="18"/>
                <w:color w:val="auto"/>
                <w:w w:val="91"/>
              </w:rPr>
              <w:t>(I.R.S. Employer Identification No.)</w:t>
            </w:r>
          </w:p>
        </w:tc>
      </w:tr>
      <w:tr>
        <w:trPr>
          <w:trHeight w:val="366"/>
        </w:trPr>
        <w:tc>
          <w:tcPr>
            <w:tcW w:w="5080" w:type="dxa"/>
            <w:vAlign w:val="bottom"/>
            <w:gridSpan w:val="2"/>
          </w:tcPr>
          <w:p>
            <w:pPr>
              <w:jc w:val="center"/>
              <w:ind w:right="1200"/>
              <w:spacing w:after="0"/>
              <w:rPr>
                <w:sz w:val="20"/>
                <w:szCs w:val="20"/>
                <w:color w:val="auto"/>
              </w:rPr>
            </w:pPr>
            <w:r>
              <w:rPr>
                <w:rFonts w:ascii="Arial" w:cs="Arial" w:eastAsia="Arial" w:hAnsi="Arial"/>
                <w:sz w:val="22"/>
                <w:szCs w:val="22"/>
                <w:b w:val="1"/>
                <w:bCs w:val="1"/>
                <w:color w:val="auto"/>
                <w:w w:val="88"/>
              </w:rPr>
              <w:t>3100 East Hennepin Avenue, Minneapolis,</w:t>
            </w:r>
          </w:p>
        </w:tc>
        <w:tc>
          <w:tcPr>
            <w:tcW w:w="3080" w:type="dxa"/>
            <w:vAlign w:val="bottom"/>
          </w:tcPr>
          <w:p>
            <w:pPr>
              <w:spacing w:after="0"/>
              <w:rPr>
                <w:sz w:val="24"/>
                <w:szCs w:val="24"/>
                <w:color w:val="auto"/>
              </w:rPr>
            </w:pPr>
          </w:p>
        </w:tc>
      </w:tr>
      <w:tr>
        <w:trPr>
          <w:trHeight w:val="262"/>
        </w:trPr>
        <w:tc>
          <w:tcPr>
            <w:tcW w:w="5080" w:type="dxa"/>
            <w:vAlign w:val="bottom"/>
            <w:gridSpan w:val="2"/>
          </w:tcPr>
          <w:p>
            <w:pPr>
              <w:jc w:val="center"/>
              <w:ind w:right="1220"/>
              <w:spacing w:after="0"/>
              <w:rPr>
                <w:sz w:val="20"/>
                <w:szCs w:val="20"/>
                <w:color w:val="auto"/>
              </w:rPr>
            </w:pPr>
            <w:r>
              <w:rPr>
                <w:rFonts w:ascii="Arial" w:cs="Arial" w:eastAsia="Arial" w:hAnsi="Arial"/>
                <w:sz w:val="22"/>
                <w:szCs w:val="22"/>
                <w:b w:val="1"/>
                <w:bCs w:val="1"/>
                <w:color w:val="auto"/>
                <w:w w:val="90"/>
              </w:rPr>
              <w:t>Minnesota</w:t>
            </w:r>
          </w:p>
        </w:tc>
        <w:tc>
          <w:tcPr>
            <w:tcW w:w="3080" w:type="dxa"/>
            <w:vAlign w:val="bottom"/>
          </w:tcPr>
          <w:p>
            <w:pPr>
              <w:jc w:val="right"/>
              <w:ind w:right="902"/>
              <w:spacing w:after="0"/>
              <w:rPr>
                <w:sz w:val="20"/>
                <w:szCs w:val="20"/>
                <w:color w:val="auto"/>
              </w:rPr>
            </w:pPr>
            <w:r>
              <w:rPr>
                <w:rFonts w:ascii="Arial" w:cs="Arial" w:eastAsia="Arial" w:hAnsi="Arial"/>
                <w:sz w:val="22"/>
                <w:szCs w:val="22"/>
                <w:b w:val="1"/>
                <w:bCs w:val="1"/>
                <w:color w:val="auto"/>
              </w:rPr>
              <w:t>55413</w:t>
            </w:r>
          </w:p>
        </w:tc>
      </w:tr>
      <w:tr>
        <w:trPr>
          <w:trHeight w:val="222"/>
        </w:trPr>
        <w:tc>
          <w:tcPr>
            <w:tcW w:w="5080" w:type="dxa"/>
            <w:vAlign w:val="bottom"/>
            <w:gridSpan w:val="2"/>
          </w:tcPr>
          <w:p>
            <w:pPr>
              <w:jc w:val="center"/>
              <w:ind w:right="1220"/>
              <w:spacing w:after="0"/>
              <w:rPr>
                <w:sz w:val="20"/>
                <w:szCs w:val="20"/>
                <w:color w:val="auto"/>
              </w:rPr>
            </w:pPr>
            <w:r>
              <w:rPr>
                <w:rFonts w:ascii="Arial" w:cs="Arial" w:eastAsia="Arial" w:hAnsi="Arial"/>
                <w:sz w:val="18"/>
                <w:szCs w:val="18"/>
                <w:color w:val="auto"/>
                <w:w w:val="90"/>
              </w:rPr>
              <w:t>(Address of Principal Executive Offices)</w:t>
            </w:r>
          </w:p>
        </w:tc>
        <w:tc>
          <w:tcPr>
            <w:tcW w:w="3080" w:type="dxa"/>
            <w:vAlign w:val="bottom"/>
          </w:tcPr>
          <w:p>
            <w:pPr>
              <w:jc w:val="center"/>
              <w:ind w:left="442"/>
              <w:spacing w:after="0"/>
              <w:rPr>
                <w:sz w:val="20"/>
                <w:szCs w:val="20"/>
                <w:color w:val="auto"/>
              </w:rPr>
            </w:pPr>
            <w:r>
              <w:rPr>
                <w:rFonts w:ascii="Arial" w:cs="Arial" w:eastAsia="Arial" w:hAnsi="Arial"/>
                <w:sz w:val="18"/>
                <w:szCs w:val="18"/>
                <w:color w:val="auto"/>
                <w:w w:val="91"/>
              </w:rPr>
              <w:t>(Zip Code)</w:t>
            </w:r>
          </w:p>
        </w:tc>
      </w:tr>
      <w:tr>
        <w:trPr>
          <w:trHeight w:val="353"/>
        </w:trPr>
        <w:tc>
          <w:tcPr>
            <w:tcW w:w="5080" w:type="dxa"/>
            <w:vAlign w:val="bottom"/>
            <w:gridSpan w:val="2"/>
          </w:tcPr>
          <w:p>
            <w:pPr>
              <w:jc w:val="right"/>
              <w:spacing w:after="0"/>
              <w:rPr>
                <w:sz w:val="20"/>
                <w:szCs w:val="20"/>
                <w:color w:val="auto"/>
              </w:rPr>
            </w:pPr>
            <w:r>
              <w:rPr>
                <w:rFonts w:ascii="Arial" w:cs="Arial" w:eastAsia="Arial" w:hAnsi="Arial"/>
                <w:sz w:val="22"/>
                <w:szCs w:val="22"/>
                <w:b w:val="1"/>
                <w:bCs w:val="1"/>
                <w:color w:val="auto"/>
              </w:rPr>
              <w:t>(612) 331-6910</w:t>
            </w:r>
          </w:p>
        </w:tc>
        <w:tc>
          <w:tcPr>
            <w:tcW w:w="308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172085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ectPr>
          <w:pgSz w:w="11900" w:h="16838" w:orient="portrait"/>
          <w:cols w:equalWidth="0" w:num="1">
            <w:col w:w="11400"/>
          </w:cols>
          <w:pgMar w:left="240" w:top="692" w:right="259" w:bottom="0" w:gutter="0" w:footer="0" w:header="0"/>
        </w:sectPr>
      </w:pPr>
    </w:p>
    <w:p>
      <w:pPr>
        <w:spacing w:after="0" w:line="200" w:lineRule="exact"/>
        <w:rPr>
          <w:sz w:val="24"/>
          <w:szCs w:val="24"/>
          <w:color w:val="auto"/>
        </w:rPr>
      </w:pPr>
    </w:p>
    <w:p>
      <w:pPr>
        <w:spacing w:after="0" w:line="349" w:lineRule="exact"/>
        <w:rPr>
          <w:sz w:val="24"/>
          <w:szCs w:val="24"/>
          <w:color w:val="auto"/>
        </w:rPr>
      </w:pPr>
    </w:p>
    <w:p>
      <w:pPr>
        <w:jc w:val="right"/>
        <w:spacing w:after="0"/>
        <w:rPr>
          <w:sz w:val="20"/>
          <w:szCs w:val="20"/>
          <w:color w:val="auto"/>
        </w:rPr>
      </w:pPr>
      <w:r>
        <w:rPr>
          <w:rFonts w:ascii="Arial" w:cs="Arial" w:eastAsia="Arial" w:hAnsi="Arial"/>
          <w:sz w:val="15"/>
          <w:szCs w:val="15"/>
          <w:color w:val="auto"/>
        </w:rPr>
        <w:t>Securities registered pursuant to Section 12(b) of the Act:</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Name of exchange on which registered:</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COMMON STOCK, PAR VALUE $.05 PER SHARE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151" w:lineRule="exact"/>
        <w:rPr>
          <w:sz w:val="24"/>
          <w:szCs w:val="24"/>
          <w:color w:val="auto"/>
        </w:rPr>
      </w:pPr>
    </w:p>
    <w:p>
      <w:pPr>
        <w:sectPr>
          <w:pgSz w:w="11900" w:h="16838" w:orient="portrait"/>
          <w:cols w:equalWidth="0" w:num="2">
            <w:col w:w="4180" w:space="200"/>
            <w:col w:w="7020"/>
          </w:cols>
          <w:pgMar w:left="240" w:top="692" w:right="259" w:bottom="0" w:gutter="0" w:footer="0" w:header="0"/>
          <w:type w:val="continuous"/>
        </w:sect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4960"/>
        <w:spacing w:after="0"/>
        <w:tabs>
          <w:tab w:leader="none" w:pos="5440" w:val="left"/>
          <w:tab w:leader="none" w:pos="5940" w:val="left"/>
          <w:tab w:leader="none" w:pos="636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15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4960"/>
        <w:spacing w:after="0"/>
        <w:tabs>
          <w:tab w:leader="none" w:pos="5440" w:val="left"/>
          <w:tab w:leader="none" w:pos="5940" w:val="left"/>
          <w:tab w:leader="none" w:pos="636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151" w:lineRule="exact"/>
        <w:rPr>
          <w:sz w:val="24"/>
          <w:szCs w:val="24"/>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w:t>
      </w:r>
    </w:p>
    <w:p>
      <w:pPr>
        <w:spacing w:after="0"/>
        <w:tabs>
          <w:tab w:leader="none" w:pos="3480" w:val="left"/>
        </w:tabs>
        <w:rPr>
          <w:sz w:val="20"/>
          <w:szCs w:val="20"/>
          <w:color w:val="auto"/>
        </w:rPr>
      </w:pPr>
      <w:r>
        <w:rPr>
          <w:rFonts w:ascii="Arial" w:cs="Arial" w:eastAsia="Arial" w:hAnsi="Arial"/>
          <w:sz w:val="18"/>
          <w:szCs w:val="18"/>
          <w:color w:val="auto"/>
        </w:rPr>
        <w:t>requirements for the past 90 days.  YES x</w:t>
      </w:r>
      <w:r>
        <w:rPr>
          <w:sz w:val="20"/>
          <w:szCs w:val="20"/>
          <w:color w:val="auto"/>
        </w:rPr>
        <w:tab/>
      </w:r>
      <w:r>
        <w:rPr>
          <w:rFonts w:ascii="Arial" w:cs="Arial" w:eastAsia="Arial" w:hAnsi="Arial"/>
          <w:sz w:val="18"/>
          <w:szCs w:val="18"/>
          <w:color w:val="auto"/>
        </w:rPr>
        <w:t>NO o</w:t>
      </w:r>
    </w:p>
    <w:p>
      <w:pPr>
        <w:spacing w:after="0" w:line="151"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27" w:lineRule="exact"/>
        <w:rPr>
          <w:sz w:val="24"/>
          <w:szCs w:val="24"/>
          <w:color w:val="auto"/>
        </w:rPr>
      </w:pPr>
    </w:p>
    <w:p>
      <w:pPr>
        <w:ind w:right="80" w:firstLine="648"/>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ind w:left="660" w:right="2760"/>
        <w:spacing w:after="0" w:line="378" w:lineRule="auto"/>
        <w:rPr>
          <w:sz w:val="20"/>
          <w:szCs w:val="20"/>
          <w:color w:val="auto"/>
        </w:rPr>
      </w:pPr>
      <w:r>
        <w:rPr>
          <w:rFonts w:ascii="Arial" w:cs="Arial" w:eastAsia="Arial" w:hAnsi="Arial"/>
          <w:sz w:val="16"/>
          <w:szCs w:val="16"/>
          <w:color w:val="auto"/>
        </w:rPr>
        <w:t>Large Accelerated Filer o Accelerated Filer x Non-Accelerated Filer o Smaller Reporting Company o Indicate by check mark whether the registrant is a shell company (as defined in Rule 12b-2 of the Exchange Act).</w:t>
      </w:r>
    </w:p>
    <w:p>
      <w:pPr>
        <w:spacing w:after="0" w:line="1" w:lineRule="exact"/>
        <w:rPr>
          <w:sz w:val="24"/>
          <w:szCs w:val="24"/>
          <w:color w:val="auto"/>
        </w:rPr>
      </w:pPr>
    </w:p>
    <w:p>
      <w:pPr>
        <w:ind w:left="4960"/>
        <w:spacing w:after="0"/>
        <w:tabs>
          <w:tab w:leader="none" w:pos="5440" w:val="left"/>
          <w:tab w:leader="none" w:pos="5940" w:val="left"/>
          <w:tab w:leader="none" w:pos="636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151" w:lineRule="exact"/>
        <w:rPr>
          <w:sz w:val="24"/>
          <w:szCs w:val="24"/>
          <w:color w:val="auto"/>
        </w:rPr>
      </w:pPr>
    </w:p>
    <w:p>
      <w:pPr>
        <w:ind w:firstLine="648"/>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2007 (the last business day of the Registrant’s most recently completed second fiscal quarter) was $120,282,221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31, 2008, the Registrant had 10,246,458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643890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right="520" w:firstLine="648"/>
        <w:spacing w:after="0" w:line="268"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2008 Annual Meeting of Shareholders to be held August 7, 2008.</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PART I</w:t>
      </w:r>
    </w:p>
    <w:p>
      <w:pPr>
        <w:sectPr>
          <w:pgSz w:w="11900" w:h="16838" w:orient="portrait"/>
          <w:cols w:equalWidth="0" w:num="1">
            <w:col w:w="11400"/>
          </w:cols>
          <w:pgMar w:left="240" w:top="692" w:right="259" w:bottom="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BUSINESS</w:t>
      </w:r>
    </w:p>
    <w:p>
      <w:pPr>
        <w:spacing w:after="0" w:line="220" w:lineRule="exact"/>
        <w:rPr>
          <w:sz w:val="20"/>
          <w:szCs w:val="20"/>
          <w:color w:val="auto"/>
        </w:rPr>
      </w:pPr>
    </w:p>
    <w:p>
      <w:pPr>
        <w:ind w:right="120" w:firstLine="656"/>
        <w:spacing w:after="0" w:line="306" w:lineRule="auto"/>
        <w:tabs>
          <w:tab w:leader="none" w:pos="1326"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context, “Hawkins,” “we,” “us,” “the Company,” “our,” or “the Registrant” means Hawkins, Inc. and its predecessors.</w:t>
      </w:r>
    </w:p>
    <w:p>
      <w:pPr>
        <w:spacing w:after="0" w:line="160" w:lineRule="exact"/>
        <w:rPr>
          <w:rFonts w:ascii="Arial" w:cs="Arial" w:eastAsia="Arial" w:hAnsi="Arial"/>
          <w:sz w:val="16"/>
          <w:szCs w:val="16"/>
          <w:color w:val="auto"/>
        </w:rPr>
      </w:pPr>
    </w:p>
    <w:p>
      <w:pPr>
        <w:ind w:right="500" w:firstLine="656"/>
        <w:spacing w:after="0" w:line="306" w:lineRule="auto"/>
        <w:tabs>
          <w:tab w:leader="none" w:pos="1336"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FINANCIAL INFORMATION ABOUT INDUSTRY SEGMENTS. The Company’s principal business is the distribution, blending, and formulation of bulk and specialty chemicals, which it conducts in three principal segments: Water Treatment, Industrial and Pharmaceutical. Financial information regarding these segments is reported in the Company’s audited financial statements. See Items 7 and 8 below.</w:t>
      </w:r>
    </w:p>
    <w:p>
      <w:pPr>
        <w:spacing w:after="0" w:line="160" w:lineRule="exact"/>
        <w:rPr>
          <w:rFonts w:ascii="Arial" w:cs="Arial" w:eastAsia="Arial" w:hAnsi="Arial"/>
          <w:sz w:val="16"/>
          <w:szCs w:val="16"/>
          <w:color w:val="auto"/>
        </w:rPr>
      </w:pPr>
    </w:p>
    <w:p>
      <w:pPr>
        <w:ind w:left="1340" w:hanging="684"/>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pacing w:after="0" w:line="225" w:lineRule="exact"/>
        <w:rPr>
          <w:rFonts w:ascii="Arial" w:cs="Arial" w:eastAsia="Arial" w:hAnsi="Arial"/>
          <w:sz w:val="18"/>
          <w:szCs w:val="18"/>
          <w:color w:val="auto"/>
        </w:rPr>
      </w:pPr>
    </w:p>
    <w:p>
      <w:pPr>
        <w:ind w:left="660" w:right="880" w:firstLine="645"/>
        <w:spacing w:after="0" w:line="268" w:lineRule="auto"/>
        <w:tabs>
          <w:tab w:leader="none" w:pos="1957" w:val="left"/>
        </w:tabs>
        <w:numPr>
          <w:ilvl w:val="1"/>
          <w:numId w:val="1"/>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three segments, Water Treatment, Industrial and Pharmaceutical, which are more fully described below:</w:t>
      </w:r>
    </w:p>
    <w:p>
      <w:pPr>
        <w:spacing w:after="0" w:line="185" w:lineRule="exact"/>
        <w:rPr>
          <w:rFonts w:ascii="Arial" w:cs="Arial" w:eastAsia="Arial" w:hAnsi="Arial"/>
          <w:sz w:val="18"/>
          <w:szCs w:val="18"/>
          <w:color w:val="auto"/>
        </w:rPr>
      </w:pPr>
    </w:p>
    <w:p>
      <w:pPr>
        <w:ind w:left="1300" w:right="20" w:firstLine="653"/>
        <w:spacing w:after="0" w:line="254" w:lineRule="auto"/>
        <w:tabs>
          <w:tab w:leader="none" w:pos="2584" w:val="left"/>
        </w:tabs>
        <w:numPr>
          <w:ilvl w:val="2"/>
          <w:numId w:val="1"/>
        </w:numPr>
        <w:rPr>
          <w:rFonts w:ascii="Arial" w:cs="Arial" w:eastAsia="Arial" w:hAnsi="Arial"/>
          <w:sz w:val="18"/>
          <w:szCs w:val="18"/>
          <w:color w:val="auto"/>
        </w:rPr>
      </w:pPr>
      <w:r>
        <w:rPr>
          <w:rFonts w:ascii="Arial" w:cs="Arial" w:eastAsia="Arial" w:hAnsi="Arial"/>
          <w:sz w:val="18"/>
          <w:szCs w:val="18"/>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14 cities supplying products and service to customers in Minnesota, Wisconsin, Iowa, North Dakota, South Dakota, Nebraska, Illinois, Michigan, Montana, Missouri, Kansas and Wyoming. The Water Treatment Group utilizes delivery routes operated by individuals that serve as route driver, salesperson and highly trained technician to deliver the Company’s products and diagnose the customers’ water treatment needs.</w:t>
      </w:r>
    </w:p>
    <w:p>
      <w:pPr>
        <w:spacing w:after="0" w:line="198" w:lineRule="exact"/>
        <w:rPr>
          <w:sz w:val="20"/>
          <w:szCs w:val="20"/>
          <w:color w:val="auto"/>
        </w:rPr>
      </w:pPr>
    </w:p>
    <w:p>
      <w:pPr>
        <w:ind w:left="1300" w:right="180" w:firstLine="648"/>
        <w:spacing w:after="0" w:line="284" w:lineRule="auto"/>
        <w:rPr>
          <w:sz w:val="20"/>
          <w:szCs w:val="20"/>
          <w:color w:val="auto"/>
        </w:rPr>
      </w:pPr>
      <w:r>
        <w:rPr>
          <w:rFonts w:ascii="Arial" w:cs="Arial" w:eastAsia="Arial" w:hAnsi="Arial"/>
          <w:sz w:val="16"/>
          <w:szCs w:val="16"/>
          <w:color w:val="auto"/>
        </w:rPr>
        <w:t>The Company supplies products and the necessary feed equipment to provide safe drinking water, and has the resources to treat potable water systems from a very small single well up to a multi-million gallon per day treatment facility. The Company’s products and feed equipment also (1) allow industrial and municipal wastewater treatment facilities to produce discharge water that is safe for the environment,</w:t>
      </w:r>
    </w:p>
    <w:p>
      <w:pPr>
        <w:spacing w:after="0" w:line="1" w:lineRule="exact"/>
        <w:rPr>
          <w:sz w:val="20"/>
          <w:szCs w:val="20"/>
          <w:color w:val="auto"/>
        </w:rPr>
      </w:pPr>
    </w:p>
    <w:p>
      <w:pPr>
        <w:ind w:left="1560" w:hanging="255"/>
        <w:spacing w:after="0"/>
        <w:tabs>
          <w:tab w:leader="none" w:pos="1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enable process water within industrial plants to work effectively and efficiently, and (3) make non-residential swimming pool water safe.</w:t>
      </w:r>
    </w:p>
    <w:p>
      <w:pPr>
        <w:spacing w:after="0" w:line="241" w:lineRule="exact"/>
        <w:rPr>
          <w:rFonts w:ascii="Arial" w:cs="Arial" w:eastAsia="Arial" w:hAnsi="Arial"/>
          <w:sz w:val="16"/>
          <w:szCs w:val="16"/>
          <w:color w:val="auto"/>
        </w:rPr>
      </w:pPr>
    </w:p>
    <w:p>
      <w:pPr>
        <w:jc w:val="both"/>
        <w:ind w:left="1300" w:right="160" w:firstLine="653"/>
        <w:spacing w:after="0" w:line="294" w:lineRule="auto"/>
        <w:tabs>
          <w:tab w:leader="none" w:pos="2577" w:val="left"/>
        </w:tabs>
        <w:numPr>
          <w:ilvl w:val="1"/>
          <w:numId w:val="2"/>
        </w:numPr>
        <w:rPr>
          <w:rFonts w:ascii="Arial" w:cs="Arial" w:eastAsia="Arial" w:hAnsi="Arial"/>
          <w:sz w:val="16"/>
          <w:szCs w:val="16"/>
          <w:color w:val="auto"/>
        </w:rPr>
      </w:pPr>
      <w:r>
        <w:rPr>
          <w:rFonts w:ascii="Arial" w:cs="Arial" w:eastAsia="Arial" w:hAnsi="Arial"/>
          <w:sz w:val="16"/>
          <w:szCs w:val="16"/>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manufactures and sells certain food grade products, including the Cheese-Phos</w:t>
      </w:r>
      <w:r>
        <w:rPr>
          <w:rFonts w:ascii="Arial" w:cs="Arial" w:eastAsia="Arial" w:hAnsi="Arial"/>
          <w:sz w:val="12"/>
          <w:szCs w:val="12"/>
          <w:color w:val="auto"/>
        </w:rPr>
        <w:t>®</w:t>
      </w:r>
      <w:r>
        <w:rPr>
          <w:rFonts w:ascii="Arial" w:cs="Arial" w:eastAsia="Arial" w:hAnsi="Arial"/>
          <w:sz w:val="16"/>
          <w:szCs w:val="16"/>
          <w:color w:val="auto"/>
        </w:rPr>
        <w:t xml:space="preserve"> liquid phosphate product and other blended products, none of which are individually material to the Company. This segment conducts its business primarily through distribution centers and terminal operations.</w:t>
      </w:r>
    </w:p>
    <w:p>
      <w:pPr>
        <w:spacing w:after="0" w:line="170" w:lineRule="exact"/>
        <w:rPr>
          <w:sz w:val="20"/>
          <w:szCs w:val="20"/>
          <w:color w:val="auto"/>
        </w:rPr>
      </w:pPr>
    </w:p>
    <w:p>
      <w:pPr>
        <w:ind w:left="1300" w:right="100" w:firstLine="648"/>
        <w:spacing w:after="0" w:line="289" w:lineRule="auto"/>
        <w:rPr>
          <w:sz w:val="20"/>
          <w:szCs w:val="20"/>
          <w:color w:val="auto"/>
        </w:rPr>
      </w:pPr>
      <w:r>
        <w:rPr>
          <w:rFonts w:ascii="Arial" w:cs="Arial" w:eastAsia="Arial" w:hAnsi="Arial"/>
          <w:sz w:val="16"/>
          <w:szCs w:val="16"/>
          <w:color w:val="auto"/>
        </w:rPr>
        <w:t>The Industrial segment receives, stores and distributes various chemicals in bulk, including liquid caustic soda, phosphoric acid, potassium hydroxide and aqua ammonia; manufactures sodium hypochlorite (bleach) and agricultural products; repackages water treatment chemicals;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Pursuant to operating agreements it has with other chemical companies, the Company receives and stores liquid caustic soda and other chemicals at its three terminal sites, Hawkins Terminal 1, Terminal 2, and Red Rock. The sites are located on the Mississippi River in St. Paul, Minnesota.</w:t>
      </w:r>
    </w:p>
    <w:p>
      <w:pPr>
        <w:spacing w:after="0" w:line="172" w:lineRule="exact"/>
        <w:rPr>
          <w:sz w:val="20"/>
          <w:szCs w:val="20"/>
          <w:color w:val="auto"/>
        </w:rPr>
      </w:pPr>
    </w:p>
    <w:p>
      <w:pPr>
        <w:ind w:left="1300" w:right="80" w:firstLine="648"/>
        <w:spacing w:after="0" w:line="298" w:lineRule="auto"/>
        <w:rPr>
          <w:sz w:val="20"/>
          <w:szCs w:val="20"/>
          <w:color w:val="auto"/>
        </w:rPr>
      </w:pPr>
      <w:r>
        <w:rPr>
          <w:rFonts w:ascii="Arial" w:cs="Arial" w:eastAsia="Arial" w:hAnsi="Arial"/>
          <w:sz w:val="16"/>
          <w:szCs w:val="16"/>
          <w:color w:val="auto"/>
        </w:rPr>
        <w:t>Bulk industrial chemicals are generally repackaged and sold in smaller quantities to the Company’s customers. Sales are concentrated primarily in Wisconsin, Minnesota, northern Iowa, and North and South Dakota with food grade products sold nationally. The principal products are acids and alkalis and industrial and food grade salts. The Industrial segment also specializes in sales to the plating and electronic industries, relying on a specially trained sales staff that works directly with customers on their surface finishing needs.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306" w:lineRule="auto"/>
        <w:tabs>
          <w:tab w:leader="none" w:pos="2489" w:val="left"/>
        </w:tabs>
        <w:numPr>
          <w:ilvl w:val="1"/>
          <w:numId w:val="3"/>
        </w:numPr>
        <w:rPr>
          <w:rFonts w:ascii="Arial" w:cs="Arial" w:eastAsia="Arial" w:hAnsi="Arial"/>
          <w:sz w:val="16"/>
          <w:szCs w:val="16"/>
          <w:color w:val="auto"/>
        </w:rPr>
      </w:pPr>
      <w:r>
        <w:rPr>
          <w:rFonts w:ascii="Arial" w:cs="Arial" w:eastAsia="Arial" w:hAnsi="Arial"/>
          <w:sz w:val="16"/>
          <w:szCs w:val="16"/>
          <w:color w:val="auto"/>
        </w:rPr>
        <w:t>PHARMACEUTICAL. The Pharmaceutical segment specializes in providing pharmaceutical chemicals to retail pharmacies and small-scale pharmaceutical manufacturers. This segment conducts the majority of its business through one warehouse located at our principal executive site in Minneapolis, Minnesota. The Pharmaceutical segment’s sales are primarily focused in the United States.</w:t>
      </w:r>
    </w:p>
    <w:p>
      <w:pPr>
        <w:spacing w:after="0" w:line="160" w:lineRule="exact"/>
        <w:rPr>
          <w:rFonts w:ascii="Arial" w:cs="Arial" w:eastAsia="Arial" w:hAnsi="Arial"/>
          <w:sz w:val="16"/>
          <w:szCs w:val="16"/>
          <w:color w:val="auto"/>
        </w:rPr>
      </w:pPr>
    </w:p>
    <w:p>
      <w:pPr>
        <w:ind w:left="1960" w:hanging="655"/>
        <w:spacing w:after="0"/>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PRODUCTS. The Company did not have any significant new products during the fiscal year ended March 30, 2008.</w:t>
      </w:r>
    </w:p>
    <w:p>
      <w:pPr>
        <w:spacing w:after="0" w:line="248" w:lineRule="exact"/>
        <w:rPr>
          <w:rFonts w:ascii="Arial" w:cs="Arial" w:eastAsia="Arial" w:hAnsi="Arial"/>
          <w:sz w:val="16"/>
          <w:szCs w:val="16"/>
          <w:color w:val="auto"/>
        </w:rPr>
      </w:pPr>
    </w:p>
    <w:p>
      <w:pPr>
        <w:ind w:left="660" w:right="20" w:firstLine="645"/>
        <w:spacing w:after="0" w:line="256" w:lineRule="auto"/>
        <w:tabs>
          <w:tab w:leader="none" w:pos="1967"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MATERIALS. The Company has numerous suppliers, including many of the major chemical producers in the United States. We typically have written distributorship agreements or supply contracts with our suppliers that are renewed from time to time. Although there is no assurance that any contract or understanding with any supplier will not be terminated in the foreseeable future, most of the products purchased can be obtained from alternative sources should existing relationships be terminated.</w:t>
      </w:r>
    </w:p>
    <w:p>
      <w:pPr>
        <w:spacing w:after="0" w:line="197" w:lineRule="exact"/>
        <w:rPr>
          <w:rFonts w:ascii="Arial" w:cs="Arial" w:eastAsia="Arial" w:hAnsi="Arial"/>
          <w:sz w:val="18"/>
          <w:szCs w:val="18"/>
          <w:color w:val="auto"/>
        </w:rPr>
      </w:pPr>
    </w:p>
    <w:p>
      <w:pPr>
        <w:ind w:left="660" w:right="80" w:firstLine="645"/>
        <w:spacing w:after="0" w:line="259" w:lineRule="auto"/>
        <w:tabs>
          <w:tab w:leader="none" w:pos="200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Patents, customer relationships, trademarks, trade names, proprietary technologies and non-compete agreements are important to our business. However, no single patent, customer relationship, trademark, trade name, proprietary technology or non-compete agreement is material to the successful operation of the Company’s business.</w:t>
      </w:r>
    </w:p>
    <w:p>
      <w:pPr>
        <w:spacing w:after="0" w:line="194" w:lineRule="exact"/>
        <w:rPr>
          <w:rFonts w:ascii="Arial" w:cs="Arial" w:eastAsia="Arial" w:hAnsi="Arial"/>
          <w:sz w:val="18"/>
          <w:szCs w:val="18"/>
          <w:color w:val="auto"/>
        </w:rPr>
      </w:pPr>
    </w:p>
    <w:p>
      <w:pPr>
        <w:ind w:left="660" w:right="60" w:firstLine="645"/>
        <w:spacing w:after="0" w:line="268" w:lineRule="auto"/>
        <w:tabs>
          <w:tab w:leader="none" w:pos="199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April to September, which is due primarily to an increase in chemicals used by municipal water treatment facilities during that timeframe.</w:t>
      </w:r>
    </w:p>
    <w:p>
      <w:pPr>
        <w:spacing w:after="0" w:line="185" w:lineRule="exact"/>
        <w:rPr>
          <w:rFonts w:ascii="Arial" w:cs="Arial" w:eastAsia="Arial" w:hAnsi="Arial"/>
          <w:sz w:val="18"/>
          <w:szCs w:val="18"/>
          <w:color w:val="auto"/>
        </w:rPr>
      </w:pPr>
    </w:p>
    <w:p>
      <w:pPr>
        <w:ind w:left="660" w:right="20" w:firstLine="645"/>
        <w:spacing w:after="0" w:line="259" w:lineRule="auto"/>
        <w:tabs>
          <w:tab w:leader="none" w:pos="1998"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 and storage of inventory at the end of the Mississippi River shipping season.</w:t>
      </w:r>
    </w:p>
    <w:p>
      <w:pPr>
        <w:spacing w:after="0" w:line="194" w:lineRule="exact"/>
        <w:rPr>
          <w:rFonts w:ascii="Arial" w:cs="Arial" w:eastAsia="Arial" w:hAnsi="Arial"/>
          <w:sz w:val="18"/>
          <w:szCs w:val="18"/>
          <w:color w:val="auto"/>
        </w:rPr>
      </w:pPr>
    </w:p>
    <w:p>
      <w:pPr>
        <w:ind w:left="660" w:firstLine="645"/>
        <w:spacing w:after="0" w:line="332" w:lineRule="auto"/>
        <w:tabs>
          <w:tab w:leader="none" w:pos="2006"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DEPENDENCE ON LIMITED NUMBER OF CUSTOMERS. No single customer represents more than 10% of the Company’s sales, but the loss of our five largest customers could have a material adverse effect on the Company’s results of operations. Total aggregate sales to the</w:t>
      </w:r>
    </w:p>
    <w:p>
      <w:pPr>
        <w:sectPr>
          <w:pgSz w:w="11900" w:h="16838" w:orient="portrait"/>
          <w:cols w:equalWidth="0" w:num="1">
            <w:col w:w="11420"/>
          </w:cols>
          <w:pgMar w:left="240" w:top="118" w:right="239" w:bottom="0" w:gutter="0" w:footer="0" w:header="0"/>
        </w:sectPr>
      </w:pPr>
    </w:p>
    <w:bookmarkStart w:id="2" w:name="page3"/>
    <w:bookmarkEnd w:id="2"/>
    <w:p>
      <w:pPr>
        <w:spacing w:after="0" w:line="96" w:lineRule="exact"/>
        <w:rPr>
          <w:sz w:val="20"/>
          <w:szCs w:val="20"/>
          <w:color w:val="auto"/>
        </w:rPr>
      </w:pPr>
    </w:p>
    <w:p>
      <w:pPr>
        <w:ind w:left="660"/>
        <w:spacing w:after="0" w:line="332" w:lineRule="auto"/>
        <w:rPr>
          <w:sz w:val="20"/>
          <w:szCs w:val="20"/>
          <w:color w:val="auto"/>
        </w:rPr>
      </w:pPr>
      <w:r>
        <w:rPr>
          <w:rFonts w:ascii="Arial" w:cs="Arial" w:eastAsia="Arial" w:hAnsi="Arial"/>
          <w:sz w:val="16"/>
          <w:szCs w:val="16"/>
          <w:color w:val="auto"/>
        </w:rPr>
        <w:t>Company’s five largest customers were $22.4 million, $15.8 million, and $16.9 million for the fiscal years ended March 30, 2008, April 1, 2007, and April 2, 2006, respectively. Additionally, no single customer represents 10% or more of the Water Treatment, Industrial or Pharmaceutical segment sales.</w:t>
      </w:r>
    </w:p>
    <w:p>
      <w:pPr>
        <w:spacing w:after="0" w:line="72" w:lineRule="exact"/>
        <w:rPr>
          <w:sz w:val="20"/>
          <w:szCs w:val="20"/>
          <w:color w:val="auto"/>
        </w:rPr>
      </w:pPr>
    </w:p>
    <w:p>
      <w:pPr>
        <w:ind w:left="2000" w:hanging="695"/>
        <w:spacing w:after="0"/>
        <w:tabs>
          <w:tab w:leader="none" w:pos="2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BACKLOG. Order backlog is not material to the Company’s business.</w:t>
      </w:r>
    </w:p>
    <w:p>
      <w:pPr>
        <w:spacing w:after="0" w:line="157" w:lineRule="exact"/>
        <w:rPr>
          <w:rFonts w:ascii="Arial" w:cs="Arial" w:eastAsia="Arial" w:hAnsi="Arial"/>
          <w:sz w:val="18"/>
          <w:szCs w:val="18"/>
          <w:color w:val="auto"/>
        </w:rPr>
      </w:pPr>
    </w:p>
    <w:p>
      <w:pPr>
        <w:ind w:left="660" w:right="120" w:firstLine="645"/>
        <w:spacing w:after="0" w:line="268" w:lineRule="auto"/>
        <w:tabs>
          <w:tab w:leader="none" w:pos="2001" w:val="left"/>
        </w:tabs>
        <w:numPr>
          <w:ilvl w:val="1"/>
          <w:numId w:val="5"/>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18" w:lineRule="exact"/>
        <w:rPr>
          <w:rFonts w:ascii="Arial" w:cs="Arial" w:eastAsia="Arial" w:hAnsi="Arial"/>
          <w:sz w:val="18"/>
          <w:szCs w:val="18"/>
          <w:color w:val="auto"/>
        </w:rPr>
      </w:pPr>
    </w:p>
    <w:p>
      <w:pPr>
        <w:ind w:left="660" w:right="340" w:firstLine="645"/>
        <w:spacing w:after="0" w:line="306" w:lineRule="auto"/>
        <w:tabs>
          <w:tab w:leader="none" w:pos="1996" w:val="left"/>
        </w:tabs>
        <w:numPr>
          <w:ilvl w:val="1"/>
          <w:numId w:val="5"/>
        </w:numPr>
        <w:rPr>
          <w:rFonts w:ascii="Arial" w:cs="Arial" w:eastAsia="Arial" w:hAnsi="Arial"/>
          <w:sz w:val="16"/>
          <w:szCs w:val="16"/>
          <w:color w:val="auto"/>
        </w:rPr>
      </w:pPr>
      <w:r>
        <w:rPr>
          <w:rFonts w:ascii="Arial" w:cs="Arial" w:eastAsia="Arial" w:hAnsi="Arial"/>
          <w:sz w:val="16"/>
          <w:szCs w:val="16"/>
          <w:color w:val="auto"/>
        </w:rPr>
        <w:t>COMPETITIVE CONDITIONS. The Company operates in a competitive industry and competes with producers, distributors and sales agents offering chemicals equivalent to substantially all of the products handled by the Company. Many such producers and distributors are substantially larger than the Company. No one competitor, however, is dominant in the Company’s industry.</w:t>
      </w:r>
    </w:p>
    <w:p>
      <w:pPr>
        <w:spacing w:after="0" w:line="93" w:lineRule="exact"/>
        <w:rPr>
          <w:rFonts w:ascii="Arial" w:cs="Arial" w:eastAsia="Arial" w:hAnsi="Arial"/>
          <w:sz w:val="16"/>
          <w:szCs w:val="16"/>
          <w:color w:val="auto"/>
        </w:rPr>
      </w:pPr>
    </w:p>
    <w:p>
      <w:pPr>
        <w:ind w:left="660" w:right="220" w:firstLine="645"/>
        <w:spacing w:after="0" w:line="332" w:lineRule="auto"/>
        <w:tabs>
          <w:tab w:leader="none" w:pos="2001" w:val="left"/>
        </w:tabs>
        <w:numPr>
          <w:ilvl w:val="1"/>
          <w:numId w:val="5"/>
        </w:numPr>
        <w:rPr>
          <w:rFonts w:ascii="Arial" w:cs="Arial" w:eastAsia="Arial" w:hAnsi="Arial"/>
          <w:sz w:val="16"/>
          <w:szCs w:val="16"/>
          <w:color w:val="auto"/>
        </w:rPr>
      </w:pPr>
      <w:r>
        <w:rPr>
          <w:rFonts w:ascii="Arial" w:cs="Arial" w:eastAsia="Arial" w:hAnsi="Arial"/>
          <w:sz w:val="16"/>
          <w:szCs w:val="16"/>
          <w:color w:val="auto"/>
        </w:rPr>
        <w:t>RESEARCH AND DEVELOPMENT. The Company devotes resources to research and development on a project basis as the need arises. During the fiscal year ended March 30, 2008, expenditures for research and development were not material to the Company’s business.</w:t>
      </w:r>
    </w:p>
    <w:p>
      <w:pPr>
        <w:spacing w:after="0" w:line="71" w:lineRule="exact"/>
        <w:rPr>
          <w:rFonts w:ascii="Arial" w:cs="Arial" w:eastAsia="Arial" w:hAnsi="Arial"/>
          <w:sz w:val="16"/>
          <w:szCs w:val="16"/>
          <w:color w:val="auto"/>
        </w:rPr>
      </w:pPr>
    </w:p>
    <w:p>
      <w:pPr>
        <w:ind w:left="660" w:right="160" w:firstLine="645"/>
        <w:spacing w:after="0" w:line="255" w:lineRule="auto"/>
        <w:tabs>
          <w:tab w:leader="none" w:pos="2006" w:val="left"/>
        </w:tabs>
        <w:numPr>
          <w:ilvl w:val="1"/>
          <w:numId w:val="5"/>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2009.</w:t>
      </w:r>
    </w:p>
    <w:p>
      <w:pPr>
        <w:spacing w:after="0" w:line="129" w:lineRule="exact"/>
        <w:rPr>
          <w:rFonts w:ascii="Arial" w:cs="Arial" w:eastAsia="Arial" w:hAnsi="Arial"/>
          <w:sz w:val="18"/>
          <w:szCs w:val="18"/>
          <w:color w:val="auto"/>
        </w:rPr>
      </w:pPr>
    </w:p>
    <w:p>
      <w:pPr>
        <w:ind w:left="1960" w:hanging="669"/>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EMPLOYEES. The Company had 265 employees as of March 30, 2008.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56"/>
        <w:spacing w:after="0" w:line="259" w:lineRule="auto"/>
        <w:tabs>
          <w:tab w:leader="none" w:pos="1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26" w:lineRule="exact"/>
        <w:rPr>
          <w:rFonts w:ascii="Arial" w:cs="Arial" w:eastAsia="Arial" w:hAnsi="Arial"/>
          <w:sz w:val="18"/>
          <w:szCs w:val="18"/>
          <w:color w:val="auto"/>
        </w:rPr>
      </w:pPr>
    </w:p>
    <w:p>
      <w:pPr>
        <w:ind w:right="120" w:firstLine="656"/>
        <w:spacing w:after="0" w:line="294" w:lineRule="auto"/>
        <w:tabs>
          <w:tab w:leader="none" w:pos="1316"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AVAILABLE INFORMATION. We have made available, free of charge, through our Internet website (http:// www.hawkinsinc.com) our Annual Reports on Form 10-K, Quarterly Reports on Form 10-Q, Current Reports on Form 8-K, and if applicable, amendments to those reports, as soon as reasonably practicable after we electronically file such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8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86"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b w:val="1"/>
          <w:bCs w:val="1"/>
          <w:i w:val="1"/>
          <w:iCs w:val="1"/>
          <w:color w:val="auto"/>
        </w:rPr>
        <w:t>Availability and fluctuations in the prices of commodity chemicals, which are cyclical in nature, could have a material adverse effect on the margins of our products.</w:t>
      </w:r>
    </w:p>
    <w:p>
      <w:pPr>
        <w:spacing w:after="0" w:line="118"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Periodically, we experience significant increases in the cost of raw materials. We attempt to pass changes in the prices of raw materials and energy to our customers, but we may be unable to or be delayed in doing so. Our inability to pass through price increases or any limitation or delay in our passing through price increases could adversely affect our profit margins. In addition to raising prices, raw material suppliers may extend lead times or limit supplies. Constraints on the supply or delivery of critical raw materials could disrupt our operations and adversely affect the performance of our business.</w:t>
      </w:r>
    </w:p>
    <w:p>
      <w:pPr>
        <w:spacing w:after="0" w:line="16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Additionally, our profit margins may be reduced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oversupply and lower prices.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15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operate in a highly competitive marketplace, competing primarily against other chemical companies. Competition is based on several key criteria, including product performance and quality, product price, product availability and security of supply, responsiveness of product development in cooperation with customers and customer service. Many of our competitors are larger than we are and may have greater financial resources. As a result, these competitors may be better able than we to withstand changes in conditions within our industry, changes in the prices of raw materials and energy, and changes in general economic conditions. Additionally, competitors’ pricing decisions could compel us to decrease our prices, which could adversely affect our margins and profitability. Our ability to maintain or increase our profitability is, and will continue to be, dependent upon our ability to offset decreases in the prices and margins of our products by improving production efficiency and volume, shifting to higher margin chemical products and improving existing products through innovation and research and development. If we are unable to do so or to otherwise maintain our competitive position, we could lose market share to our competitors.</w:t>
      </w:r>
    </w:p>
    <w:p>
      <w:pPr>
        <w:spacing w:after="0" w:line="172"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b w:val="1"/>
          <w:bCs w:val="1"/>
          <w:i w:val="1"/>
          <w:iCs w:val="1"/>
          <w:color w:val="auto"/>
        </w:rPr>
        <w:t>Our business, and in particular our Water Treatment segment, is subject to seasonality and weather conditions, which could adversely affect our results of operations.</w:t>
      </w:r>
    </w:p>
    <w:p>
      <w:pPr>
        <w:spacing w:after="0" w:line="11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Water Treatment segment of our business is seasonal, with higher sales recorded from April through September due to increased water usage during this time frame. Demand is also affected by weather conditions, as either higher or lower than normal precipitation or temperatures may affect water usage and the consumption of our products. We cannot assure you that seasonality or fluctuating weather conditions will not have a material adverse affect on our results of operations and financial condition.</w:t>
      </w:r>
    </w:p>
    <w:p>
      <w:pPr>
        <w:spacing w:after="0" w:line="197"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18" w:lineRule="exact"/>
        <w:rPr>
          <w:sz w:val="20"/>
          <w:szCs w:val="20"/>
          <w:color w:val="auto"/>
        </w:rPr>
      </w:pPr>
    </w:p>
    <w:p>
      <w:pPr>
        <w:ind w:right="80" w:firstLine="648"/>
        <w:spacing w:after="0" w:line="370" w:lineRule="auto"/>
        <w:rPr>
          <w:sz w:val="20"/>
          <w:szCs w:val="20"/>
          <w:color w:val="auto"/>
        </w:rPr>
      </w:pPr>
      <w:r>
        <w:rPr>
          <w:rFonts w:ascii="Arial" w:cs="Arial" w:eastAsia="Arial" w:hAnsi="Arial"/>
          <w:sz w:val="15"/>
          <w:szCs w:val="15"/>
          <w:color w:val="auto"/>
        </w:rPr>
        <w:t>Our business is subject to hazards common to chemical manufacturing, storage, handling and transportation, including explosions, fires, severe weather, and natural disasters, mechanical failure, unscheduled downtime, transportation interruptions, chemical spills, discharges or releases of toxic or hazardous</w:t>
      </w:r>
    </w:p>
    <w:p>
      <w:pPr>
        <w:sectPr>
          <w:pgSz w:w="11900" w:h="16935" w:orient="portrait"/>
          <w:cols w:equalWidth="0" w:num="1">
            <w:col w:w="11420"/>
          </w:cols>
          <w:pgMar w:left="240" w:top="131" w:right="239" w:bottom="0" w:gutter="0" w:footer="0" w:header="0"/>
        </w:sectPr>
      </w:pPr>
    </w:p>
    <w:bookmarkStart w:id="3" w:name="page4"/>
    <w:bookmarkEnd w:id="3"/>
    <w:p>
      <w:pPr>
        <w:ind w:right="80"/>
        <w:spacing w:after="0" w:line="298" w:lineRule="auto"/>
        <w:rPr>
          <w:sz w:val="20"/>
          <w:szCs w:val="20"/>
          <w:color w:val="auto"/>
        </w:rPr>
      </w:pPr>
      <w:r>
        <w:rPr>
          <w:rFonts w:ascii="Arial" w:cs="Arial" w:eastAsia="Arial" w:hAnsi="Arial"/>
          <w:sz w:val="16"/>
          <w:szCs w:val="16"/>
          <w:color w:val="auto"/>
        </w:rPr>
        <w:t>substances or gases and other risks. These hazards can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Accordingly, these hazards and their consequences could have a material adverse effect on our operations as a whole, including our results of operations and cash flows, both during and after the period of operational difficulties.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firstLine="648"/>
        <w:spacing w:after="0" w:line="268" w:lineRule="auto"/>
        <w:rPr>
          <w:sz w:val="20"/>
          <w:szCs w:val="20"/>
          <w:color w:val="auto"/>
        </w:rPr>
      </w:pPr>
      <w:r>
        <w:rPr>
          <w:rFonts w:ascii="Arial" w:cs="Arial" w:eastAsia="Arial" w:hAnsi="Arial"/>
          <w:sz w:val="18"/>
          <w:szCs w:val="18"/>
          <w:b w:val="1"/>
          <w:bCs w:val="1"/>
          <w:i w:val="1"/>
          <w:iCs w:val="1"/>
          <w:color w:val="auto"/>
        </w:rPr>
        <w:t>Downturns in our customers’ cyclical industries, changes in our customers’ products or failure of our products to meet customers’ quality specifications could adversely affect our sales and profitability.</w:t>
      </w:r>
    </w:p>
    <w:p>
      <w:pPr>
        <w:spacing w:after="0" w:line="11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Downturns in the businesses that use our chemicals will adversely affect our sales. Many of our customers are in industries that are cyclical in nature and sensitive to changes in general economic conditions. Historically, downturns in general economic conditions have resulted in diminished product demand and lower average selling prices, and we may experience similar problems in the future. A decline in economic conditions in our customers’ cyclical industries may have a material adverse effect on our sales and profitability.</w:t>
      </w:r>
    </w:p>
    <w:p>
      <w:pPr>
        <w:spacing w:after="0" w:line="197" w:lineRule="exact"/>
        <w:rPr>
          <w:sz w:val="20"/>
          <w:szCs w:val="20"/>
          <w:color w:val="auto"/>
        </w:rPr>
      </w:pPr>
    </w:p>
    <w:p>
      <w:pPr>
        <w:jc w:val="both"/>
        <w:ind w:right="140" w:firstLine="648"/>
        <w:spacing w:after="0" w:line="335" w:lineRule="auto"/>
        <w:rPr>
          <w:sz w:val="20"/>
          <w:szCs w:val="20"/>
          <w:color w:val="auto"/>
        </w:rPr>
      </w:pPr>
      <w:r>
        <w:rPr>
          <w:rFonts w:ascii="Arial" w:cs="Arial" w:eastAsia="Arial" w:hAnsi="Arial"/>
          <w:sz w:val="15"/>
          <w:szCs w:val="15"/>
          <w:color w:val="auto"/>
        </w:rPr>
        <w:t>Our chemicals are used for a broad range of applications by our customers. Changes in our customers’ products or processes may enable our customers to reduce consumption of the chemicals that we provide or make our chemicals unnecessary. Customers may also find alternative materials or processes that no longer require our products. Consequently, it is important that we develop new products to replace the sales of products that mature and decline in use.</w:t>
      </w:r>
    </w:p>
    <w:p>
      <w:pPr>
        <w:spacing w:after="0" w:line="7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products provide important performance attributes to our customers’ products. If a product fails to perform in a manner consistent with quality specifications or has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Environmental, health and safety laws and regulations cause us to incur substantial costs and may subject us to future liabilities.</w:t>
      </w:r>
    </w:p>
    <w:p>
      <w:pPr>
        <w:spacing w:after="0" w:line="181"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In the jurisdictions in which we operate, we are subject to numerous federal, state and local environmental, health and safety laws and regulations, including those governing the discharge of pollutants into the air and water, and the management and disposal of hazardous substances and wastes. Ongoing compliance with such laws and regulations is an important consideration for us and we incur substantial capital and operating costs in our compliance efforts. Governmental laws have become increasingly strict in recent years. We expect this trend to continue and anticipate that compliance will continue to require increased capital expenditures and operating costs.</w:t>
      </w:r>
    </w:p>
    <w:p>
      <w:pPr>
        <w:spacing w:after="0" w:line="1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can be held liable in administrative, civil or criminal proceedings for substantial fines and other sanctions that could be imposed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we have in the past, and may in the future, be subject to claims relating to exposure to hazardous materials and the associated liabilities may be material. We also have generated, and continue to generate, hazardous wastes at a number of our facilities. The nature of our business exposes us to risks of liability under these laws and regulations due to the production, storage, use, transportation and sale of materials that can cause contamination or personal injury if released into the environment.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158"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effect on our business.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unanticipated departure of any key member of our management team could have an adverse effect on our business. In addition, because of the specialized and technical nature of our business, our future performance is dependent on the continued service of, and on our ability to attract and retain, qualified management, scientific, technical, marketing and support personnel.</w:t>
      </w:r>
    </w:p>
    <w:p>
      <w:pPr>
        <w:spacing w:after="0" w:line="127"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b w:val="1"/>
          <w:bCs w:val="1"/>
          <w:i w:val="1"/>
          <w:iCs w:val="1"/>
          <w:color w:val="auto"/>
        </w:rPr>
        <w:t>We may not be able to consummate future acquisitions or integrate future acquisitions into our business, which could result in unanticipated expenses and losses.</w:t>
      </w:r>
    </w:p>
    <w:p>
      <w:pPr>
        <w:spacing w:after="0" w:line="118"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any of the anticipated benefits from acquisitions.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To the extent this strategy is pursued, 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among many others, potential disruption of our ongoing business and distraction of management; unforeseen claims and liabilities; unforeseen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02"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 or other extraordinary events outside of our control, which could interrupt our production and adversely affect our results of operations.</w:t>
      </w:r>
    </w:p>
    <w:p>
      <w:pPr>
        <w:sectPr>
          <w:pgSz w:w="11900" w:h="16838" w:orient="portrait"/>
          <w:cols w:equalWidth="0" w:num="1">
            <w:col w:w="11420"/>
          </w:cols>
          <w:pgMar w:left="240" w:top="131" w:right="239" w:bottom="0" w:gutter="0" w:footer="0" w:header="0"/>
        </w:sectPr>
      </w:pPr>
    </w:p>
    <w:bookmarkStart w:id="4" w:name="page5"/>
    <w:bookmarkEnd w:id="4"/>
    <w:p>
      <w:pPr>
        <w:spacing w:after="0" w:line="21"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four times, most recently in the spring of 2001 negatively impacting earnings during that period by approximately $200,000. No assurance can be given that flooding will not recur or that there will not be material damage or interruption to the Company’s operations in the future from flooding.</w:t>
      </w:r>
    </w:p>
    <w:p>
      <w:pPr>
        <w:spacing w:after="0" w:line="167" w:lineRule="exact"/>
        <w:rPr>
          <w:sz w:val="20"/>
          <w:szCs w:val="20"/>
          <w:color w:val="auto"/>
        </w:rPr>
      </w:pPr>
    </w:p>
    <w:p>
      <w:pPr>
        <w:ind w:right="420" w:firstLine="648"/>
        <w:spacing w:after="0" w:line="332"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legislation is under consideration that could impose new site security requirements, specifically on chemical facilities, which may increase our overhead expenses.</w:t>
      </w:r>
    </w:p>
    <w:p>
      <w:pPr>
        <w:spacing w:after="0" w:line="139" w:lineRule="exact"/>
        <w:rPr>
          <w:sz w:val="20"/>
          <w:szCs w:val="20"/>
          <w:color w:val="auto"/>
        </w:rPr>
      </w:pPr>
    </w:p>
    <w:p>
      <w:pPr>
        <w:ind w:firstLine="648"/>
        <w:spacing w:after="0" w:line="323" w:lineRule="auto"/>
        <w:rPr>
          <w:sz w:val="20"/>
          <w:szCs w:val="20"/>
          <w:color w:val="auto"/>
        </w:rPr>
      </w:pPr>
      <w:r>
        <w:rPr>
          <w:rFonts w:ascii="Arial" w:cs="Arial" w:eastAsia="Arial" w:hAnsi="Arial"/>
          <w:sz w:val="15"/>
          <w:szCs w:val="15"/>
          <w:color w:val="auto"/>
        </w:rPr>
        <w:t>New federal regulations have already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affect the efficiency of our logistical operations. Broader restrictions on hazardous material movements could lead to additional investment and change where and what products we provide.</w:t>
      </w:r>
    </w:p>
    <w:p>
      <w:pPr>
        <w:spacing w:after="0" w:line="15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renew our leases of land where three of our terminals reside.</w:t>
      </w:r>
    </w:p>
    <w:p>
      <w:pPr>
        <w:spacing w:after="0" w:line="158"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lease the land where our three main terminals located. We do not have guaranteed lease renewal options and may not be able to renew our leases in the future. Our current lease renewal periods extend out to 2018 (two leases) and 2029 (one lease). This may have a material impact to our business, as this is where the majority of our bulk chemicals are stored. Based on historical experience and anticipated future needs, we believe that we will be able to renew our leases as the renewal periods expire.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19"/>
          <w:szCs w:val="19"/>
          <w:color w:val="auto"/>
        </w:rPr>
        <w:t>UNRESOLVED STAFF COMMENTS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PROPERTIES</w:t>
      </w:r>
    </w:p>
    <w:p>
      <w:pPr>
        <w:spacing w:after="0" w:line="219"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The Company owns its principal location, which consists of approximately 11 acres of land in Minneapolis, Minnesota, with six buildings containing a total of 177,000 square feet of office and warehouse space primarily used by the Industrial segment. The Pharmaceutical segment occupies approximately 13,000 square feet of office and warehouse space within this location. The Company’s principal office is located in one of these buildings, at 3100 East Hennepin Avenue. As of March 30, 2008, the Company has installed sprinkler systems in substantially all of its warehouse facilities for fire protection. The Company carries insurance covering the replacement of property damaged by fire or flood.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48"/>
        <w:spacing w:after="0" w:line="332" w:lineRule="auto"/>
        <w:rPr>
          <w:sz w:val="20"/>
          <w:szCs w:val="20"/>
          <w:color w:val="auto"/>
        </w:rPr>
      </w:pPr>
      <w:r>
        <w:rPr>
          <w:rFonts w:ascii="Arial" w:cs="Arial" w:eastAsia="Arial" w:hAnsi="Arial"/>
          <w:sz w:val="16"/>
          <w:szCs w:val="16"/>
          <w:color w:val="auto"/>
        </w:rPr>
        <w:t>In addition to the facilities described previously, the Company’s other facilities are described below. These facilities, together with those described above, are adequate and suitable for the purposes they serve. Unless noted, each facility is owned and is fully utilized by the Company.</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214"/>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tcPr>
          <w:p>
            <w:pPr>
              <w:ind w:left="1060"/>
              <w:spacing w:after="0"/>
              <w:rPr>
                <w:sz w:val="20"/>
                <w:szCs w:val="20"/>
                <w:color w:val="auto"/>
              </w:rPr>
            </w:pPr>
            <w:r>
              <w:rPr>
                <w:rFonts w:ascii="Arial" w:cs="Arial" w:eastAsia="Arial" w:hAnsi="Arial"/>
                <w:sz w:val="14"/>
                <w:szCs w:val="14"/>
                <w:b w:val="1"/>
                <w:bCs w:val="1"/>
                <w:color w:val="auto"/>
              </w:rPr>
              <w:t>Segment</w:t>
            </w:r>
          </w:p>
        </w:tc>
        <w:tc>
          <w:tcPr>
            <w:tcW w:w="3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Location</w:t>
            </w:r>
          </w:p>
        </w:tc>
        <w:tc>
          <w:tcPr>
            <w:tcW w:w="3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Primary Use</w:t>
            </w: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Industrial</w:t>
            </w: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0"/>
              </w:rPr>
              <w:t>St. Paul, MN (1)</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St. Paul, MN (2)</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Office</w:t>
            </w: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1"/>
              </w:rPr>
              <w:t>Linden, NJ (2)</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Water Treatment</w:t>
            </w: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Fargo, ND</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0"/>
              </w:rPr>
              <w:t>Fond du Lac, WI</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Washburn, ND</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8"/>
              </w:rPr>
              <w:t>Billings, MT</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Sioux Falls, SD</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1"/>
              </w:rPr>
              <w:t>Rapid City, SD</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Joliet, IL (2)</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1"/>
              </w:rPr>
              <w:t>Superior, WI</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Slater, IA</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4"/>
              </w:rPr>
              <w:t>Lincoln, NE (2)</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Eldridge, IA</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2"/>
              </w:rPr>
              <w:t>Columbia, MO (2)</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Garnett, KS (2)</w:t>
            </w:r>
          </w:p>
        </w:tc>
        <w:tc>
          <w:tcPr>
            <w:tcW w:w="31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Industrial and Water Treatment</w:t>
            </w:r>
          </w:p>
        </w:tc>
        <w:tc>
          <w:tcPr>
            <w:tcW w:w="3180" w:type="dxa"/>
            <w:vAlign w:val="bottom"/>
            <w:gridSpan w:val="2"/>
            <w:shd w:val="clear" w:color="auto" w:fill="D6F3E8"/>
          </w:tcPr>
          <w:p>
            <w:pPr>
              <w:jc w:val="center"/>
              <w:ind w:right="540"/>
              <w:spacing w:after="0"/>
              <w:rPr>
                <w:sz w:val="20"/>
                <w:szCs w:val="20"/>
                <w:color w:val="auto"/>
              </w:rPr>
            </w:pPr>
            <w:r>
              <w:rPr>
                <w:rFonts w:ascii="Arial" w:cs="Arial" w:eastAsia="Arial" w:hAnsi="Arial"/>
                <w:sz w:val="18"/>
                <w:szCs w:val="18"/>
                <w:color w:val="auto"/>
                <w:w w:val="90"/>
              </w:rPr>
              <w:t>St. Paul, MN (3)</w:t>
            </w:r>
          </w:p>
        </w:tc>
        <w:tc>
          <w:tcPr>
            <w:tcW w:w="3160" w:type="dxa"/>
            <w:vAlign w:val="bottom"/>
            <w:gridSpan w:val="2"/>
            <w:shd w:val="clear" w:color="auto" w:fill="D6F3E8"/>
          </w:tcPr>
          <w:p>
            <w:pPr>
              <w:jc w:val="center"/>
              <w:ind w:right="520"/>
              <w:spacing w:after="0"/>
              <w:rPr>
                <w:sz w:val="20"/>
                <w:szCs w:val="20"/>
                <w:color w:val="auto"/>
              </w:rPr>
            </w:pPr>
            <w:r>
              <w:rPr>
                <w:rFonts w:ascii="Arial" w:cs="Arial" w:eastAsia="Arial" w:hAnsi="Arial"/>
                <w:sz w:val="18"/>
                <w:szCs w:val="18"/>
                <w:color w:val="auto"/>
                <w:w w:val="87"/>
              </w:rPr>
              <w:t>Office and Warehouse</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6835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336" w:lineRule="exact"/>
        <w:rPr>
          <w:sz w:val="20"/>
          <w:szCs w:val="20"/>
          <w:color w:val="auto"/>
        </w:rPr>
      </w:pPr>
    </w:p>
    <w:p>
      <w:pPr>
        <w:ind w:left="660" w:right="40" w:hanging="4"/>
        <w:spacing w:after="0" w:line="283" w:lineRule="auto"/>
        <w:tabs>
          <w:tab w:leader="none" w:pos="121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terminal operations, located at two sites on opposite sides of the Mississippi River, are made up of three buildings, nine outside storage tanks with a total capacity of approximately 7,100,000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2008,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ectPr>
          <w:pgSz w:w="11900" w:h="16859" w:orient="portrait"/>
          <w:cols w:equalWidth="0" w:num="1">
            <w:col w:w="11380"/>
          </w:cols>
          <w:pgMar w:left="240" w:top="131" w:right="279" w:bottom="0" w:gutter="0" w:footer="0" w:header="0"/>
        </w:sectPr>
      </w:pPr>
    </w:p>
    <w:bookmarkStart w:id="5" w:name="page6"/>
    <w:bookmarkEnd w:id="5"/>
    <w:p>
      <w:pPr>
        <w:spacing w:after="0" w:line="157" w:lineRule="exact"/>
        <w:rPr>
          <w:sz w:val="20"/>
          <w:szCs w:val="20"/>
          <w:color w:val="auto"/>
        </w:rPr>
      </w:pPr>
    </w:p>
    <w:p>
      <w:pPr>
        <w:ind w:left="1300" w:right="140" w:hanging="644"/>
        <w:spacing w:after="0" w:line="25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Red Rock facility, which consists of a 59,000 square-foot building located on approximately 10 acres of land has outside storage capacity of 1.5 million gallons for the storage of liquid caustic soda, as well as numerous smaller tanks for storing and mixing chemicals. The land is leased from the Port Authority of the City of St. Paul, Minnesota through July 31, 2029 for a basic rent plus an amount based on annual tonnage unloaded at the site. The basic rent and annual tonnage rent were renegotiated August 1, 2004 and are to be renegotiated every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LEGAL PROCEEDINGS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ages and offices held, as of May 31, 2008 are set forth below:</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4780" w:type="dxa"/>
            <w:vAlign w:val="bottom"/>
          </w:tcPr>
          <w:p>
            <w:pPr>
              <w:ind w:left="220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6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56</w:t>
            </w:r>
          </w:p>
        </w:tc>
        <w:tc>
          <w:tcPr>
            <w:tcW w:w="49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63"/>
        </w:trPr>
        <w:tc>
          <w:tcPr>
            <w:tcW w:w="2760" w:type="dxa"/>
            <w:vAlign w:val="bottom"/>
            <w:gridSpan w:val="3"/>
          </w:tcPr>
          <w:p>
            <w:pPr>
              <w:spacing w:after="0"/>
              <w:rPr>
                <w:sz w:val="20"/>
                <w:szCs w:val="20"/>
                <w:color w:val="auto"/>
              </w:rPr>
            </w:pPr>
            <w:r>
              <w:rPr>
                <w:rFonts w:ascii="Arial" w:cs="Arial" w:eastAsia="Arial" w:hAnsi="Arial"/>
                <w:sz w:val="18"/>
                <w:szCs w:val="18"/>
                <w:color w:val="auto"/>
              </w:rPr>
              <w:t>Kathleen P. Pepski</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w w:val="92"/>
              </w:rPr>
              <w:t>Vice President, Chief Financial Officer, Secretary, and Treasurer</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6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58</w:t>
            </w:r>
          </w:p>
        </w:tc>
        <w:tc>
          <w:tcPr>
            <w:tcW w:w="49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Vice President – Water Treatment Group</w:t>
            </w:r>
          </w:p>
        </w:tc>
        <w:tc>
          <w:tcPr>
            <w:tcW w:w="0" w:type="dxa"/>
            <w:vAlign w:val="bottom"/>
          </w:tcPr>
          <w:p>
            <w:pPr>
              <w:spacing w:after="0"/>
              <w:rPr>
                <w:sz w:val="1"/>
                <w:szCs w:val="1"/>
                <w:color w:val="auto"/>
              </w:rPr>
            </w:pPr>
          </w:p>
        </w:tc>
      </w:tr>
      <w:tr>
        <w:trPr>
          <w:trHeight w:val="363"/>
        </w:trPr>
        <w:tc>
          <w:tcPr>
            <w:tcW w:w="2760" w:type="dxa"/>
            <w:vAlign w:val="bottom"/>
            <w:gridSpan w:val="3"/>
          </w:tcPr>
          <w:p>
            <w:pPr>
              <w:spacing w:after="0"/>
              <w:rPr>
                <w:sz w:val="20"/>
                <w:szCs w:val="20"/>
                <w:color w:val="auto"/>
              </w:rPr>
            </w:pPr>
            <w:r>
              <w:rPr>
                <w:rFonts w:ascii="Arial" w:cs="Arial" w:eastAsia="Arial" w:hAnsi="Arial"/>
                <w:sz w:val="18"/>
                <w:szCs w:val="18"/>
                <w:color w:val="auto"/>
              </w:rPr>
              <w:t>John R. Sevenich</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Vice President – Industrial Group</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Daniel E. Soderlund</w:t>
            </w:r>
          </w:p>
        </w:tc>
        <w:tc>
          <w:tcPr>
            <w:tcW w:w="6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45</w:t>
            </w:r>
          </w:p>
        </w:tc>
        <w:tc>
          <w:tcPr>
            <w:tcW w:w="49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Vice President – Pharmaceutical Group</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John R. Hawkins has been the Company’s Chief Executive Officer since February 2000 and was Chairman of the Board from February 2000 to September 2005. He was President and Chief Operating Officer from December 1998 to February 2000 and was Secretary from 1991 to December 1999. He was an Executive Vice President from 1997 to December 1998 and Vice President of Sales from 1987 to 1997.</w:t>
      </w:r>
    </w:p>
    <w:p>
      <w:pPr>
        <w:spacing w:after="0" w:line="5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Kathleen P. Pepski has been the Company’s Vice President, Chief Financial Officer, Secretary and Treasurer since February 2008. She was the Executive Vice President and Chief Financial Officer of PNA Holdings, LLC and Katun Corporation from 2003 to 2007, the Vice President of Finance of Hoffman Enclosures, a subsidiary of Pentair, Inc. from 2002 to 2003, Senior Vice President and Chief Financial Officer of BMC Industries, Inc. from 2000 to 2001, and Vice President and Controller at Valspar Corporation from 1994 to 2000.</w:t>
      </w:r>
    </w:p>
    <w:p>
      <w:pPr>
        <w:spacing w:after="0" w:line="89"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Keenan A. Paulson has been the Company’s Vice President – Water Treatment Group since May 2000. Prior to attaining this position, Ms. Paulson held various positions during her 36-year career with the Company, most recently as its Water Treatment General Manager.</w:t>
      </w:r>
    </w:p>
    <w:p>
      <w:pPr>
        <w:spacing w:after="0" w:line="78"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John R. Sevenich has been the Company’s Vice President – Industrial Group since May 2000. He was the Business Unit Manager of Manufacturing from 1998 to May 2000 and was a Sales Representative with the Company from 1989 to 1998.</w:t>
      </w:r>
    </w:p>
    <w:p>
      <w:pPr>
        <w:spacing w:after="0" w:line="78" w:lineRule="exact"/>
        <w:rPr>
          <w:sz w:val="20"/>
          <w:szCs w:val="20"/>
          <w:color w:val="auto"/>
        </w:rPr>
      </w:pPr>
    </w:p>
    <w:p>
      <w:pPr>
        <w:ind w:right="840" w:firstLine="648"/>
        <w:spacing w:after="0" w:line="332" w:lineRule="auto"/>
        <w:rPr>
          <w:sz w:val="20"/>
          <w:szCs w:val="20"/>
          <w:color w:val="auto"/>
        </w:rPr>
      </w:pPr>
      <w:r>
        <w:rPr>
          <w:rFonts w:ascii="Arial" w:cs="Arial" w:eastAsia="Arial" w:hAnsi="Arial"/>
          <w:sz w:val="16"/>
          <w:szCs w:val="16"/>
          <w:color w:val="auto"/>
        </w:rPr>
        <w:t>Daniel E. Soderlund has been the Company’s Vice President – Pharmaceutical Group since May 2000. He was the Business Unit Manager of Pharmaceuticals from April 1999 to May 2000 and was a Sales Representative with the Company from 1992 to April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w:t>
      </w:r>
    </w:p>
    <w:p>
      <w:pPr>
        <w:spacing w:after="0" w:line="206" w:lineRule="exact"/>
        <w:rPr>
          <w:sz w:val="20"/>
          <w:szCs w:val="20"/>
          <w:color w:val="auto"/>
        </w:rPr>
      </w:pPr>
    </w:p>
    <w:p>
      <w:pPr>
        <w:ind w:left="1300" w:right="740" w:hanging="1282"/>
        <w:spacing w:after="0" w:line="251" w:lineRule="auto"/>
        <w:tabs>
          <w:tab w:leader="none" w:pos="12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22"/>
          <w:szCs w:val="22"/>
          <w:color w:val="auto"/>
        </w:rPr>
        <w:t>MARKET FOR THE COMPANY’S COMMON EQUITY, RELATED SHAREHOLDER MATTERS, AND ISSUER PURCHASES OF EQUITY SECURITIES</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Stock Data</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r>
      <w:tr>
        <w:trPr>
          <w:trHeight w:val="364"/>
        </w:trPr>
        <w:tc>
          <w:tcPr>
            <w:tcW w:w="378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8"/>
        </w:trPr>
        <w:tc>
          <w:tcPr>
            <w:tcW w:w="3780" w:type="dxa"/>
            <w:vAlign w:val="bottom"/>
            <w:gridSpan w:val="2"/>
            <w:shd w:val="clear" w:color="auto" w:fill="D6F3E8"/>
          </w:tcPr>
          <w:p>
            <w:pPr>
              <w:ind w:left="640"/>
              <w:spacing w:after="0" w:line="277"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15.625</w:t>
            </w:r>
          </w:p>
        </w:tc>
        <w:tc>
          <w:tcPr>
            <w:tcW w:w="460" w:type="dxa"/>
            <w:vAlign w:val="bottom"/>
            <w:shd w:val="clear" w:color="auto" w:fill="D6F3E8"/>
          </w:tcPr>
          <w:p>
            <w:pPr>
              <w:spacing w:after="0"/>
              <w:rPr>
                <w:sz w:val="24"/>
                <w:szCs w:val="24"/>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14.700</w:t>
            </w:r>
          </w:p>
        </w:tc>
      </w:tr>
      <w:tr>
        <w:trPr>
          <w:trHeight w:val="270"/>
        </w:trPr>
        <w:tc>
          <w:tcPr>
            <w:tcW w:w="3780" w:type="dxa"/>
            <w:vAlign w:val="bottom"/>
            <w:gridSpan w:val="2"/>
          </w:tcPr>
          <w:p>
            <w:pPr>
              <w:ind w:left="6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15.850</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14.400</w:t>
            </w: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3"/>
                <w:szCs w:val="23"/>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15.960</w:t>
            </w:r>
          </w:p>
        </w:tc>
        <w:tc>
          <w:tcPr>
            <w:tcW w:w="460" w:type="dxa"/>
            <w:vAlign w:val="bottom"/>
            <w:shd w:val="clear" w:color="auto" w:fill="D6F3E8"/>
          </w:tcPr>
          <w:p>
            <w:pPr>
              <w:spacing w:after="0"/>
              <w:rPr>
                <w:sz w:val="23"/>
                <w:szCs w:val="23"/>
                <w:color w:val="auto"/>
              </w:rPr>
            </w:pPr>
          </w:p>
        </w:tc>
        <w:tc>
          <w:tcPr>
            <w:tcW w:w="280" w:type="dxa"/>
            <w:vAlign w:val="bottom"/>
            <w:shd w:val="clear" w:color="auto" w:fill="D6F3E8"/>
          </w:tcPr>
          <w:p>
            <w:pPr>
              <w:spacing w:after="0"/>
              <w:rPr>
                <w:sz w:val="23"/>
                <w:szCs w:val="23"/>
                <w:color w:val="auto"/>
              </w:rPr>
            </w:pPr>
          </w:p>
        </w:tc>
        <w:tc>
          <w:tcPr>
            <w:tcW w:w="11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14.300</w:t>
            </w:r>
          </w:p>
        </w:tc>
      </w:tr>
      <w:tr>
        <w:trPr>
          <w:trHeight w:val="382"/>
        </w:trPr>
        <w:tc>
          <w:tcPr>
            <w:tcW w:w="3780" w:type="dxa"/>
            <w:vAlign w:val="bottom"/>
            <w:gridSpan w:val="2"/>
          </w:tcPr>
          <w:p>
            <w:pPr>
              <w:ind w:left="64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14.350</w:t>
            </w:r>
          </w:p>
        </w:tc>
      </w:tr>
    </w:tbl>
    <w:p>
      <w:pPr>
        <w:sectPr>
          <w:pgSz w:w="11900" w:h="16996" w:orient="portrait"/>
          <w:cols w:equalWidth="0" w:num="1">
            <w:col w:w="11400"/>
          </w:cols>
          <w:pgMar w:left="240" w:top="131" w:right="259" w:bottom="0" w:gutter="0" w:footer="0" w:header="0"/>
        </w:sectPr>
      </w:pPr>
    </w:p>
    <w:bookmarkStart w:id="6" w:name="page7"/>
    <w:bookmarkEnd w:id="6"/>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8"/>
        </w:trPr>
        <w:tc>
          <w:tcPr>
            <w:tcW w:w="3780" w:type="dxa"/>
            <w:vAlign w:val="bottom"/>
            <w:gridSpan w:val="2"/>
            <w:shd w:val="clear" w:color="auto" w:fill="D6F3E8"/>
          </w:tcPr>
          <w:p>
            <w:pPr>
              <w:ind w:left="640"/>
              <w:spacing w:after="0" w:line="277"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16.070</w:t>
            </w:r>
          </w:p>
        </w:tc>
        <w:tc>
          <w:tcPr>
            <w:tcW w:w="460" w:type="dxa"/>
            <w:vAlign w:val="bottom"/>
            <w:shd w:val="clear" w:color="auto" w:fill="D6F3E8"/>
          </w:tcPr>
          <w:p>
            <w:pPr>
              <w:spacing w:after="0"/>
              <w:rPr>
                <w:sz w:val="24"/>
                <w:szCs w:val="24"/>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14.130</w:t>
            </w:r>
          </w:p>
        </w:tc>
      </w:tr>
      <w:tr>
        <w:trPr>
          <w:trHeight w:val="270"/>
        </w:trPr>
        <w:tc>
          <w:tcPr>
            <w:tcW w:w="3780" w:type="dxa"/>
            <w:vAlign w:val="bottom"/>
            <w:gridSpan w:val="2"/>
          </w:tcPr>
          <w:p>
            <w:pPr>
              <w:ind w:left="6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14.780</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14.010</w:t>
            </w: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3"/>
                <w:szCs w:val="23"/>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14.250</w:t>
            </w:r>
          </w:p>
        </w:tc>
        <w:tc>
          <w:tcPr>
            <w:tcW w:w="460" w:type="dxa"/>
            <w:vAlign w:val="bottom"/>
            <w:shd w:val="clear" w:color="auto" w:fill="D6F3E8"/>
          </w:tcPr>
          <w:p>
            <w:pPr>
              <w:spacing w:after="0"/>
              <w:rPr>
                <w:sz w:val="23"/>
                <w:szCs w:val="23"/>
                <w:color w:val="auto"/>
              </w:rPr>
            </w:pPr>
          </w:p>
        </w:tc>
        <w:tc>
          <w:tcPr>
            <w:tcW w:w="300" w:type="dxa"/>
            <w:vAlign w:val="bottom"/>
            <w:shd w:val="clear" w:color="auto" w:fill="D6F3E8"/>
          </w:tcPr>
          <w:p>
            <w:pPr>
              <w:spacing w:after="0"/>
              <w:rPr>
                <w:sz w:val="23"/>
                <w:szCs w:val="23"/>
                <w:color w:val="auto"/>
              </w:rPr>
            </w:pP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13.250</w:t>
            </w:r>
          </w:p>
        </w:tc>
      </w:tr>
      <w:tr>
        <w:trPr>
          <w:trHeight w:val="382"/>
        </w:trPr>
        <w:tc>
          <w:tcPr>
            <w:tcW w:w="3780" w:type="dxa"/>
            <w:vAlign w:val="bottom"/>
            <w:gridSpan w:val="2"/>
          </w:tcPr>
          <w:p>
            <w:pPr>
              <w:ind w:left="64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13.350</w:t>
            </w:r>
          </w:p>
        </w:tc>
      </w:tr>
      <w:tr>
        <w:trPr>
          <w:trHeight w:val="212"/>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Dividends</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Declared</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Paid</w:t>
            </w:r>
          </w:p>
        </w:tc>
        <w:tc>
          <w:tcPr>
            <w:tcW w:w="200" w:type="dxa"/>
            <w:vAlign w:val="bottom"/>
          </w:tcPr>
          <w:p>
            <w:pPr>
              <w:spacing w:after="0"/>
              <w:rPr>
                <w:sz w:val="18"/>
                <w:szCs w:val="18"/>
                <w:color w:val="auto"/>
              </w:rPr>
            </w:pPr>
          </w:p>
        </w:tc>
      </w:tr>
      <w:tr>
        <w:trPr>
          <w:trHeight w:val="364"/>
        </w:trPr>
        <w:tc>
          <w:tcPr>
            <w:tcW w:w="37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8"/>
        </w:trPr>
        <w:tc>
          <w:tcPr>
            <w:tcW w:w="3780" w:type="dxa"/>
            <w:vAlign w:val="bottom"/>
            <w:gridSpan w:val="2"/>
            <w:shd w:val="clear" w:color="auto" w:fill="D6F3E8"/>
          </w:tcPr>
          <w:p>
            <w:pPr>
              <w:ind w:left="640"/>
              <w:spacing w:after="0" w:line="277"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4"/>
                <w:szCs w:val="24"/>
                <w:color w:val="auto"/>
              </w:rPr>
            </w:pPr>
          </w:p>
        </w:tc>
        <w:tc>
          <w:tcPr>
            <w:tcW w:w="960" w:type="dxa"/>
            <w:vAlign w:val="bottom"/>
            <w:shd w:val="clear" w:color="auto" w:fill="D6F3E8"/>
          </w:tcPr>
          <w:p>
            <w:pPr>
              <w:spacing w:after="0"/>
              <w:rPr>
                <w:sz w:val="24"/>
                <w:szCs w:val="24"/>
                <w:color w:val="auto"/>
              </w:rPr>
            </w:pPr>
          </w:p>
        </w:tc>
        <w:tc>
          <w:tcPr>
            <w:tcW w:w="460" w:type="dxa"/>
            <w:vAlign w:val="bottom"/>
            <w:shd w:val="clear" w:color="auto" w:fill="D6F3E8"/>
          </w:tcPr>
          <w:p>
            <w:pPr>
              <w:spacing w:after="0"/>
              <w:rPr>
                <w:sz w:val="24"/>
                <w:szCs w:val="24"/>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.24</w:t>
            </w:r>
          </w:p>
        </w:tc>
      </w:tr>
      <w:tr>
        <w:trPr>
          <w:trHeight w:val="376"/>
        </w:trPr>
        <w:tc>
          <w:tcPr>
            <w:tcW w:w="378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6"/>
        </w:trPr>
        <w:tc>
          <w:tcPr>
            <w:tcW w:w="3780" w:type="dxa"/>
            <w:vAlign w:val="bottom"/>
            <w:gridSpan w:val="2"/>
          </w:tcPr>
          <w:p>
            <w:pPr>
              <w:ind w:left="640"/>
              <w:spacing w:after="0" w:line="285"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3"/>
                <w:szCs w:val="23"/>
                <w:color w:val="auto"/>
              </w:rPr>
            </w:pPr>
          </w:p>
        </w:tc>
        <w:tc>
          <w:tcPr>
            <w:tcW w:w="960" w:type="dxa"/>
            <w:vAlign w:val="bottom"/>
            <w:shd w:val="clear" w:color="auto" w:fill="D6F3E8"/>
          </w:tcPr>
          <w:p>
            <w:pPr>
              <w:spacing w:after="0"/>
              <w:rPr>
                <w:sz w:val="23"/>
                <w:szCs w:val="23"/>
                <w:color w:val="auto"/>
              </w:rPr>
            </w:pPr>
          </w:p>
        </w:tc>
        <w:tc>
          <w:tcPr>
            <w:tcW w:w="460" w:type="dxa"/>
            <w:vAlign w:val="bottom"/>
            <w:shd w:val="clear" w:color="auto" w:fill="D6F3E8"/>
          </w:tcPr>
          <w:p>
            <w:pPr>
              <w:spacing w:after="0"/>
              <w:rPr>
                <w:sz w:val="23"/>
                <w:szCs w:val="23"/>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.24</w:t>
            </w:r>
          </w:p>
        </w:tc>
      </w:tr>
      <w:tr>
        <w:trPr>
          <w:trHeight w:val="270"/>
        </w:trPr>
        <w:tc>
          <w:tcPr>
            <w:tcW w:w="3780" w:type="dxa"/>
            <w:vAlign w:val="bottom"/>
            <w:gridSpan w:val="2"/>
          </w:tcPr>
          <w:p>
            <w:pPr>
              <w:ind w:left="6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3"/>
                <w:szCs w:val="23"/>
                <w:color w:val="auto"/>
              </w:rPr>
            </w:pPr>
          </w:p>
        </w:tc>
        <w:tc>
          <w:tcPr>
            <w:tcW w:w="960" w:type="dxa"/>
            <w:vAlign w:val="bottom"/>
            <w:shd w:val="clear" w:color="auto" w:fill="D6F3E8"/>
          </w:tcPr>
          <w:p>
            <w:pPr>
              <w:spacing w:after="0"/>
              <w:rPr>
                <w:sz w:val="23"/>
                <w:szCs w:val="23"/>
                <w:color w:val="auto"/>
              </w:rPr>
            </w:pPr>
          </w:p>
        </w:tc>
        <w:tc>
          <w:tcPr>
            <w:tcW w:w="460" w:type="dxa"/>
            <w:vAlign w:val="bottom"/>
            <w:shd w:val="clear" w:color="auto" w:fill="D6F3E8"/>
          </w:tcPr>
          <w:p>
            <w:pPr>
              <w:spacing w:after="0"/>
              <w:rPr>
                <w:sz w:val="23"/>
                <w:szCs w:val="23"/>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w:t>
            </w:r>
          </w:p>
        </w:tc>
      </w:tr>
      <w:tr>
        <w:trPr>
          <w:trHeight w:val="376"/>
        </w:trPr>
        <w:tc>
          <w:tcPr>
            <w:tcW w:w="37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6"/>
        </w:trPr>
        <w:tc>
          <w:tcPr>
            <w:tcW w:w="3780" w:type="dxa"/>
            <w:vAlign w:val="bottom"/>
            <w:gridSpan w:val="2"/>
          </w:tcPr>
          <w:p>
            <w:pPr>
              <w:ind w:left="640"/>
              <w:spacing w:after="0" w:line="285"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3"/>
                <w:szCs w:val="23"/>
                <w:color w:val="auto"/>
              </w:rPr>
            </w:pPr>
          </w:p>
        </w:tc>
        <w:tc>
          <w:tcPr>
            <w:tcW w:w="960" w:type="dxa"/>
            <w:vAlign w:val="bottom"/>
            <w:shd w:val="clear" w:color="auto" w:fill="D6F3E8"/>
          </w:tcPr>
          <w:p>
            <w:pPr>
              <w:spacing w:after="0"/>
              <w:rPr>
                <w:sz w:val="23"/>
                <w:szCs w:val="23"/>
                <w:color w:val="auto"/>
              </w:rPr>
            </w:pPr>
          </w:p>
        </w:tc>
        <w:tc>
          <w:tcPr>
            <w:tcW w:w="460" w:type="dxa"/>
            <w:vAlign w:val="bottom"/>
            <w:shd w:val="clear" w:color="auto" w:fill="D6F3E8"/>
          </w:tcPr>
          <w:p>
            <w:pPr>
              <w:spacing w:after="0"/>
              <w:rPr>
                <w:sz w:val="23"/>
                <w:szCs w:val="23"/>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w:t>
            </w:r>
          </w:p>
        </w:tc>
      </w:tr>
      <w:tr>
        <w:trPr>
          <w:trHeight w:val="270"/>
        </w:trPr>
        <w:tc>
          <w:tcPr>
            <w:tcW w:w="3780" w:type="dxa"/>
            <w:vAlign w:val="bottom"/>
            <w:gridSpan w:val="2"/>
          </w:tcPr>
          <w:p>
            <w:pPr>
              <w:ind w:left="6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780" w:type="dxa"/>
            <w:vAlign w:val="bottom"/>
            <w:gridSpan w:val="2"/>
            <w:shd w:val="clear" w:color="auto" w:fill="D6F3E8"/>
          </w:tcPr>
          <w:p>
            <w:pPr>
              <w:ind w:left="64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D6F3E8"/>
          </w:tcPr>
          <w:p>
            <w:pPr>
              <w:spacing w:after="0"/>
              <w:rPr>
                <w:sz w:val="23"/>
                <w:szCs w:val="23"/>
                <w:color w:val="auto"/>
              </w:rPr>
            </w:pPr>
          </w:p>
        </w:tc>
        <w:tc>
          <w:tcPr>
            <w:tcW w:w="960" w:type="dxa"/>
            <w:vAlign w:val="bottom"/>
            <w:shd w:val="clear" w:color="auto" w:fill="D6F3E8"/>
          </w:tcPr>
          <w:p>
            <w:pPr>
              <w:spacing w:after="0"/>
              <w:rPr>
                <w:sz w:val="23"/>
                <w:szCs w:val="23"/>
                <w:color w:val="auto"/>
              </w:rPr>
            </w:pPr>
          </w:p>
        </w:tc>
        <w:tc>
          <w:tcPr>
            <w:tcW w:w="460" w:type="dxa"/>
            <w:vAlign w:val="bottom"/>
            <w:shd w:val="clear" w:color="auto" w:fill="D6F3E8"/>
          </w:tcPr>
          <w:p>
            <w:pPr>
              <w:spacing w:after="0"/>
              <w:rPr>
                <w:sz w:val="23"/>
                <w:szCs w:val="23"/>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.20</w:t>
            </w:r>
          </w:p>
        </w:tc>
      </w:tr>
    </w:tbl>
    <w:p>
      <w:pPr>
        <w:spacing w:after="0" w:line="316"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The Company’s common shares are traded on The NASDAQ Global Stock Market under the symbol “HWKN.” The price information represents closing sale prices as reported by The NASDAQ Global Stock Market. As of March 30, 2008, there were approximately 616 registered common shareholders, which includes nominees or broker dealers holding stock on behalf of an estimated 1191 beneficial owners.</w:t>
      </w:r>
    </w:p>
    <w:p>
      <w:pPr>
        <w:spacing w:after="0" w:line="53"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Company first started paying cash dividends in 1985 and has continued to do so since. Future dividend levels will be dependent upon our results of operations, financial position, cash flows and other factors, and will be evaluated by our Board of Directors.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is a graph comparing the cumulative total shareholder return on the Company’s common stock with the cumulative total returns of the NASDAQ Industrial Index and the NASDAQ Composite Index for the Company’s last five fiscal years. The graph assumes the investment of $100 in the Company’s stock, the NASDAQ Industrial Index and the NASDAQ Composite Index on March 31, 2003, and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422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22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SELECTED FINANCIAL DATA</w:t>
      </w:r>
    </w:p>
    <w:p>
      <w:pPr>
        <w:sectPr>
          <w:pgSz w:w="11900" w:h="16838" w:orient="portrait"/>
          <w:cols w:equalWidth="0" w:num="1">
            <w:col w:w="11340"/>
          </w:cols>
          <w:pgMar w:left="240" w:top="307" w:right="31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0" w:type="dxa"/>
            <w:vAlign w:val="bottom"/>
          </w:tcPr>
          <w:p>
            <w:pPr>
              <w:jc w:val="center"/>
              <w:ind w:left="88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020" w:type="dxa"/>
            <w:vAlign w:val="bottom"/>
          </w:tcPr>
          <w:p>
            <w:pPr>
              <w:jc w:val="center"/>
              <w:ind w:right="14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020" w:type="dxa"/>
            <w:vAlign w:val="bottom"/>
          </w:tcPr>
          <w:p>
            <w:pPr>
              <w:jc w:val="center"/>
              <w:ind w:right="14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020" w:type="dxa"/>
            <w:vAlign w:val="bottom"/>
          </w:tcPr>
          <w:p>
            <w:pPr>
              <w:jc w:val="center"/>
              <w:ind w:right="140"/>
              <w:spacing w:after="0"/>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4"/>
                <w:szCs w:val="14"/>
                <w:color w:val="auto"/>
              </w:rPr>
            </w:pPr>
          </w:p>
        </w:tc>
        <w:tc>
          <w:tcPr>
            <w:tcW w:w="1080" w:type="dxa"/>
            <w:vAlign w:val="bottom"/>
          </w:tcPr>
          <w:p>
            <w:pPr>
              <w:jc w:val="center"/>
              <w:ind w:right="200"/>
              <w:spacing w:after="0"/>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0" w:type="dxa"/>
            <w:vAlign w:val="bottom"/>
          </w:tcPr>
          <w:p>
            <w:pPr>
              <w:jc w:val="center"/>
              <w:ind w:left="86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10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0" w:type="dxa"/>
            <w:vAlign w:val="bottom"/>
          </w:tcPr>
          <w:p>
            <w:pPr>
              <w:jc w:val="center"/>
              <w:ind w:left="860"/>
              <w:spacing w:after="0" w:line="149" w:lineRule="exact"/>
              <w:rPr>
                <w:sz w:val="20"/>
                <w:szCs w:val="20"/>
                <w:color w:val="auto"/>
              </w:rPr>
            </w:pPr>
            <w:r>
              <w:rPr>
                <w:rFonts w:ascii="Arial" w:cs="Arial" w:eastAsia="Arial" w:hAnsi="Arial"/>
                <w:sz w:val="14"/>
                <w:szCs w:val="14"/>
                <w:b w:val="1"/>
                <w:bCs w:val="1"/>
                <w:color w:val="auto"/>
                <w:w w:val="89"/>
              </w:rPr>
              <w:t>March 30,</w:t>
            </w:r>
          </w:p>
        </w:tc>
        <w:tc>
          <w:tcPr>
            <w:tcW w:w="2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April 1,</w:t>
            </w:r>
          </w:p>
        </w:tc>
        <w:tc>
          <w:tcPr>
            <w:tcW w:w="2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April 2,</w:t>
            </w:r>
          </w:p>
        </w:tc>
        <w:tc>
          <w:tcPr>
            <w:tcW w:w="2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April 3,</w:t>
            </w:r>
          </w:p>
        </w:tc>
        <w:tc>
          <w:tcPr>
            <w:tcW w:w="22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left="860"/>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  196,439,762</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160,405,080</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143,331,250</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115,280,312</w:t>
            </w:r>
          </w:p>
        </w:tc>
        <w:tc>
          <w:tcPr>
            <w:tcW w:w="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w w:val="95"/>
              </w:rPr>
              <w:t>107,028,131</w:t>
            </w:r>
          </w:p>
        </w:tc>
        <w:tc>
          <w:tcPr>
            <w:tcW w:w="0" w:type="dxa"/>
            <w:vAlign w:val="bottom"/>
          </w:tcPr>
          <w:p>
            <w:pPr>
              <w:spacing w:after="0"/>
              <w:rPr>
                <w:sz w:val="1"/>
                <w:szCs w:val="1"/>
                <w:color w:val="auto"/>
              </w:rPr>
            </w:pPr>
          </w:p>
        </w:tc>
      </w:tr>
      <w:tr>
        <w:trPr>
          <w:trHeight w:val="390"/>
        </w:trPr>
        <w:tc>
          <w:tcPr>
            <w:tcW w:w="42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jc w:val="right"/>
              <w:spacing w:after="0"/>
              <w:rPr>
                <w:sz w:val="20"/>
                <w:szCs w:val="20"/>
                <w:color w:val="auto"/>
              </w:rPr>
            </w:pPr>
            <w:r>
              <w:rPr>
                <w:rFonts w:ascii="Arial" w:cs="Arial" w:eastAsia="Arial" w:hAnsi="Arial"/>
                <w:sz w:val="18"/>
                <w:szCs w:val="18"/>
                <w:color w:val="auto"/>
              </w:rPr>
              <w:t>41,596,482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37,236,977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33,219,142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29,606,185</w:t>
            </w:r>
          </w:p>
        </w:tc>
        <w:tc>
          <w:tcPr>
            <w:tcW w:w="22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27,974,289</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9,110,009</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8,068,883</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8,886,153</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8,092,009</w:t>
            </w:r>
          </w:p>
        </w:tc>
        <w:tc>
          <w:tcPr>
            <w:tcW w:w="220" w:type="dxa"/>
            <w:vAlign w:val="bottom"/>
            <w:shd w:val="clear" w:color="auto" w:fill="D6F3E8"/>
          </w:tcPr>
          <w:p>
            <w:pPr>
              <w:spacing w:after="0"/>
              <w:rPr>
                <w:sz w:val="19"/>
                <w:szCs w:val="19"/>
                <w:color w:val="auto"/>
              </w:rPr>
            </w:pP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5,751,884</w:t>
            </w:r>
          </w:p>
        </w:tc>
        <w:tc>
          <w:tcPr>
            <w:tcW w:w="0" w:type="dxa"/>
            <w:vAlign w:val="bottom"/>
          </w:tcPr>
          <w:p>
            <w:pPr>
              <w:spacing w:after="0"/>
              <w:rPr>
                <w:sz w:val="1"/>
                <w:szCs w:val="1"/>
                <w:color w:val="auto"/>
              </w:rPr>
            </w:pPr>
          </w:p>
        </w:tc>
      </w:tr>
      <w:tr>
        <w:trPr>
          <w:trHeight w:val="390"/>
        </w:trPr>
        <w:tc>
          <w:tcPr>
            <w:tcW w:w="4200" w:type="dxa"/>
            <w:vAlign w:val="bottom"/>
            <w:gridSpan w:val="2"/>
          </w:tcPr>
          <w:p>
            <w:pPr>
              <w:spacing w:after="0"/>
              <w:rPr>
                <w:sz w:val="20"/>
                <w:szCs w:val="20"/>
                <w:color w:val="auto"/>
              </w:rPr>
            </w:pPr>
            <w:r>
              <w:rPr>
                <w:rFonts w:ascii="Arial" w:cs="Arial" w:eastAsia="Arial" w:hAnsi="Arial"/>
                <w:sz w:val="18"/>
                <w:szCs w:val="18"/>
                <w:color w:val="auto"/>
              </w:rPr>
              <w:t>Basic and diluted earnings per common share</w:t>
            </w:r>
          </w:p>
        </w:tc>
        <w:tc>
          <w:tcPr>
            <w:tcW w:w="22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D6F3E8"/>
          </w:tcPr>
          <w:p>
            <w:pPr>
              <w:spacing w:after="0"/>
              <w:rPr>
                <w:sz w:val="19"/>
                <w:szCs w:val="19"/>
                <w:color w:val="auto"/>
              </w:rPr>
            </w:pP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0"/>
        </w:trPr>
        <w:tc>
          <w:tcPr>
            <w:tcW w:w="4200" w:type="dxa"/>
            <w:vAlign w:val="bottom"/>
            <w:gridSpan w:val="2"/>
          </w:tcPr>
          <w:p>
            <w:pPr>
              <w:spacing w:after="0"/>
              <w:rPr>
                <w:sz w:val="20"/>
                <w:szCs w:val="20"/>
                <w:color w:val="auto"/>
              </w:rPr>
            </w:pPr>
            <w:r>
              <w:rPr>
                <w:rFonts w:ascii="Arial" w:cs="Arial" w:eastAsia="Arial" w:hAnsi="Arial"/>
                <w:sz w:val="18"/>
                <w:szCs w:val="18"/>
                <w:color w:val="auto"/>
              </w:rPr>
              <w:t>Cash dividends paid per common share</w:t>
            </w:r>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Total assets</w:t>
            </w:r>
          </w:p>
        </w:tc>
        <w:tc>
          <w:tcPr>
            <w:tcW w:w="2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101,268,594</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94,056,734</w:t>
            </w:r>
          </w:p>
        </w:tc>
        <w:tc>
          <w:tcPr>
            <w:tcW w:w="2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87,658,118</w:t>
            </w:r>
          </w:p>
        </w:tc>
        <w:tc>
          <w:tcPr>
            <w:tcW w:w="220" w:type="dxa"/>
            <w:vAlign w:val="bottom"/>
            <w:shd w:val="clear" w:color="auto" w:fill="D6F3E8"/>
          </w:tcPr>
          <w:p>
            <w:pPr>
              <w:spacing w:after="0"/>
              <w:rPr>
                <w:sz w:val="19"/>
                <w:szCs w:val="19"/>
                <w:color w:val="auto"/>
              </w:rPr>
            </w:pP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82,616,905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right="780" w:hanging="1296"/>
        <w:spacing w:after="0" w:line="251" w:lineRule="auto"/>
        <w:tabs>
          <w:tab w:leader="none" w:pos="128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120" w:firstLine="648"/>
        <w:spacing w:after="0" w:line="306" w:lineRule="auto"/>
        <w:rPr>
          <w:sz w:val="20"/>
          <w:szCs w:val="20"/>
          <w:color w:val="auto"/>
        </w:rPr>
      </w:pPr>
      <w:r>
        <w:rPr>
          <w:rFonts w:ascii="Arial" w:cs="Arial" w:eastAsia="Arial" w:hAnsi="Arial"/>
          <w:sz w:val="15"/>
          <w:szCs w:val="15"/>
          <w:color w:val="auto"/>
        </w:rPr>
        <w:t>The information contained in this Annual Report on Form 10-K for the year ended March 30, 2008,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 Form 10-K and in any public statements we make could be materially different from actual results. They can be affected by assumptions we might make or by known or unknown risks or uncertainties, including those described in Item 1A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 Form 10-K.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Annual Report on Form 10-K or any other public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Company’s fiscal years ended March 30, 2008, April 1, 2007, and April 2, 2006. This discussion should be read in conjunction with the Financial Statements and Notes to Financial Statements included in ITEM 8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Sales for the fiscal year ended March 30, 2008 were $196,439,762 versus $160,405,080 for the fiscal year ended April 1, 2007 and $143,331,250 for the fiscal year ended April 2, 2006. Net income for the fiscal year ended March 30, 2008 was $9,110,009, or $.89 per share, compared to $8,068,883, or $.79 per share for the fiscal year ended April 1, 2007 and $8,886,153, or $.87 per share, for the fiscal year ended April 2, 2006.</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8" w:lineRule="exact"/>
        <w:rPr>
          <w:sz w:val="20"/>
          <w:szCs w:val="20"/>
          <w:color w:val="auto"/>
        </w:rPr>
      </w:pPr>
    </w:p>
    <w:tbl>
      <w:tblPr>
        <w:tblLayout w:type="fixed"/>
        <w:tblInd w:w="6540" w:type="dxa"/>
        <w:tblCellMar>
          <w:top w:w="0" w:type="dxa"/>
          <w:left w:w="0" w:type="dxa"/>
          <w:bottom w:w="0" w:type="dxa"/>
          <w:right w:w="0" w:type="dxa"/>
        </w:tblCellMar>
      </w:tblPr>
      <w:tr>
        <w:trPr>
          <w:trHeight w:val="161"/>
        </w:trPr>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Fiscal</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Fiscal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r>
      <w:tr>
        <w:trPr>
          <w:trHeight w:val="149"/>
        </w:trPr>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 Ended</w:t>
            </w:r>
          </w:p>
        </w:tc>
      </w:tr>
      <w:tr>
        <w:trPr>
          <w:trHeight w:val="16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30, 2008</w:t>
            </w: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April 1, 2007</w:t>
            </w:r>
          </w:p>
        </w:tc>
        <w:tc>
          <w:tcPr>
            <w:tcW w:w="4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April 2, 2006</w:t>
            </w:r>
          </w:p>
        </w:tc>
      </w:tr>
    </w:tbl>
    <w:p>
      <w:pPr>
        <w:spacing w:after="0" w:line="140" w:lineRule="exact"/>
        <w:rPr>
          <w:sz w:val="20"/>
          <w:szCs w:val="20"/>
          <w:color w:val="auto"/>
        </w:rPr>
      </w:pPr>
    </w:p>
    <w:p>
      <w:pPr>
        <w:sectPr>
          <w:pgSz w:w="11900" w:h="16838" w:orient="portrait"/>
          <w:cols w:equalWidth="0" w:num="1">
            <w:col w:w="11420"/>
          </w:cols>
          <w:pgMar w:left="240" w:top="330" w:right="239" w:bottom="11" w:gutter="0" w:footer="0" w:header="0"/>
        </w:sectPr>
      </w:pPr>
    </w:p>
    <w:p>
      <w:pPr>
        <w:ind w:left="660"/>
        <w:spacing w:after="0"/>
        <w:rPr>
          <w:sz w:val="20"/>
          <w:szCs w:val="20"/>
          <w:color w:val="auto"/>
        </w:rPr>
      </w:pPr>
      <w:r>
        <w:rPr>
          <w:rFonts w:ascii="Arial" w:cs="Arial" w:eastAsia="Arial" w:hAnsi="Arial"/>
          <w:sz w:val="18"/>
          <w:szCs w:val="18"/>
          <w:color w:val="auto"/>
        </w:rPr>
        <w:t>Sales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sales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Selling, general and administrative expenses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Litigation settlement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22"/>
        </w:trPr>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-709930</wp:posOffset>
            </wp:positionV>
            <wp:extent cx="65176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-426720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-135255</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20" w:space="720"/>
            <w:col w:w="4880"/>
          </w:cols>
          <w:pgMar w:left="240" w:top="330" w:right="239" w:bottom="11"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4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80" w:type="dxa"/>
            <w:vAlign w:val="bottom"/>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162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6.6%</w:t>
            </w:r>
          </w:p>
        </w:tc>
        <w:tc>
          <w:tcPr>
            <w:tcW w:w="144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7.0%</w:t>
            </w:r>
          </w:p>
        </w:tc>
        <w:tc>
          <w:tcPr>
            <w:tcW w:w="1320" w:type="dxa"/>
            <w:vAlign w:val="bottom"/>
            <w:gridSpan w:val="2"/>
          </w:tcPr>
          <w:p>
            <w:pPr>
              <w:jc w:val="right"/>
              <w:ind w:right="160"/>
              <w:spacing w:after="0" w:line="19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240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1.1%</w:t>
            </w:r>
          </w:p>
        </w:tc>
        <w:tc>
          <w:tcPr>
            <w:tcW w:w="13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240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(2.7)%</w:t>
            </w:r>
          </w:p>
        </w:tc>
        <w:tc>
          <w:tcPr>
            <w:tcW w:w="14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auto"/>
              </w:rPr>
              <w:t>11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4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0" w:right="239" w:bottom="11" w:gutter="0" w:footer="0" w:header="0"/>
          <w:type w:val="continuous"/>
        </w:sectPr>
      </w:pPr>
    </w:p>
    <w:bookmarkStart w:id="8" w:name="page9"/>
    <w:bookmarkEnd w:id="8"/>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Sales increased $36,034,682, or 22.5%, to $196,439,762 for the fiscal year ended March 30, 2008, as compared to sales of $160,405,080 for the fiscal year ended April 1, 2007. Sales of bulk chemicals, including caustic soda, were approximately 33% of sales compared to 34% in the previous year. Industrial segment sales increased $29,201,967, or 30.6%, to $124,596,870, and Water Treatment segment sales increased $5,696,288, or 10.1%, to $62,067,525. Pharmaceutical segment sales increased $1,136,427, or 13.2%, to $9,775,367. The Industrial segment sales were impacted by the acquisition of Trumark, Inc. completed on May 31, 2007, driving approximately 8.0% of the increase in sales. Excluding the Trumark acquisition, the approximately 23.0% increase in the Industrial segment sales related to existing product lines and was primarily due to an increase in higher volume, lower margin products and price increases correlating to rising material costs. Caustic soda volumes sold were comparable to the prior year. Water Treatment segment sales increases were attributable to selling price increases related to material cost increases, successful expansion of existing product lines to new and existing customers, and volume increases during the first quarter of fiscal 2008 related to favorable weather conditions. The expansion into Kansas and Missouri had negligible impact on the Water Treatment segment sales, as these new start-up locations were operational only in the fourth quarter of fiscal 2008. Pharmaceutical segment sales increased primarily due to the resolution of restrictions placed on the Company’s ability to sell certain products by the Minneapolis District Office of the Food and Drug Administration (the “FDA”), which negatively impacted sales in the second half of fiscal 2007 and the first half of fiscal 2008. The FDA matter is described in more detail below.</w:t>
      </w:r>
    </w:p>
    <w:p>
      <w:pPr>
        <w:spacing w:after="0" w:line="175" w:lineRule="exact"/>
        <w:rPr>
          <w:sz w:val="20"/>
          <w:szCs w:val="20"/>
          <w:color w:val="auto"/>
        </w:rPr>
      </w:pPr>
    </w:p>
    <w:p>
      <w:pPr>
        <w:ind w:right="40" w:firstLine="648"/>
        <w:spacing w:after="0" w:line="318" w:lineRule="auto"/>
        <w:rPr>
          <w:sz w:val="20"/>
          <w:szCs w:val="20"/>
          <w:color w:val="auto"/>
        </w:rPr>
      </w:pPr>
      <w:r>
        <w:rPr>
          <w:rFonts w:ascii="Arial" w:cs="Arial" w:eastAsia="Arial" w:hAnsi="Arial"/>
          <w:sz w:val="15"/>
          <w:szCs w:val="15"/>
          <w:color w:val="auto"/>
        </w:rPr>
        <w:t>In September 2006, the Company received a warning letter from the FDA. The Company responded to this letter and subsequently received a letter from the FDA in November 2006 requesting that the Company cease shipments of certain products until it resolved certain issues with the FDA with respect to the validation of packaging configurations and expiration dating for those products. The Company worked to resolve this matter and during the third quarter of fiscal 2008, received clearance from the FDA to sell the majority of the products initially affected. Although sales within the Pharmaceutical segment were negatively impacted in the second half of fiscal 2007 and the first half of fiscal 2008, there was not a material impact to the Company’s results of operations or cash flows.</w:t>
      </w:r>
    </w:p>
    <w:p>
      <w:pPr>
        <w:spacing w:after="0" w:line="15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Sales increased $17,073,830, or 11.9%, to $160,405,080 for the fiscal year ended April 1, 2007 as compared to sales of $143,331,250 for the fiscal year ended April 2, 2006. Sales of bulk chemicals, including caustic soda, were approximately 34% of sales compared to 35% in the previous year. Industrial segment sales increased $11,202,506, or 13.3%, to $95,394,903, and Water Treatment segment sales increased $7,424,323, or 15.2%, to $56,371,237. Pharmaceutical segment sales decreased $1,552,999, or 15.2%, to $8,638,940. The increase in the Industrial segment sales was primarily due to increased sales volumes within existing product lines. Caustic soda volumes sold were comparable to the prior year. Water Treatment segment sales increases were attributable to selling price increases connected with material cost increases and successful expansion of existing product lines to new and existing customers. The decrease in Pharmaceutical segment sales was due primarily to the aforementioned restrictions placed on the Company’s ability to sell certain products by the FDA and, to a lesser extent, competitive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Gross margin, as a percentage of sales, was 21.2% for the fiscal year ended March 30, 2008 and 23.2% for the fiscal years ended April 1, 2007 and April 2, 2006. The Company took a charge to gross margin due to costing its inventory on the LIFO basis that negatively impacted gross margin by 1.1% as compared to fiscal 2007. Changes in gross margin by reported segment are explained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Industrial Segment</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Gross margin, as a percentage of sales, for the Industrial segment was 15.9% for the fiscal year ended March 30, 2008, 19.0% for the fiscal year ended April 1, 2007 and 17.9% for the fiscal year ended April 2, 2006. Changes in product mix toward higher volume, lower margin products and higher material costs negatively impacted margins. Additionally, since we are on the LIFO method of valuing inventory, the higher cost of inventory on hand as of March 30, 2008 negatively impacted gross margins by 1.5% as compared to fiscal 2007. The Company attempts to maintain relatively constant dollar margins as the cost of caustic soda and other raw material costs increase or decrease. The product costs are normally subject to fluctuations, which are expected to continue in future periods. By maintaining relatively stable margin dollars, the gross margin percentage will decrease when the cost of the product is increasing and will increase when the cost of the product is decreasing.</w:t>
      </w:r>
    </w:p>
    <w:p>
      <w:pPr>
        <w:spacing w:after="0" w:line="17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LIFO method of valuing inventory, combined with changes in product mix and volumes of inventory on hand, positively impacted gross margins by approximately 2.2% in fiscal 2007 as compared to fiscal 2006. This was partially offset as a portion of the sales increase related to high-volume, lower-margin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Water Treatment Segment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Gross margin, as a percentage of sales, for the Water Treatment segment was 30.2% for the fiscal year ended March 30, 2008, 29.6% for the fiscal year ended April 1, 2007 and 30.8% for the fiscal year ended April 2, 2006. The increase for the fiscal year ended March 30, 2008 as compared to the fiscal year ended April 1, 2007 related primarily to an increase in seasonal volumes sold and favorable changes in product mix. This increase was partially offset due to the LIFO method of valuing inventory combined with the higher cost and quantity of inventory on hand at March 30, 2008, which negatively impacted the fiscal 2008 gross margin by 0.6%. The decrease for the fiscal year ended April 1, 2007 as compared to the fiscal year ended April 2, 2006 was primarily attributable to an unfavorable change in product mix.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Segment</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Gross margin, as a percentage of sales, for the Pharmaceutical segment was 30.7% for the fiscal year ended March 30, 2008, 28.3% for the fiscal year ended April 1, 2007 and 30.4% for the fiscal year ended April 2, 2006. The decrease for the fiscal year ended April 1, 2007 as compared to the fiscal years ended March 30, 2008 and April 2, 2006 was primarily attributable to the decrease in sales associated with the FDA matter as discussed above as sales were not at a level sufficient to cover fixed costs and changes in product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500" w:firstLine="648"/>
        <w:spacing w:after="0" w:line="370" w:lineRule="auto"/>
        <w:rPr>
          <w:sz w:val="20"/>
          <w:szCs w:val="20"/>
          <w:color w:val="auto"/>
        </w:rPr>
      </w:pPr>
      <w:r>
        <w:rPr>
          <w:rFonts w:ascii="Arial" w:cs="Arial" w:eastAsia="Arial" w:hAnsi="Arial"/>
          <w:sz w:val="15"/>
          <w:szCs w:val="15"/>
          <w:color w:val="auto"/>
        </w:rPr>
        <w:t>Selling, general and administrative expenses, as a percentage of sales, were 14.6% ($28,614,185) for the fiscal year ended March 30, 2008, 16.2% ($25,972,636) for the fiscal year ended April 1, 2007 and 15.0% ($21,513,444) for the fiscal year ended April 2, 2006. The acquisition of Trumark drove</w:t>
      </w:r>
    </w:p>
    <w:p>
      <w:pPr>
        <w:sectPr>
          <w:pgSz w:w="11900" w:h="16948" w:orient="portrait"/>
          <w:cols w:equalWidth="0" w:num="1">
            <w:col w:w="11420"/>
          </w:cols>
          <w:pgMar w:left="240" w:top="374" w:right="239" w:bottom="0" w:gutter="0" w:footer="0" w:header="0"/>
        </w:sectPr>
      </w:pPr>
    </w:p>
    <w:bookmarkStart w:id="9" w:name="page10"/>
    <w:bookmarkEnd w:id="9"/>
    <w:p>
      <w:pPr>
        <w:ind w:right="140"/>
        <w:spacing w:after="0" w:line="255" w:lineRule="auto"/>
        <w:rPr>
          <w:sz w:val="20"/>
          <w:szCs w:val="20"/>
          <w:color w:val="auto"/>
        </w:rPr>
      </w:pPr>
      <w:r>
        <w:rPr>
          <w:rFonts w:ascii="Arial" w:cs="Arial" w:eastAsia="Arial" w:hAnsi="Arial"/>
          <w:sz w:val="18"/>
          <w:szCs w:val="18"/>
          <w:color w:val="auto"/>
        </w:rPr>
        <w:t>approximately $1,600,000 of the $2,641,549 increase for the fiscal year ended March 30, 2008 as compared to April 1. 2007. This included the amortization of intangible assets and approximately $300,000 of non-recurring acquisition-related items. Higher employee compensation, including the issuance of restricted stock, sales incentive compensation expense, and a full year of depreciation expense related to the Enterprise Resource Planning (ERP) system drove the remaining increase in expenses as compared to the prior year. These increases were partially offset by a decrease in professional and consulting expenses related to the ERP implementation.</w:t>
      </w:r>
    </w:p>
    <w:p>
      <w:pPr>
        <w:spacing w:after="0" w:line="197"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A significant portion of the increase during the fiscal year ended April 1, 2007 as compared to the fiscal year ended April 2, 2006, was due to costs associated with the Company’s implementation of an Enterprise Resource Planning (ERP) system, including consultants and contractors, depreciation, and employee overtime. To a lesser extent, incremental staff to support sales growth also contributed to the increase in selling, general and administrative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Company paid $3.0 million in 2004 to resolve a personal injury lawsuit relating to the acquisition of Universal Chemicals in 2000. In July 2004, the Company filed suit against the former principals of Universal Chemicals seeking indemnification for the costs the Company incurred in defending and resolving the litigation. 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75,358 shares represent a partial reimbursement for the $3.0 million settlement paid by the Company. Both the original $3.0 million settlement paid by the Company and the settlement received from the Universal Chemicals shareholders were recorded within the litigation settlement line of the Statements of Income.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$1,056,520 was recorded in the Pharmaceutical segment during the fiscal year ended April 2, 2006 when the Company received the 75,358 shares and the executed final releases and stipulations.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Investment income decreased $351,620 to $1,340,712 for the fiscal year ended March 30, 2008 compared to $1,692,332 for the fiscal year ended April 1, 2007. Investment income increased by approximately $800,043 in fiscal 2007 compared to fiscal 2006 investment income of $892,289. The decrease in fiscal 2008 was primarily related to an approximately $300,000 difference between the amount realized on the repayment and the carrying value of three notes receivable that were paid in full during the fourth quarter of fiscal 2007, lower average investment balances due to the Trumark acquisition and lower yields. This was partially offset by $244,764 gain on the sale of a mutual fund in fiscal 2008. In addition to the approximately $300,000 difference due to the notes receivable in fiscal 2007, an approximately $281,000 loss was recognized in fiscal 2006 due to other than temporary declines in the market value of a mutual fund, which decreased investment income in comparison to fiscal 2007.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240" w:firstLine="648"/>
        <w:spacing w:after="0" w:line="306" w:lineRule="auto"/>
        <w:rPr>
          <w:sz w:val="20"/>
          <w:szCs w:val="20"/>
          <w:color w:val="auto"/>
        </w:rPr>
      </w:pPr>
      <w:r>
        <w:rPr>
          <w:rFonts w:ascii="Arial" w:cs="Arial" w:eastAsia="Arial" w:hAnsi="Arial"/>
          <w:sz w:val="16"/>
          <w:szCs w:val="16"/>
          <w:color w:val="auto"/>
        </w:rPr>
        <w:t>Our effective income tax rate was 36.4% for the fiscal year ended March 30, 2008, 37.7% for the fiscal year ended April 1, 2007, and 34.9% for the fiscal year ended April 2, 2006. The higher effective tax rates for the fiscal years ended March 30, 2008 and April 1, 2007 as compared to the fiscal year ended April 2, 2006 was primarily due to a tax benefit recognized for adjustments to deferred tax estimates in fiscal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88"/>
              </w:rPr>
              <w:t>Fiscal Year Ended March 30, 2008 (Unaudited)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2"/>
              </w:rPr>
              <w:t>Second</w:t>
            </w:r>
          </w:p>
        </w:tc>
        <w:tc>
          <w:tcPr>
            <w:tcW w:w="140" w:type="dxa"/>
            <w:vAlign w:val="bottom"/>
          </w:tcPr>
          <w:p>
            <w:pPr>
              <w:spacing w:after="0"/>
              <w:rPr>
                <w:sz w:val="11"/>
                <w:szCs w:val="11"/>
                <w:color w:val="auto"/>
              </w:rPr>
            </w:pPr>
          </w:p>
        </w:tc>
        <w:tc>
          <w:tcPr>
            <w:tcW w:w="16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01"/>
              <w:spacing w:after="0" w:line="129" w:lineRule="exact"/>
              <w:rPr>
                <w:sz w:val="20"/>
                <w:szCs w:val="20"/>
                <w:color w:val="auto"/>
              </w:rPr>
            </w:pPr>
            <w:r>
              <w:rPr>
                <w:rFonts w:ascii="Arial" w:cs="Arial" w:eastAsia="Arial" w:hAnsi="Arial"/>
                <w:sz w:val="14"/>
                <w:szCs w:val="14"/>
                <w:b w:val="1"/>
                <w:bCs w:val="1"/>
                <w:color w:val="auto"/>
                <w:w w:val="94"/>
              </w:rPr>
              <w:t>Fourth</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June 30, 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September 30, 2007</w:t>
            </w:r>
          </w:p>
        </w:tc>
        <w:tc>
          <w:tcPr>
            <w:tcW w:w="1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December 31, 2007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March 30, 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48,622,725</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48,143,856</w:t>
            </w: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48,471,758</w:t>
            </w:r>
          </w:p>
        </w:tc>
        <w:tc>
          <w:tcPr>
            <w:tcW w:w="180" w:type="dxa"/>
            <w:vAlign w:val="bottom"/>
            <w:gridSpan w:val="2"/>
            <w:shd w:val="clear" w:color="auto" w:fill="D6F3E8"/>
          </w:tcPr>
          <w:p>
            <w:pPr>
              <w:jc w:val="right"/>
              <w:ind w:right="51"/>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51,201,423</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11,830,551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11,875,499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9,135,941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8,754,491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2,951,070</w:t>
            </w:r>
          </w:p>
        </w:tc>
        <w:tc>
          <w:tcPr>
            <w:tcW w:w="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2,921,419</w:t>
            </w: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1,506,953</w:t>
            </w: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1,730,567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Basic and diluted earnings per share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88"/>
              </w:rPr>
              <w:t>Fiscal Year Ended April 1, 2007 (Unaudited)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2"/>
              </w:rPr>
              <w:t>Second</w:t>
            </w:r>
          </w:p>
        </w:tc>
        <w:tc>
          <w:tcPr>
            <w:tcW w:w="140" w:type="dxa"/>
            <w:vAlign w:val="bottom"/>
          </w:tcPr>
          <w:p>
            <w:pPr>
              <w:spacing w:after="0"/>
              <w:rPr>
                <w:sz w:val="11"/>
                <w:szCs w:val="11"/>
                <w:color w:val="auto"/>
              </w:rPr>
            </w:pPr>
          </w:p>
        </w:tc>
        <w:tc>
          <w:tcPr>
            <w:tcW w:w="16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01"/>
              <w:spacing w:after="0" w:line="129" w:lineRule="exact"/>
              <w:rPr>
                <w:sz w:val="20"/>
                <w:szCs w:val="20"/>
                <w:color w:val="auto"/>
              </w:rPr>
            </w:pPr>
            <w:r>
              <w:rPr>
                <w:rFonts w:ascii="Arial" w:cs="Arial" w:eastAsia="Arial" w:hAnsi="Arial"/>
                <w:sz w:val="14"/>
                <w:szCs w:val="14"/>
                <w:b w:val="1"/>
                <w:bCs w:val="1"/>
                <w:color w:val="auto"/>
                <w:w w:val="94"/>
              </w:rPr>
              <w:t>Fourth</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June 30, 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September 30, 2006</w:t>
            </w:r>
          </w:p>
        </w:tc>
        <w:tc>
          <w:tcPr>
            <w:tcW w:w="1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December 31, 2006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April 1, 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41,460,663</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42,200,162</w:t>
            </w:r>
          </w:p>
        </w:tc>
        <w:tc>
          <w:tcPr>
            <w:tcW w:w="34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37,039,181</w:t>
            </w:r>
          </w:p>
        </w:tc>
        <w:tc>
          <w:tcPr>
            <w:tcW w:w="180" w:type="dxa"/>
            <w:vAlign w:val="bottom"/>
            <w:gridSpan w:val="2"/>
            <w:shd w:val="clear" w:color="auto" w:fill="D6F3E8"/>
          </w:tcPr>
          <w:p>
            <w:pPr>
              <w:jc w:val="right"/>
              <w:ind w:right="51"/>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39,705,074</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10,823,085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11,176,647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6,991,206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8,246,039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2,799,967</w:t>
            </w:r>
          </w:p>
        </w:tc>
        <w:tc>
          <w:tcPr>
            <w:tcW w:w="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3,146,128</w:t>
            </w: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314,273</w:t>
            </w: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1,808,515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Basic and diluted earnings per share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Cash provided by operations in the fiscal year ended March 30, 2008 was $12,205,477 compared to $8,729,475 in the fiscal year ended April 1, 2007 and $9,457,722 in the fiscal year ended April 2, 2006. The increase in the fiscal year ended March 30, 2008 compared to the fiscal year ended April 1, 2007 was due to the increase in net income and due to fluctuations in working capital balances. Due to the nature of our operations, which includes purchases of large quantities of bulk chemicals, timing of purchases can result in significant changes in working capital investment and the resulting operating cash flow. The decrease in the fiscal year ended April 1, 2007 compared to the fiscal year ended April 2, 2006 was due primarily to fluctuations in working capital balances including the timing of income tax payments. These amounts were partially offset by an increase in accounts payable due to timing of payments.</w:t>
      </w:r>
    </w:p>
    <w:p>
      <w:pPr>
        <w:sectPr>
          <w:pgSz w:w="11900" w:h="16838" w:orient="portrait"/>
          <w:cols w:equalWidth="0" w:num="1">
            <w:col w:w="11420"/>
          </w:cols>
          <w:pgMar w:left="240" w:top="131" w:right="239" w:bottom="70" w:gutter="0" w:footer="0" w:header="0"/>
        </w:sectPr>
      </w:pPr>
    </w:p>
    <w:bookmarkStart w:id="10" w:name="page11"/>
    <w:bookmarkEnd w:id="10"/>
    <w:p>
      <w:pPr>
        <w:spacing w:after="0" w:line="93"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Cash and investments available-for-sale of $24,114,375 at March 30, 2008 decreased by $3,839,992 as compared with the $27,954,367 available as of April 1, 2007, due primarily to $5,963,182 paid for the acquisition of Trumark. Cash equivalents consist of a money market account and certificates of deposit with original maturities of three months or less. Investments available-for-sale consists of corporate bonds and U.S. Government agency securities. The Company’s investment objectives, in order of importance, are the preservation of principal, maintenance of liquidity and rate of return. The fixed income portfolio consists primarily of investment grade securities to minimize credit risk, and generally mature within 10 years. The Company monitors the maturities of its investments to ensure that funding is available for anticipated cash needs. At March 30, 2008, $328,836 of available-for-sale investments were classified as non-current assets as they were determined to be temporarily impaired, with an aggregate carrying value exceeding market value by approximately $4,000 and have maturity dates of one year or longer. These investments were not determined to be other-than-temporarily impaired as the Company has the intent and ability to hold these investments for a period of time sufficient to allow a recovery of fair value.</w:t>
      </w:r>
    </w:p>
    <w:p>
      <w:pPr>
        <w:spacing w:after="0" w:line="174" w:lineRule="exact"/>
        <w:rPr>
          <w:sz w:val="20"/>
          <w:szCs w:val="20"/>
          <w:color w:val="auto"/>
        </w:rPr>
      </w:pPr>
    </w:p>
    <w:p>
      <w:pPr>
        <w:jc w:val="both"/>
        <w:ind w:right="180" w:firstLine="648"/>
        <w:spacing w:after="0" w:line="298" w:lineRule="auto"/>
        <w:rPr>
          <w:sz w:val="20"/>
          <w:szCs w:val="20"/>
          <w:color w:val="auto"/>
        </w:rPr>
      </w:pPr>
      <w:r>
        <w:rPr>
          <w:rFonts w:ascii="Arial" w:cs="Arial" w:eastAsia="Arial" w:hAnsi="Arial"/>
          <w:sz w:val="16"/>
          <w:szCs w:val="16"/>
          <w:color w:val="auto"/>
        </w:rPr>
        <w:t>At March 30, 2008, the Company had an investment portfolio of fixed income securities of $2,860,194 and cash equivalents of $21,509,181.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Capital expenditures in the fiscal years ended March 30, 2008, April 1, 2007, and April 2, 2006 were $5,777,957, $4,687,973, and $6,948,010, respectively. Significant capital expenditures during the fiscal year ended March 30, 2008 consisted of approximately $3,200,000 for facilities improvements and increased storage capacity, $750,000 for returnable containers, and $535,000 for new route sales trucks. In addition to recurring capital expenditures for storage, facilities improvements and new route sales trucks, which we anticipate in fiscal 2009 will be comparable with the three previous years’ average spend rate; the Company has plans to spend approximately $8.0 million on capacity expansion, the bulk of which will be spent in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increased our semi-annual cash dividend by 9.1% during the second quarter of fiscal 2008 to $0.24 per share from $0.22 per share. The Company first started paying cash dividends in 1985 and has done so each year since that time. Future dividend levels will be dependent upon our results of operations, financial position, cash flows and other factors, and will be evaluated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aggregate information about our contractual payment obligations and the periods in which payments are due:</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Payments due by period</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More than</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w:t>
            </w:r>
          </w:p>
        </w:tc>
        <w:tc>
          <w:tcPr>
            <w:tcW w:w="2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Arial" w:cs="Arial" w:eastAsia="Arial" w:hAnsi="Arial"/>
                <w:sz w:val="14"/>
                <w:szCs w:val="14"/>
                <w:b w:val="1"/>
                <w:bCs w:val="1"/>
                <w:color w:val="auto"/>
              </w:rPr>
              <w:t>2011</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5 Years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D6F3E8"/>
          </w:tcPr>
          <w:p>
            <w:pPr>
              <w:spacing w:after="0"/>
              <w:rPr>
                <w:sz w:val="20"/>
                <w:szCs w:val="20"/>
                <w:color w:val="auto"/>
              </w:rPr>
            </w:pPr>
            <w:r>
              <w:rPr>
                <w:rFonts w:ascii="Arial" w:cs="Arial" w:eastAsia="Arial" w:hAnsi="Arial"/>
                <w:sz w:val="18"/>
                <w:szCs w:val="18"/>
                <w:color w:val="auto"/>
              </w:rPr>
              <w:t>Operating lease obligations</w:t>
            </w:r>
          </w:p>
        </w:tc>
        <w:tc>
          <w:tcPr>
            <w:tcW w:w="218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$ 421,127</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$ 309,238</w:t>
            </w:r>
          </w:p>
        </w:tc>
        <w:tc>
          <w:tcPr>
            <w:tcW w:w="100" w:type="dxa"/>
            <w:vAlign w:val="bottom"/>
            <w:shd w:val="clear" w:color="auto" w:fill="D6F3E8"/>
          </w:tcPr>
          <w:p>
            <w:pPr>
              <w:spacing w:after="0"/>
              <w:rPr>
                <w:sz w:val="19"/>
                <w:szCs w:val="19"/>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$ 228,023</w:t>
            </w:r>
          </w:p>
        </w:tc>
        <w:tc>
          <w:tcPr>
            <w:tcW w:w="98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$ 187,023</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$ 187,023</w:t>
            </w:r>
          </w:p>
        </w:tc>
        <w:tc>
          <w:tcPr>
            <w:tcW w:w="100" w:type="dxa"/>
            <w:vAlign w:val="bottom"/>
            <w:shd w:val="clear" w:color="auto" w:fill="D6F3E8"/>
          </w:tcPr>
          <w:p>
            <w:pPr>
              <w:spacing w:after="0"/>
              <w:rPr>
                <w:sz w:val="19"/>
                <w:szCs w:val="19"/>
                <w:color w:val="auto"/>
              </w:rPr>
            </w:pPr>
          </w:p>
        </w:tc>
        <w:tc>
          <w:tcPr>
            <w:tcW w:w="8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$ 2,504,135</w:t>
            </w:r>
          </w:p>
        </w:tc>
        <w:tc>
          <w:tcPr>
            <w:tcW w:w="120" w:type="dxa"/>
            <w:vAlign w:val="bottom"/>
            <w:shd w:val="clear" w:color="auto" w:fill="D6F3E8"/>
          </w:tcPr>
          <w:p>
            <w:pPr>
              <w:spacing w:after="0"/>
              <w:rPr>
                <w:sz w:val="19"/>
                <w:szCs w:val="19"/>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8"/>
              </w:rPr>
              <w:t>$ 3,836,569</w:t>
            </w:r>
          </w:p>
        </w:tc>
        <w:tc>
          <w:tcPr>
            <w:tcW w:w="10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320" w:firstLine="648"/>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March 30, 2008 puts it in a position to obtain debt financing on favorable terms.</w:t>
      </w:r>
    </w:p>
    <w:p>
      <w:pPr>
        <w:spacing w:after="0" w:line="16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other than the planned capacity expansion capital expenditures mentioned earlier.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Revenue Recognition - The Company recognizes revenue when there is evidence that the customer has agreed to purchase the product, the price and terms of the sale are fixed, the product has shipped and title passes to our customer, performance has occurred, and collection of the receivable is reasonably assured.</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Investments – Statement of Financial Accounting Standard (SFAS) No. 115, “Accounting for Certain Investments in Debt and Equity Securities,” Securities and Exchange Commission (SEC) Staff Accounting Bulletin (SAB) 59, “Accounting for Noncurrent Marketable Equity Securities,” and FASB Staff Position (FSP) FAS No. 115-1 and FAS No. 124-1, “The Meaning of Other-Than-Temporary Impairment and Its Application to Certain Investments” provide guidance on</w:t>
      </w:r>
    </w:p>
    <w:p>
      <w:pPr>
        <w:sectPr>
          <w:pgSz w:w="11900" w:h="16931" w:orient="portrait"/>
          <w:cols w:equalWidth="0" w:num="1">
            <w:col w:w="11480"/>
          </w:cols>
          <w:pgMar w:left="240" w:top="131" w:right="179" w:bottom="0" w:gutter="0" w:footer="0" w:header="0"/>
        </w:sectPr>
      </w:pPr>
    </w:p>
    <w:bookmarkStart w:id="11" w:name="page12"/>
    <w:bookmarkEnd w:id="11"/>
    <w:p>
      <w:pPr>
        <w:spacing w:after="0" w:line="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 There can be no assurance that our estimates will match actual amounts ultimately written off.</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to net realizable the value of inventory deemed obsolete or excess.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LIFO Reserve – Inventories are primarily valued at the lower of cost or market with cost being determined using the last-in, first-out (LIFO) method. We may incur significant fluctuations in our gross margins due primarily to changes in the cost of a single, large-volume component of inventory. The price of this inventory component may fluctuate depending on the balance between supply and demand. Management reviews the LIFO reserve on a quarterly basis.</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Impairment of Long-Lived Assets – We evaluate the carrying value of long-lived assets, including goodwill, intangible assets subject to amortization and property, plant, and 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subject to amortization. There were no material assets that were determined to be impaired during fiscal 2008.</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Self Insurance – The Company purchases insurance for employee medical benefits with high deductibles. Third party insurance is carried for what is believed to be the major portion of potential exposures that would exceed the Company’s self-insured retentions. The Company has established a liability for potential uninsured claims. The Company considers factors such as known outstanding claims, historical experience, and other relevant factors in estimating the liability. These reserves are monitored and adjusted when warranted by changing circumstances. Though management believes these reserves are adequate, a substantial change in the number and/or severity of claims could result in materially different amounts for this item.</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Income Taxes – In the preparation of the Company’s financial statements, management calculates income taxes. This includes estimating the current tax liability 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See ITEM 8, Note 1 of the Notes to Financial Statements for information pertaining to recently adopted accounting standards or accounting standards to be adopted in the future.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7A.</w:t>
      </w:r>
      <w:r>
        <w:rPr>
          <w:sz w:val="20"/>
          <w:szCs w:val="20"/>
          <w:color w:val="auto"/>
        </w:rPr>
        <w:tab/>
      </w:r>
      <w:r>
        <w:rPr>
          <w:rFonts w:ascii="Arial" w:cs="Arial" w:eastAsia="Arial" w:hAnsi="Arial"/>
          <w:sz w:val="21"/>
          <w:szCs w:val="21"/>
          <w:color w:val="auto"/>
        </w:rPr>
        <w:t>QUANTITATIVE AND QUALITATIVE DISCLOSURE ABOUT MARKET RISK</w:t>
      </w:r>
    </w:p>
    <w:p>
      <w:pPr>
        <w:spacing w:after="0" w:line="219"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At March 30, 2008, the Company had an investment portfolio of fixed income securities of $2,860,194, and cash and cash equivalents of $21,509,181.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Company adjusts the carrying value of its investments if an impairment occurs that is other than temporary.</w:t>
      </w:r>
    </w:p>
    <w:p>
      <w:pPr>
        <w:spacing w:after="0" w:line="170"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ectPr>
          <w:pgSz w:w="11900" w:h="16870"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70" w:orient="portrait"/>
          <w:cols w:equalWidth="0" w:num="1">
            <w:col w:w="11420"/>
          </w:cols>
          <w:pgMar w:left="240" w:top="131" w:right="239" w:bottom="0" w:gutter="0" w:footer="0" w:header="0"/>
          <w:type w:val="continuous"/>
        </w:sectPr>
      </w:pPr>
    </w:p>
    <w:bookmarkStart w:id="12" w:name="page13"/>
    <w:bookmarkEnd w:id="12"/>
    <w:p>
      <w:pPr>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ITEM 8.</w:t>
      </w:r>
      <w:r>
        <w:rPr>
          <w:sz w:val="20"/>
          <w:szCs w:val="20"/>
          <w:color w:val="auto"/>
        </w:rPr>
        <w:tab/>
      </w:r>
      <w:r>
        <w:rPr>
          <w:rFonts w:ascii="Arial" w:cs="Arial" w:eastAsia="Arial" w:hAnsi="Arial"/>
          <w:sz w:val="19"/>
          <w:szCs w:val="19"/>
          <w:color w:val="auto"/>
        </w:rPr>
        <w:t>FINANCIAL STATEMENTS AND SUPPLEMENTARY DATA</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97"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We have audited the accompanying balance sheets of Hawkins, Inc. (the “Company”) as of March 30, 2008 and April 1, 2007, and the related statements of income, shareholders’ equity, and cash flows for each of the three years in the period ended March 30, 2008.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4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Hawkins, Inc. as of March 30, 2008 and April 1, 2007, and the results of their operations and their cash flows for each of the three years in the period ended March 30, 2008, in conformity with accounting principles generally accepted in the United States of America. Also, in our opinion, such financial statement schedule, when considered in relation to the basic financial statements taken as a whole, presents fairly, in all material respects, the information set forth therein.</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March 30, 2008,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June 12, 2008 expressed an unqualified opinion on the Company’s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21,509,181</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11,592,939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Investments available-for-sale</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2,276,358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13,712,540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Trade receivables - less allowance for doubtful accounts: $225,000 for 2008 and 2007</w:t>
            </w:r>
          </w:p>
        </w:tc>
        <w:tc>
          <w:tcPr>
            <w:tcW w:w="120" w:type="dxa"/>
            <w:vAlign w:val="bottom"/>
            <w:shd w:val="clear" w:color="auto" w:fill="D6F3E8"/>
          </w:tcPr>
          <w:p>
            <w:pPr>
              <w:spacing w:after="0"/>
              <w:rPr>
                <w:sz w:val="20"/>
                <w:szCs w:val="20"/>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23,788,342</w:t>
            </w:r>
          </w:p>
        </w:tc>
        <w:tc>
          <w:tcPr>
            <w:tcW w:w="2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19,663,169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14,010,952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12,786,348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Prepaid expenses and other current assets (Note 9)</w:t>
            </w: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3,614,387</w:t>
            </w:r>
          </w:p>
        </w:tc>
        <w:tc>
          <w:tcPr>
            <w:tcW w:w="2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3,214,254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82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65,199,220</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60,969,250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1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D6F3E8"/>
          </w:tcPr>
          <w:p>
            <w:pPr>
              <w:spacing w:after="0"/>
              <w:rPr>
                <w:sz w:val="20"/>
                <w:szCs w:val="20"/>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1,415,172</w:t>
            </w:r>
          </w:p>
        </w:tc>
        <w:tc>
          <w:tcPr>
            <w:tcW w:w="2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1,415,172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31,848,113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30,519,907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D6F3E8"/>
          </w:tcPr>
          <w:p>
            <w:pPr>
              <w:spacing w:after="0"/>
              <w:rPr>
                <w:sz w:val="20"/>
                <w:szCs w:val="20"/>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18,470,277</w:t>
            </w:r>
          </w:p>
        </w:tc>
        <w:tc>
          <w:tcPr>
            <w:tcW w:w="2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15,904,651</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9,589,668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9,122,960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Office furniture and equipment including computer systems</w:t>
            </w: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10,637,954</w:t>
            </w:r>
          </w:p>
        </w:tc>
        <w:tc>
          <w:tcPr>
            <w:tcW w:w="2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10,525,070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71,961,184</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67,487,760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36,032,306</w:t>
            </w:r>
          </w:p>
        </w:tc>
        <w:tc>
          <w:tcPr>
            <w:tcW w:w="2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32,767,300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820"/>
              <w:spacing w:after="0" w:line="202" w:lineRule="exact"/>
              <w:rPr>
                <w:sz w:val="20"/>
                <w:szCs w:val="20"/>
                <w:color w:val="auto"/>
              </w:rPr>
            </w:pPr>
            <w:r>
              <w:rPr>
                <w:rFonts w:ascii="Arial" w:cs="Arial" w:eastAsia="Arial" w:hAnsi="Arial"/>
                <w:sz w:val="18"/>
                <w:szCs w:val="18"/>
                <w:color w:val="auto"/>
              </w:rPr>
              <w:t>Net property, plant, and equipment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35,928,878</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34,720,460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1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Goodwill and Intangible assets – less accumulated amortization:</w:t>
            </w:r>
          </w:p>
        </w:tc>
        <w:tc>
          <w:tcPr>
            <w:tcW w:w="12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$2,088,667 for 2008 and $1,643,308 for 2007 (Note 4)</w:t>
            </w:r>
          </w:p>
        </w:tc>
        <w:tc>
          <w:tcPr>
            <w:tcW w:w="120" w:type="dxa"/>
            <w:vAlign w:val="bottom"/>
            <w:shd w:val="clear" w:color="auto" w:fill="D6F3E8"/>
          </w:tcPr>
          <w:p>
            <w:pPr>
              <w:spacing w:after="0"/>
              <w:rPr>
                <w:sz w:val="20"/>
                <w:szCs w:val="20"/>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6,906,956</w:t>
            </w:r>
          </w:p>
        </w:tc>
        <w:tc>
          <w:tcPr>
            <w:tcW w:w="2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1,839,725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0"/>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583,836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3,013,888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60" w:type="dxa"/>
            <w:vAlign w:val="bottom"/>
            <w:shd w:val="clear" w:color="auto" w:fill="D6F3E8"/>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324,061</w:t>
            </w:r>
          </w:p>
        </w:tc>
        <w:tc>
          <w:tcPr>
            <w:tcW w:w="2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725,271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D6F3E8"/>
            </w:tcBorders>
          </w:tcPr>
          <w:p>
            <w:pPr>
              <w:ind w:left="820"/>
              <w:spacing w:after="0" w:line="202" w:lineRule="exact"/>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7,814,853</w:t>
            </w:r>
          </w:p>
        </w:tc>
        <w:tc>
          <w:tcPr>
            <w:tcW w:w="340" w:type="dxa"/>
            <w:vAlign w:val="bottom"/>
            <w:tcBorders>
              <w:bottom w:val="single" w:sz="8" w:color="D6F3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5,578,884</w:t>
            </w:r>
          </w:p>
        </w:tc>
        <w:tc>
          <w:tcPr>
            <w:tcW w:w="22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340" w:type="dxa"/>
            <w:vAlign w:val="bottom"/>
            <w:tcBorders>
              <w:bottom w:val="single" w:sz="8" w:color="D6F3E8"/>
            </w:tcBorders>
            <w:shd w:val="clear" w:color="auto" w:fill="D6F3E8"/>
          </w:tcPr>
          <w:p>
            <w:pPr>
              <w:spacing w:after="0"/>
              <w:rPr>
                <w:sz w:val="18"/>
                <w:szCs w:val="18"/>
                <w:color w:val="auto"/>
              </w:rPr>
            </w:pP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101,268,594</w:t>
            </w:r>
          </w:p>
        </w:tc>
        <w:tc>
          <w:tcPr>
            <w:tcW w:w="2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6F3E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34"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Accounts payable—trade</w:t>
            </w:r>
          </w:p>
        </w:tc>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11,780,842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10,891,162</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Dividends payable</w:t>
            </w:r>
          </w:p>
        </w:tc>
        <w:tc>
          <w:tcPr>
            <w:tcW w:w="18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2,459,150</w:t>
            </w:r>
          </w:p>
        </w:tc>
        <w:tc>
          <w:tcPr>
            <w:tcW w:w="1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2,247,686</w:t>
            </w:r>
          </w:p>
        </w:tc>
        <w:tc>
          <w:tcPr>
            <w:tcW w:w="2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Accrued payroll and employee benefits</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6,137,089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5,221,005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Container deposits</w:t>
            </w:r>
          </w:p>
        </w:tc>
        <w:tc>
          <w:tcPr>
            <w:tcW w:w="18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983,640</w:t>
            </w:r>
          </w:p>
        </w:tc>
        <w:tc>
          <w:tcPr>
            <w:tcW w:w="1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991,601</w:t>
            </w:r>
          </w:p>
        </w:tc>
        <w:tc>
          <w:tcPr>
            <w:tcW w:w="2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Other accruals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1,344,123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1,380,303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D6F3E8"/>
            </w:tcBorders>
            <w:shd w:val="clear" w:color="auto" w:fill="D6F3E8"/>
          </w:tcPr>
          <w:p>
            <w:pPr>
              <w:ind w:left="800"/>
              <w:spacing w:after="0" w:line="202" w:lineRule="exact"/>
              <w:rPr>
                <w:sz w:val="20"/>
                <w:szCs w:val="20"/>
                <w:color w:val="auto"/>
              </w:rPr>
            </w:pPr>
            <w:r>
              <w:rPr>
                <w:rFonts w:ascii="Arial" w:cs="Arial" w:eastAsia="Arial" w:hAnsi="Arial"/>
                <w:sz w:val="18"/>
                <w:szCs w:val="18"/>
                <w:color w:val="auto"/>
              </w:rPr>
              <w:t>Total current liabilities</w:t>
            </w:r>
          </w:p>
        </w:tc>
        <w:tc>
          <w:tcPr>
            <w:tcW w:w="186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9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7"/>
              </w:rPr>
              <w:t>22,704,844</w:t>
            </w:r>
          </w:p>
        </w:tc>
        <w:tc>
          <w:tcPr>
            <w:tcW w:w="2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20,731,757</w:t>
            </w:r>
          </w:p>
        </w:tc>
        <w:tc>
          <w:tcPr>
            <w:tcW w:w="220" w:type="dxa"/>
            <w:vAlign w:val="bottom"/>
            <w:tcBorders>
              <w:top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1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119,600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138,673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8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9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1,097,097</w:t>
            </w:r>
          </w:p>
        </w:tc>
        <w:tc>
          <w:tcPr>
            <w:tcW w:w="1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420,521</w:t>
            </w:r>
          </w:p>
        </w:tc>
        <w:tc>
          <w:tcPr>
            <w:tcW w:w="2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18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w w:val="95"/>
              </w:rPr>
              <w:t>Common stock; authorized: 30,000,000 shares of $.05 par value;</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w w:val="97"/>
              </w:rPr>
              <w:t>10,239,458 and 10,171,496 shares issued and outstanding for</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2008 and 2007, respectively</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511,973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508,575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Additional paid-in capital</w:t>
            </w:r>
          </w:p>
        </w:tc>
        <w:tc>
          <w:tcPr>
            <w:tcW w:w="18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7"/>
              </w:rPr>
              <w:t>38,090,696</w:t>
            </w:r>
          </w:p>
        </w:tc>
        <w:tc>
          <w:tcPr>
            <w:tcW w:w="1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37,242,090</w:t>
            </w:r>
          </w:p>
        </w:tc>
        <w:tc>
          <w:tcPr>
            <w:tcW w:w="2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Retained earnings</w:t>
            </w:r>
          </w:p>
        </w:tc>
        <w:tc>
          <w:tcPr>
            <w:tcW w:w="1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7"/>
              </w:rPr>
              <w:t>46,428,062</w:t>
            </w: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42,240,583</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D6F3E8"/>
            </w:tcBorders>
          </w:tcPr>
          <w:p>
            <w:pPr>
              <w:ind w:left="800"/>
              <w:spacing w:after="0" w:line="202" w:lineRule="exact"/>
              <w:rPr>
                <w:sz w:val="20"/>
                <w:szCs w:val="20"/>
                <w:color w:val="auto"/>
              </w:rPr>
            </w:pPr>
            <w:r>
              <w:rPr>
                <w:rFonts w:ascii="Arial" w:cs="Arial" w:eastAsia="Arial" w:hAnsi="Arial"/>
                <w:sz w:val="18"/>
                <w:szCs w:val="18"/>
                <w:color w:val="auto"/>
              </w:rPr>
              <w:t>Total shareholders’ equity</w:t>
            </w:r>
          </w:p>
        </w:tc>
        <w:tc>
          <w:tcPr>
            <w:tcW w:w="1860" w:type="dxa"/>
            <w:vAlign w:val="bottom"/>
            <w:tcBorders>
              <w:bottom w:val="single" w:sz="8" w:color="D6F3E8"/>
            </w:tcBorders>
          </w:tcPr>
          <w:p>
            <w:pPr>
              <w:spacing w:after="0"/>
              <w:rPr>
                <w:sz w:val="18"/>
                <w:szCs w:val="18"/>
                <w:color w:val="auto"/>
              </w:rPr>
            </w:pPr>
          </w:p>
        </w:tc>
        <w:tc>
          <w:tcPr>
            <w:tcW w:w="140" w:type="dxa"/>
            <w:vAlign w:val="bottom"/>
            <w:tcBorders>
              <w:bottom w:val="single" w:sz="8" w:color="D6F3E8"/>
            </w:tcBorders>
          </w:tcPr>
          <w:p>
            <w:pPr>
              <w:spacing w:after="0"/>
              <w:rPr>
                <w:sz w:val="18"/>
                <w:szCs w:val="18"/>
                <w:color w:val="auto"/>
              </w:rPr>
            </w:pPr>
          </w:p>
        </w:tc>
        <w:tc>
          <w:tcPr>
            <w:tcW w:w="980" w:type="dxa"/>
            <w:vAlign w:val="bottom"/>
            <w:tcBorders>
              <w:bottom w:val="single" w:sz="8" w:color="D6F3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85,021,410</w:t>
            </w:r>
          </w:p>
        </w:tc>
        <w:tc>
          <w:tcPr>
            <w:tcW w:w="220" w:type="dxa"/>
            <w:vAlign w:val="bottom"/>
            <w:tcBorders>
              <w:bottom w:val="single" w:sz="8" w:color="D6F3E8"/>
            </w:tcBorders>
          </w:tcPr>
          <w:p>
            <w:pPr>
              <w:spacing w:after="0"/>
              <w:rPr>
                <w:sz w:val="18"/>
                <w:szCs w:val="18"/>
                <w:color w:val="auto"/>
              </w:rPr>
            </w:pPr>
          </w:p>
        </w:tc>
        <w:tc>
          <w:tcPr>
            <w:tcW w:w="120" w:type="dxa"/>
            <w:vAlign w:val="bottom"/>
            <w:tcBorders>
              <w:bottom w:val="single" w:sz="8" w:color="D6F3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79,977,643</w:t>
            </w:r>
          </w:p>
        </w:tc>
        <w:tc>
          <w:tcPr>
            <w:tcW w:w="220" w:type="dxa"/>
            <w:vAlign w:val="bottom"/>
            <w:tcBorders>
              <w:bottom w:val="single" w:sz="8" w:color="D6F3E8"/>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D6F3E8"/>
            </w:tcBorders>
            <w:shd w:val="clear" w:color="auto" w:fill="D6F3E8"/>
          </w:tcPr>
          <w:p>
            <w:pPr>
              <w:spacing w:after="0"/>
              <w:rPr>
                <w:sz w:val="18"/>
                <w:szCs w:val="18"/>
                <w:color w:val="auto"/>
              </w:rPr>
            </w:pPr>
          </w:p>
        </w:tc>
        <w:tc>
          <w:tcPr>
            <w:tcW w:w="186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9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D6F3E8"/>
          </w:tcPr>
          <w:p>
            <w:pPr>
              <w:spacing w:after="0"/>
              <w:rPr>
                <w:sz w:val="18"/>
                <w:szCs w:val="18"/>
                <w:color w:val="auto"/>
              </w:rPr>
            </w:pPr>
          </w:p>
        </w:tc>
        <w:tc>
          <w:tcPr>
            <w:tcW w:w="8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7"/>
              </w:rPr>
              <w:t>108,942,951</w:t>
            </w:r>
          </w:p>
        </w:tc>
        <w:tc>
          <w:tcPr>
            <w:tcW w:w="2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101,268,594</w:t>
            </w:r>
          </w:p>
        </w:tc>
        <w:tc>
          <w:tcPr>
            <w:tcW w:w="22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6F3E8"/>
            </w:tcBorders>
          </w:tcPr>
          <w:p>
            <w:pPr>
              <w:spacing w:after="0" w:line="20" w:lineRule="exact"/>
              <w:rPr>
                <w:sz w:val="1"/>
                <w:szCs w:val="1"/>
                <w:color w:val="auto"/>
              </w:rPr>
            </w:pPr>
          </w:p>
        </w:tc>
        <w:tc>
          <w:tcPr>
            <w:tcW w:w="120" w:type="dxa"/>
            <w:vAlign w:val="bottom"/>
            <w:tcBorders>
              <w:bottom w:val="single" w:sz="8" w:color="D6F3E8"/>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60" w:type="dxa"/>
            <w:vAlign w:val="bottom"/>
          </w:tcPr>
          <w:p>
            <w:pPr>
              <w:jc w:val="right"/>
              <w:ind w:right="115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180" w:type="dxa"/>
            <w:vAlign w:val="bottom"/>
            <w:tcBorders>
              <w:bottom w:val="single" w:sz="8" w:color="808080"/>
            </w:tcBorders>
            <w:gridSpan w:val="2"/>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Fiscal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March 30, 2008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April 1, 2007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April 2, 2006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0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196,439,762</w:t>
            </w:r>
          </w:p>
        </w:tc>
        <w:tc>
          <w:tcPr>
            <w:tcW w:w="2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160,405,080</w:t>
            </w:r>
          </w:p>
        </w:tc>
        <w:tc>
          <w:tcPr>
            <w:tcW w:w="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143,331,250</w:t>
            </w:r>
          </w:p>
        </w:tc>
        <w:tc>
          <w:tcPr>
            <w:tcW w:w="2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5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(154,843,280)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(123,168,103)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(110,112,108)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2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41,596,482</w:t>
            </w:r>
          </w:p>
        </w:tc>
        <w:tc>
          <w:tcPr>
            <w:tcW w:w="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4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37,236,977</w:t>
            </w:r>
          </w:p>
        </w:tc>
        <w:tc>
          <w:tcPr>
            <w:tcW w:w="1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33,219,142</w:t>
            </w:r>
          </w:p>
        </w:tc>
        <w:tc>
          <w:tcPr>
            <w:tcW w:w="2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(28,614,185)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(25,972,636)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(21,513,444)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 (Note 8)</w:t>
            </w:r>
          </w:p>
        </w:tc>
        <w:tc>
          <w:tcPr>
            <w:tcW w:w="1860" w:type="dxa"/>
            <w:vAlign w:val="bottom"/>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98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900" w:type="dxa"/>
            <w:vAlign w:val="bottom"/>
            <w:tcBorders>
              <w:bottom w:val="single" w:sz="8" w:color="auto"/>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1,056,520</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12,982,297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11,264,341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12,762,218</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1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1,340,712</w:t>
            </w:r>
          </w:p>
        </w:tc>
        <w:tc>
          <w:tcPr>
            <w:tcW w:w="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1,692,332</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892,289</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1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14,323,009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12,956,673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13,654,507</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(5,213,000)</w:t>
            </w:r>
          </w:p>
        </w:tc>
        <w:tc>
          <w:tcPr>
            <w:tcW w:w="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(4,887,790)</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(4,768,354)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9,110,009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8,068,883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8,886,153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outstanding-basic</w:t>
            </w:r>
          </w:p>
        </w:tc>
        <w:tc>
          <w:tcPr>
            <w:tcW w:w="1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10,213,225</w:t>
            </w:r>
          </w:p>
        </w:tc>
        <w:tc>
          <w:tcPr>
            <w:tcW w:w="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10,171,496</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10,199,194</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D6F3E8"/>
            </w:tcBorders>
          </w:tcPr>
          <w:p>
            <w:pPr>
              <w:spacing w:after="0" w:line="20" w:lineRule="exact"/>
              <w:rPr>
                <w:sz w:val="1"/>
                <w:szCs w:val="1"/>
                <w:color w:val="auto"/>
              </w:rPr>
            </w:pPr>
          </w:p>
        </w:tc>
        <w:tc>
          <w:tcPr>
            <w:tcW w:w="18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1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10,214,387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10,173,719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10,211,834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18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.89</w:t>
            </w:r>
          </w:p>
        </w:tc>
        <w:tc>
          <w:tcPr>
            <w:tcW w:w="2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.79</w:t>
            </w:r>
          </w:p>
        </w:tc>
        <w:tc>
          <w:tcPr>
            <w:tcW w:w="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D6F3E8"/>
            </w:tcBorders>
          </w:tcPr>
          <w:p>
            <w:pPr>
              <w:spacing w:after="0" w:line="20" w:lineRule="exact"/>
              <w:rPr>
                <w:sz w:val="1"/>
                <w:szCs w:val="1"/>
                <w:color w:val="auto"/>
              </w:rPr>
            </w:pPr>
          </w:p>
        </w:tc>
        <w:tc>
          <w:tcPr>
            <w:tcW w:w="18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1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-8350885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-4725670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-4725670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472"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196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Paid-in</w:t>
            </w:r>
          </w:p>
        </w:tc>
        <w:tc>
          <w:tcPr>
            <w:tcW w:w="11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Unearned</w:t>
            </w:r>
          </w:p>
        </w:tc>
        <w:tc>
          <w:tcPr>
            <w:tcW w:w="126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04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8"/>
          <w:szCs w:val="18"/>
          <w:color w:val="auto"/>
        </w:rPr>
        <w:t>BALANCE—April 3, 2005</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dividends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Shares surrendered for payroll taxes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Litigation settlement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Amortization of unearned</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left="460" w:right="220" w:hanging="129"/>
        <w:spacing w:after="0" w:line="290" w:lineRule="auto"/>
        <w:rPr>
          <w:sz w:val="20"/>
          <w:szCs w:val="20"/>
          <w:color w:val="auto"/>
        </w:rPr>
      </w:pPr>
      <w:r>
        <w:rPr>
          <w:rFonts w:ascii="Arial" w:cs="Arial" w:eastAsia="Arial" w:hAnsi="Arial"/>
          <w:sz w:val="16"/>
          <w:szCs w:val="16"/>
          <w:color w:val="auto"/>
        </w:rPr>
        <w:t>Unrealized gain on investments available for sale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BALANCE—April 2, 2006</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dividends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stock compensation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left="460" w:right="220" w:hanging="129"/>
        <w:spacing w:after="0" w:line="290" w:lineRule="auto"/>
        <w:rPr>
          <w:sz w:val="20"/>
          <w:szCs w:val="20"/>
          <w:color w:val="auto"/>
        </w:rPr>
      </w:pPr>
      <w:r>
        <w:rPr>
          <w:rFonts w:ascii="Arial" w:cs="Arial" w:eastAsia="Arial" w:hAnsi="Arial"/>
          <w:sz w:val="16"/>
          <w:szCs w:val="16"/>
          <w:color w:val="auto"/>
        </w:rPr>
        <w:t>Unrealized gain on investments available for sale</w:t>
      </w:r>
    </w:p>
    <w:p>
      <w:pPr>
        <w:spacing w:after="0" w:line="1" w:lineRule="exact"/>
        <w:rPr>
          <w:sz w:val="20"/>
          <w:szCs w:val="20"/>
          <w:color w:val="auto"/>
        </w:rPr>
      </w:pPr>
    </w:p>
    <w:p>
      <w:pPr>
        <w:ind w:left="460" w:right="20" w:hanging="129"/>
        <w:spacing w:after="0" w:line="258" w:lineRule="auto"/>
        <w:rPr>
          <w:sz w:val="20"/>
          <w:szCs w:val="20"/>
          <w:color w:val="auto"/>
        </w:rPr>
      </w:pPr>
      <w:r>
        <w:rPr>
          <w:rFonts w:ascii="Arial" w:cs="Arial" w:eastAsia="Arial" w:hAnsi="Arial"/>
          <w:sz w:val="18"/>
          <w:szCs w:val="18"/>
          <w:color w:val="auto"/>
        </w:rPr>
        <w:t>Unrealized loss on post-retirement plan liability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BALANCE—April 1, 2007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dividends</w:t>
      </w:r>
    </w:p>
    <w:p>
      <w:pPr>
        <w:spacing w:after="0" w:line="23"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Shares surrendered for payroll taxes Restricted stock compensation Vesting of restricted stock Acquisition of Trumark Comprehensive income:</w:t>
      </w:r>
    </w:p>
    <w:p>
      <w:pPr>
        <w:spacing w:after="0" w:line="2" w:lineRule="exact"/>
        <w:rPr>
          <w:sz w:val="20"/>
          <w:szCs w:val="20"/>
          <w:color w:val="auto"/>
        </w:rPr>
      </w:pPr>
    </w:p>
    <w:p>
      <w:pPr>
        <w:ind w:left="460" w:right="260" w:hanging="129"/>
        <w:spacing w:after="0" w:line="310" w:lineRule="auto"/>
        <w:rPr>
          <w:sz w:val="20"/>
          <w:szCs w:val="20"/>
          <w:color w:val="auto"/>
        </w:rPr>
      </w:pPr>
      <w:r>
        <w:rPr>
          <w:rFonts w:ascii="Arial" w:cs="Arial" w:eastAsia="Arial" w:hAnsi="Arial"/>
          <w:sz w:val="15"/>
          <w:szCs w:val="15"/>
          <w:color w:val="auto"/>
        </w:rPr>
        <w:t>Unrealized loss on investments available for sale</w:t>
      </w:r>
    </w:p>
    <w:p>
      <w:pPr>
        <w:ind w:left="460" w:hanging="129"/>
        <w:spacing w:after="0" w:line="258" w:lineRule="auto"/>
        <w:rPr>
          <w:sz w:val="20"/>
          <w:szCs w:val="20"/>
          <w:color w:val="auto"/>
        </w:rPr>
      </w:pPr>
      <w:r>
        <w:rPr>
          <w:rFonts w:ascii="Arial" w:cs="Arial" w:eastAsia="Arial" w:hAnsi="Arial"/>
          <w:sz w:val="18"/>
          <w:szCs w:val="18"/>
          <w:color w:val="auto"/>
        </w:rPr>
        <w:t>Unrealized gain on post-retirement plan liability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BALANCE—March 30, 2008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10,257,341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512,867</w:t>
            </w:r>
          </w:p>
        </w:tc>
        <w:tc>
          <w:tcPr>
            <w:tcW w:w="1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38,232,076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(198,702)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33,849,357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(196,031)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72,199,567</w:t>
            </w:r>
          </w:p>
        </w:tc>
        <w:tc>
          <w:tcPr>
            <w:tcW w:w="60" w:type="dxa"/>
            <w:vAlign w:val="bottom"/>
          </w:tcPr>
          <w:p>
            <w:pPr>
              <w:spacing w:after="0"/>
              <w:rPr>
                <w:sz w:val="19"/>
                <w:szCs w:val="19"/>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(4,078,395)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(4,078,395)</w:t>
            </w:r>
          </w:p>
        </w:tc>
      </w:tr>
      <w:tr>
        <w:trPr>
          <w:trHeight w:val="230"/>
        </w:trPr>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(10,487)</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(123,221)</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(123,745)</w:t>
            </w:r>
          </w:p>
        </w:tc>
      </w:tr>
      <w:tr>
        <w:trPr>
          <w:trHeight w:val="230"/>
        </w:trPr>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(75,358)</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(1,052,752)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(1,056,520)</w:t>
            </w:r>
          </w:p>
        </w:tc>
      </w:tr>
      <w:tr>
        <w:trPr>
          <w:trHeight w:val="44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198,702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198,702</w:t>
            </w:r>
          </w:p>
        </w:tc>
        <w:tc>
          <w:tcPr>
            <w:tcW w:w="60" w:type="dxa"/>
            <w:vAlign w:val="bottom"/>
          </w:tcPr>
          <w:p>
            <w:pPr>
              <w:spacing w:after="0"/>
              <w:rPr>
                <w:sz w:val="24"/>
                <w:szCs w:val="24"/>
                <w:color w:val="auto"/>
              </w:rPr>
            </w:pPr>
          </w:p>
        </w:tc>
      </w:tr>
      <w:tr>
        <w:trPr>
          <w:trHeight w:val="66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70,277</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70,277</w:t>
            </w:r>
          </w:p>
        </w:tc>
        <w:tc>
          <w:tcPr>
            <w:tcW w:w="60" w:type="dxa"/>
            <w:vAlign w:val="bottom"/>
          </w:tcPr>
          <w:p>
            <w:pPr>
              <w:spacing w:after="0"/>
              <w:rPr>
                <w:sz w:val="24"/>
                <w:szCs w:val="24"/>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8,886,153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8,886,153</w:t>
            </w:r>
          </w:p>
        </w:tc>
        <w:tc>
          <w:tcPr>
            <w:tcW w:w="60" w:type="dxa"/>
            <w:vAlign w:val="bottom"/>
          </w:tcPr>
          <w:p>
            <w:pPr>
              <w:spacing w:after="0"/>
              <w:rPr>
                <w:sz w:val="19"/>
                <w:szCs w:val="19"/>
                <w:color w:val="auto"/>
              </w:rPr>
            </w:pPr>
          </w:p>
        </w:tc>
      </w:tr>
      <w:tr>
        <w:trPr>
          <w:trHeight w:val="211"/>
        </w:trPr>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8,956,430</w:t>
            </w:r>
          </w:p>
        </w:tc>
        <w:tc>
          <w:tcPr>
            <w:tcW w:w="60" w:type="dxa"/>
            <w:vAlign w:val="bottom"/>
          </w:tcPr>
          <w:p>
            <w:pPr>
              <w:spacing w:after="0"/>
              <w:rPr>
                <w:sz w:val="18"/>
                <w:szCs w:val="18"/>
                <w:color w:val="auto"/>
              </w:rPr>
            </w:pPr>
          </w:p>
        </w:tc>
      </w:tr>
      <w:tr>
        <w:trPr>
          <w:trHeight w:val="370"/>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10,171,496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508,575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37,056,103</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38,657,115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(125,754)</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76,096,039</w:t>
            </w:r>
          </w:p>
        </w:tc>
        <w:tc>
          <w:tcPr>
            <w:tcW w:w="6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(4,485,415)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(4,485,415)</w:t>
            </w:r>
          </w:p>
        </w:tc>
      </w:tr>
      <w:tr>
        <w:trPr>
          <w:trHeight w:val="230"/>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185,987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185,987</w:t>
            </w:r>
          </w:p>
        </w:tc>
        <w:tc>
          <w:tcPr>
            <w:tcW w:w="60" w:type="dxa"/>
            <w:vAlign w:val="bottom"/>
          </w:tcPr>
          <w:p>
            <w:pPr>
              <w:spacing w:after="0"/>
              <w:rPr>
                <w:sz w:val="19"/>
                <w:szCs w:val="19"/>
                <w:color w:val="auto"/>
              </w:rPr>
            </w:pPr>
          </w:p>
        </w:tc>
      </w:tr>
      <w:tr>
        <w:trPr>
          <w:trHeight w:val="675"/>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122,486</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122,486</w:t>
            </w:r>
          </w:p>
        </w:tc>
        <w:tc>
          <w:tcPr>
            <w:tcW w:w="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(10,337)</w:t>
            </w: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(10,337)</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8,068,883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8,068,883</w:t>
            </w:r>
          </w:p>
        </w:tc>
        <w:tc>
          <w:tcPr>
            <w:tcW w:w="60" w:type="dxa"/>
            <w:vAlign w:val="bottom"/>
          </w:tcPr>
          <w:p>
            <w:pPr>
              <w:spacing w:after="0"/>
              <w:rPr>
                <w:sz w:val="19"/>
                <w:szCs w:val="19"/>
                <w:color w:val="auto"/>
              </w:rPr>
            </w:pPr>
          </w:p>
        </w:tc>
      </w:tr>
      <w:tr>
        <w:trPr>
          <w:trHeight w:val="211"/>
        </w:trPr>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8,181,032</w:t>
            </w:r>
          </w:p>
        </w:tc>
        <w:tc>
          <w:tcPr>
            <w:tcW w:w="60" w:type="dxa"/>
            <w:vAlign w:val="bottom"/>
          </w:tcPr>
          <w:p>
            <w:pPr>
              <w:spacing w:after="0"/>
              <w:rPr>
                <w:sz w:val="18"/>
                <w:szCs w:val="18"/>
                <w:color w:val="auto"/>
              </w:rPr>
            </w:pPr>
          </w:p>
        </w:tc>
      </w:tr>
      <w:tr>
        <w:trPr>
          <w:trHeight w:val="370"/>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10,171,496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508,575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37,242,090</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42,240,583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(13,605)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79,977,643</w:t>
            </w:r>
          </w:p>
        </w:tc>
        <w:tc>
          <w:tcPr>
            <w:tcW w:w="6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(4,922,530)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(4,922,530)</w:t>
            </w:r>
          </w:p>
        </w:tc>
      </w:tr>
      <w:tr>
        <w:trPr>
          <w:trHeight w:val="230"/>
        </w:trPr>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(17,626)</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(257,868)</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(258,749)</w:t>
            </w:r>
          </w:p>
        </w:tc>
      </w:tr>
      <w:tr>
        <w:trPr>
          <w:trHeight w:val="230"/>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522,753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522,753</w:t>
            </w:r>
          </w:p>
        </w:tc>
        <w:tc>
          <w:tcPr>
            <w:tcW w:w="60" w:type="dxa"/>
            <w:vAlign w:val="bottom"/>
          </w:tcPr>
          <w:p>
            <w:pPr>
              <w:spacing w:after="0"/>
              <w:rPr>
                <w:sz w:val="19"/>
                <w:szCs w:val="19"/>
                <w:color w:val="auto"/>
              </w:rPr>
            </w:pPr>
          </w:p>
        </w:tc>
      </w:tr>
      <w:tr>
        <w:trPr>
          <w:trHeight w:val="230"/>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45,257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40,331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585,984</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588,000</w:t>
            </w:r>
          </w:p>
        </w:tc>
        <w:tc>
          <w:tcPr>
            <w:tcW w:w="60" w:type="dxa"/>
            <w:vAlign w:val="bottom"/>
          </w:tcPr>
          <w:p>
            <w:pPr>
              <w:spacing w:after="0"/>
              <w:rPr>
                <w:sz w:val="19"/>
                <w:szCs w:val="19"/>
                <w:color w:val="auto"/>
              </w:rPr>
            </w:pPr>
          </w:p>
        </w:tc>
      </w:tr>
      <w:tr>
        <w:trPr>
          <w:trHeight w:val="675"/>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(1,718)</w:t>
            </w: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(1,718)</w:t>
            </w:r>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6,002</w:t>
            </w:r>
          </w:p>
        </w:tc>
        <w:tc>
          <w:tcPr>
            <w:tcW w:w="60" w:type="dxa"/>
            <w:vAlign w:val="bottom"/>
          </w:tcPr>
          <w:p>
            <w:pPr>
              <w:spacing w:after="0"/>
              <w:rPr>
                <w:sz w:val="24"/>
                <w:szCs w:val="24"/>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9,110,009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9,110,009</w:t>
            </w:r>
          </w:p>
        </w:tc>
        <w:tc>
          <w:tcPr>
            <w:tcW w:w="60" w:type="dxa"/>
            <w:vAlign w:val="bottom"/>
          </w:tcPr>
          <w:p>
            <w:pPr>
              <w:spacing w:after="0"/>
              <w:rPr>
                <w:sz w:val="19"/>
                <w:szCs w:val="19"/>
                <w:color w:val="auto"/>
              </w:rPr>
            </w:pPr>
          </w:p>
        </w:tc>
      </w:tr>
      <w:tr>
        <w:trPr>
          <w:trHeight w:val="211"/>
        </w:trPr>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9,114,293</w:t>
            </w:r>
          </w:p>
        </w:tc>
        <w:tc>
          <w:tcPr>
            <w:tcW w:w="60" w:type="dxa"/>
            <w:vAlign w:val="bottom"/>
          </w:tcPr>
          <w:p>
            <w:pPr>
              <w:spacing w:after="0"/>
              <w:rPr>
                <w:sz w:val="18"/>
                <w:szCs w:val="18"/>
                <w:color w:val="auto"/>
              </w:rPr>
            </w:pPr>
          </w:p>
        </w:tc>
      </w:tr>
      <w:tr>
        <w:trPr>
          <w:trHeight w:val="357"/>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10,239,458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511,973</w:t>
            </w:r>
          </w:p>
        </w:tc>
        <w:tc>
          <w:tcPr>
            <w:tcW w:w="16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38,090,696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46,428,062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(9,321)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85,021,410</w:t>
            </w:r>
          </w:p>
        </w:tc>
        <w:tc>
          <w:tcPr>
            <w:tcW w:w="60" w:type="dxa"/>
            <w:vAlign w:val="bottom"/>
          </w:tcPr>
          <w:p>
            <w:pPr>
              <w:spacing w:after="0"/>
              <w:rPr>
                <w:sz w:val="24"/>
                <w:szCs w:val="24"/>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-5659120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-5264785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-4973320</wp:posOffset>
            </wp:positionV>
            <wp:extent cx="72466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-4261485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-3875405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-3481070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-2906395</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-2486660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-1988820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-1697355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-1405890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-831215</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-410845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20"/>
            <w:col w:w="822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Fiscal</w:t>
            </w: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Fiscal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Fiscal</w:t>
            </w:r>
          </w:p>
        </w:tc>
      </w:tr>
      <w:tr>
        <w:trPr>
          <w:trHeight w:val="149"/>
        </w:trPr>
        <w:tc>
          <w:tcPr>
            <w:tcW w:w="5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61"/>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March 30, 2008</w:t>
            </w: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April 1, 2007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April 2, 2006</w:t>
            </w:r>
          </w:p>
        </w:tc>
      </w:tr>
      <w:tr>
        <w:trPr>
          <w:trHeight w:val="364"/>
        </w:trPr>
        <w:tc>
          <w:tcPr>
            <w:tcW w:w="55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9,110,009</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8,068,883</w:t>
            </w:r>
          </w:p>
        </w:tc>
        <w:tc>
          <w:tcPr>
            <w:tcW w:w="180" w:type="dxa"/>
            <w:vAlign w:val="bottom"/>
            <w:shd w:val="clear" w:color="auto" w:fill="D6F3E8"/>
          </w:tcPr>
          <w:p>
            <w:pPr>
              <w:spacing w:after="0"/>
              <w:rPr>
                <w:sz w:val="20"/>
                <w:szCs w:val="20"/>
                <w:color w:val="auto"/>
              </w:rPr>
            </w:pPr>
          </w:p>
        </w:tc>
        <w:tc>
          <w:tcPr>
            <w:tcW w:w="3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8,886,153</w:t>
            </w:r>
          </w:p>
        </w:tc>
      </w:tr>
      <w:tr>
        <w:trPr>
          <w:trHeight w:val="221"/>
        </w:trPr>
        <w:tc>
          <w:tcPr>
            <w:tcW w:w="5540" w:type="dxa"/>
            <w:vAlign w:val="bottom"/>
          </w:tcPr>
          <w:p>
            <w:pPr>
              <w:ind w:left="200"/>
              <w:spacing w:after="0"/>
              <w:rPr>
                <w:sz w:val="20"/>
                <w:szCs w:val="20"/>
                <w:color w:val="auto"/>
              </w:rPr>
            </w:pPr>
            <w:r>
              <w:rPr>
                <w:rFonts w:ascii="Arial" w:cs="Arial" w:eastAsia="Arial" w:hAnsi="Arial"/>
                <w:sz w:val="18"/>
                <w:szCs w:val="18"/>
                <w:color w:val="auto"/>
              </w:rPr>
              <w:t>Reconciliation to cash flows: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5,248,855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4,337,009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3,688,448</w:t>
            </w:r>
          </w:p>
        </w:tc>
      </w:tr>
      <w:tr>
        <w:trPr>
          <w:trHeight w:val="231"/>
        </w:trPr>
        <w:tc>
          <w:tcPr>
            <w:tcW w:w="5540" w:type="dxa"/>
            <w:vAlign w:val="bottom"/>
            <w:shd w:val="clear" w:color="auto" w:fill="D6F3E8"/>
          </w:tcPr>
          <w:p>
            <w:pPr>
              <w:ind w:left="360"/>
              <w:spacing w:after="0"/>
              <w:rPr>
                <w:sz w:val="20"/>
                <w:szCs w:val="20"/>
                <w:color w:val="auto"/>
              </w:rPr>
            </w:pPr>
            <w:r>
              <w:rPr>
                <w:rFonts w:ascii="Arial" w:cs="Arial" w:eastAsia="Arial" w:hAnsi="Arial"/>
                <w:sz w:val="18"/>
                <w:szCs w:val="18"/>
                <w:color w:val="auto"/>
              </w:rPr>
              <w:t>Deferred income taxes</w:t>
            </w:r>
          </w:p>
        </w:tc>
        <w:tc>
          <w:tcPr>
            <w:tcW w:w="13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4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678,072</w:t>
            </w:r>
          </w:p>
        </w:tc>
        <w:tc>
          <w:tcPr>
            <w:tcW w:w="18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159,676</w:t>
            </w:r>
          </w:p>
        </w:tc>
        <w:tc>
          <w:tcPr>
            <w:tcW w:w="18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(953,694)</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Restricted stock compensation expense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522,753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185,987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198,702</w:t>
            </w:r>
          </w:p>
        </w:tc>
      </w:tr>
      <w:tr>
        <w:trPr>
          <w:trHeight w:val="231"/>
        </w:trPr>
        <w:tc>
          <w:tcPr>
            <w:tcW w:w="5540" w:type="dxa"/>
            <w:vAlign w:val="bottom"/>
            <w:shd w:val="clear" w:color="auto" w:fill="D6F3E8"/>
          </w:tcPr>
          <w:p>
            <w:pPr>
              <w:ind w:left="360"/>
              <w:spacing w:after="0"/>
              <w:rPr>
                <w:sz w:val="20"/>
                <w:szCs w:val="20"/>
                <w:color w:val="auto"/>
              </w:rPr>
            </w:pPr>
            <w:r>
              <w:rPr>
                <w:rFonts w:ascii="Arial" w:cs="Arial" w:eastAsia="Arial" w:hAnsi="Arial"/>
                <w:sz w:val="18"/>
                <w:szCs w:val="18"/>
                <w:color w:val="auto"/>
              </w:rPr>
              <w:t>Impairment of intangibles</w:t>
            </w:r>
          </w:p>
        </w:tc>
        <w:tc>
          <w:tcPr>
            <w:tcW w:w="13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14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176,000</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Gain on sale of investments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(246,965)</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540" w:type="dxa"/>
            <w:vAlign w:val="bottom"/>
            <w:shd w:val="clear" w:color="auto" w:fill="D6F3E8"/>
          </w:tcPr>
          <w:p>
            <w:pPr>
              <w:ind w:left="360"/>
              <w:spacing w:after="0"/>
              <w:rPr>
                <w:sz w:val="20"/>
                <w:szCs w:val="20"/>
                <w:color w:val="auto"/>
              </w:rPr>
            </w:pPr>
            <w:r>
              <w:rPr>
                <w:rFonts w:ascii="Arial" w:cs="Arial" w:eastAsia="Arial" w:hAnsi="Arial"/>
                <w:sz w:val="18"/>
                <w:szCs w:val="18"/>
                <w:color w:val="auto"/>
              </w:rPr>
              <w:t>Impairment of investments</w:t>
            </w:r>
          </w:p>
        </w:tc>
        <w:tc>
          <w:tcPr>
            <w:tcW w:w="13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14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30,595</w:t>
            </w:r>
          </w:p>
        </w:tc>
        <w:tc>
          <w:tcPr>
            <w:tcW w:w="18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280,699</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Loss (gain) from property disposals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90,693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(159,192)</w:t>
            </w:r>
          </w:p>
        </w:tc>
      </w:tr>
      <w:tr>
        <w:trPr>
          <w:trHeight w:val="231"/>
        </w:trPr>
        <w:tc>
          <w:tcPr>
            <w:tcW w:w="5540" w:type="dxa"/>
            <w:vAlign w:val="bottom"/>
            <w:shd w:val="clear" w:color="auto" w:fill="D6F3E8"/>
          </w:tcPr>
          <w:p>
            <w:pPr>
              <w:ind w:left="360"/>
              <w:spacing w:after="0"/>
              <w:rPr>
                <w:sz w:val="20"/>
                <w:szCs w:val="20"/>
                <w:color w:val="auto"/>
              </w:rPr>
            </w:pPr>
            <w:r>
              <w:rPr>
                <w:rFonts w:ascii="Arial" w:cs="Arial" w:eastAsia="Arial" w:hAnsi="Arial"/>
                <w:sz w:val="18"/>
                <w:szCs w:val="18"/>
                <w:color w:val="auto"/>
              </w:rPr>
              <w:t>Litigation settlement</w:t>
            </w:r>
          </w:p>
        </w:tc>
        <w:tc>
          <w:tcPr>
            <w:tcW w:w="13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14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(1,056,520)</w:t>
            </w:r>
          </w:p>
        </w:tc>
      </w:tr>
      <w:tr>
        <w:trPr>
          <w:trHeight w:val="221"/>
        </w:trPr>
        <w:tc>
          <w:tcPr>
            <w:tcW w:w="5540" w:type="dxa"/>
            <w:vAlign w:val="bottom"/>
          </w:tcPr>
          <w:p>
            <w:pPr>
              <w:ind w:left="360"/>
              <w:spacing w:after="0"/>
              <w:rPr>
                <w:sz w:val="20"/>
                <w:szCs w:val="20"/>
                <w:color w:val="auto"/>
              </w:rPr>
            </w:pPr>
            <w:r>
              <w:rPr>
                <w:rFonts w:ascii="Arial" w:cs="Arial" w:eastAsia="Arial" w:hAnsi="Arial"/>
                <w:sz w:val="18"/>
                <w:szCs w:val="18"/>
                <w:color w:val="auto"/>
              </w:rPr>
              <w:t>Changes in operating accounts (using) providing cash:</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54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(3,010,433)</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(3,477,609)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(2,511,607)</w:t>
            </w:r>
          </w:p>
        </w:tc>
      </w:tr>
    </w:tbl>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80" w:type="dxa"/>
            <w:vAlign w:val="bottom"/>
            <w:shd w:val="clear" w:color="auto" w:fill="D6F3E8"/>
          </w:tcPr>
          <w:p>
            <w:pPr>
              <w:ind w:left="68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(959,289)</w:t>
            </w:r>
          </w:p>
        </w:tc>
        <w:tc>
          <w:tcPr>
            <w:tcW w:w="280" w:type="dxa"/>
            <w:vAlign w:val="bottom"/>
            <w:shd w:val="clear" w:color="auto" w:fill="D6F3E8"/>
          </w:tcPr>
          <w:p>
            <w:pPr>
              <w:spacing w:after="0"/>
              <w:rPr>
                <w:sz w:val="19"/>
                <w:szCs w:val="19"/>
                <w:color w:val="auto"/>
              </w:rPr>
            </w:pPr>
          </w:p>
        </w:tc>
        <w:tc>
          <w:tcPr>
            <w:tcW w:w="1320" w:type="dxa"/>
            <w:vAlign w:val="bottom"/>
            <w:tcBorders>
              <w:right w:val="single" w:sz="8" w:color="D6F3E8"/>
            </w:tcBorders>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(2,336,677)</w:t>
            </w:r>
          </w:p>
        </w:tc>
        <w:tc>
          <w:tcPr>
            <w:tcW w:w="28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(1,862,061)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119,372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2,634,642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2,128,099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D6F3E8"/>
          </w:tcPr>
          <w:p>
            <w:pPr>
              <w:ind w:left="660"/>
              <w:spacing w:after="0"/>
              <w:rPr>
                <w:sz w:val="20"/>
                <w:szCs w:val="20"/>
                <w:color w:val="auto"/>
              </w:rPr>
            </w:pPr>
            <w:r>
              <w:rPr>
                <w:rFonts w:ascii="Arial" w:cs="Arial" w:eastAsia="Arial" w:hAnsi="Arial"/>
                <w:sz w:val="18"/>
                <w:szCs w:val="18"/>
                <w:color w:val="auto"/>
              </w:rPr>
              <w:t>Accrued liabilities</w:t>
            </w:r>
          </w:p>
        </w:tc>
        <w:tc>
          <w:tcPr>
            <w:tcW w:w="760" w:type="dxa"/>
            <w:vAlign w:val="bottom"/>
            <w:shd w:val="clear" w:color="auto" w:fill="D6F3E8"/>
          </w:tcPr>
          <w:p>
            <w:pPr>
              <w:spacing w:after="0"/>
              <w:rPr>
                <w:sz w:val="20"/>
                <w:szCs w:val="20"/>
                <w:color w:val="auto"/>
              </w:rPr>
            </w:pPr>
          </w:p>
        </w:tc>
        <w:tc>
          <w:tcPr>
            <w:tcW w:w="300" w:type="dxa"/>
            <w:vAlign w:val="bottom"/>
            <w:shd w:val="clear" w:color="auto" w:fill="D6F3E8"/>
          </w:tcPr>
          <w:p>
            <w:pPr>
              <w:spacing w:after="0"/>
              <w:rPr>
                <w:sz w:val="20"/>
                <w:szCs w:val="20"/>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644,937</w:t>
            </w:r>
          </w:p>
        </w:tc>
        <w:tc>
          <w:tcPr>
            <w:tcW w:w="280" w:type="dxa"/>
            <w:vAlign w:val="bottom"/>
            <w:shd w:val="clear" w:color="auto" w:fill="D6F3E8"/>
          </w:tcPr>
          <w:p>
            <w:pPr>
              <w:spacing w:after="0"/>
              <w:rPr>
                <w:sz w:val="20"/>
                <w:szCs w:val="20"/>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724,991</w:t>
            </w:r>
          </w:p>
        </w:tc>
        <w:tc>
          <w:tcPr>
            <w:tcW w:w="340" w:type="dxa"/>
            <w:vAlign w:val="bottom"/>
            <w:tcBorders>
              <w:right w:val="single" w:sz="8" w:color="D6F3E8"/>
            </w:tcBorders>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466,599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68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7,473</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(1,793,760)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D6F3E8"/>
            </w:tcBorders>
            <w:shd w:val="clear" w:color="auto" w:fill="D6F3E8"/>
          </w:tcPr>
          <w:p>
            <w:pPr>
              <w:ind w:left="10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12,205,477</w:t>
            </w:r>
          </w:p>
        </w:tc>
        <w:tc>
          <w:tcPr>
            <w:tcW w:w="34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8,729,475</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9,457,722</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(5,777,957)</w:t>
            </w:r>
          </w:p>
        </w:tc>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(4,687,973)</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(6,948,010)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Purchase of investments</w:t>
            </w:r>
          </w:p>
        </w:tc>
        <w:tc>
          <w:tcPr>
            <w:tcW w:w="760" w:type="dxa"/>
            <w:vAlign w:val="bottom"/>
            <w:shd w:val="clear" w:color="auto" w:fill="D6F3E8"/>
          </w:tcPr>
          <w:p>
            <w:pPr>
              <w:spacing w:after="0"/>
              <w:rPr>
                <w:sz w:val="20"/>
                <w:szCs w:val="20"/>
                <w:color w:val="auto"/>
              </w:rPr>
            </w:pPr>
          </w:p>
        </w:tc>
        <w:tc>
          <w:tcPr>
            <w:tcW w:w="30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(2,069,866)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Sale and maturities of investments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14,069,317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3,293,320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4,822,151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Proceeds from property disposals</w:t>
            </w:r>
          </w:p>
        </w:tc>
        <w:tc>
          <w:tcPr>
            <w:tcW w:w="760" w:type="dxa"/>
            <w:vAlign w:val="bottom"/>
            <w:shd w:val="clear" w:color="auto" w:fill="D6F3E8"/>
          </w:tcPr>
          <w:p>
            <w:pPr>
              <w:spacing w:after="0"/>
              <w:rPr>
                <w:sz w:val="20"/>
                <w:szCs w:val="20"/>
                <w:color w:val="auto"/>
              </w:rPr>
            </w:pPr>
          </w:p>
        </w:tc>
        <w:tc>
          <w:tcPr>
            <w:tcW w:w="300" w:type="dxa"/>
            <w:vAlign w:val="bottom"/>
            <w:shd w:val="clear" w:color="auto" w:fill="D6F3E8"/>
          </w:tcPr>
          <w:p>
            <w:pPr>
              <w:spacing w:after="0"/>
              <w:rPr>
                <w:sz w:val="20"/>
                <w:szCs w:val="20"/>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93,653</w:t>
            </w:r>
          </w:p>
        </w:tc>
        <w:tc>
          <w:tcPr>
            <w:tcW w:w="280" w:type="dxa"/>
            <w:vAlign w:val="bottom"/>
            <w:shd w:val="clear" w:color="auto" w:fill="D6F3E8"/>
          </w:tcPr>
          <w:p>
            <w:pPr>
              <w:spacing w:after="0"/>
              <w:rPr>
                <w:sz w:val="20"/>
                <w:szCs w:val="20"/>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101,977</w:t>
            </w:r>
          </w:p>
        </w:tc>
        <w:tc>
          <w:tcPr>
            <w:tcW w:w="340" w:type="dxa"/>
            <w:vAlign w:val="bottom"/>
            <w:tcBorders>
              <w:right w:val="single" w:sz="8" w:color="D6F3E8"/>
            </w:tcBorders>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236,492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Payments received on notes receivable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2,098,164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157,142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Acquisition of Trumark</w:t>
            </w:r>
          </w:p>
        </w:tc>
        <w:tc>
          <w:tcPr>
            <w:tcW w:w="7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(5,963,182)</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40" w:type="dxa"/>
            <w:vAlign w:val="bottom"/>
            <w:tcBorders>
              <w:right w:val="single" w:sz="8" w:color="D6F3E8"/>
            </w:tcBorders>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2,421,831</w:t>
            </w:r>
          </w:p>
        </w:tc>
        <w:tc>
          <w:tcPr>
            <w:tcW w:w="340" w:type="dxa"/>
            <w:vAlign w:val="bottom"/>
            <w:tcBorders>
              <w:top w:val="single" w:sz="8" w:color="D6F3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805,488</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dividends paid</w:t>
            </w:r>
          </w:p>
        </w:tc>
        <w:tc>
          <w:tcPr>
            <w:tcW w:w="76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(4,711,066)</w:t>
            </w:r>
          </w:p>
        </w:tc>
        <w:tc>
          <w:tcPr>
            <w:tcW w:w="280" w:type="dxa"/>
            <w:vAlign w:val="bottom"/>
            <w:shd w:val="clear" w:color="auto" w:fill="D6F3E8"/>
          </w:tcPr>
          <w:p>
            <w:pPr>
              <w:spacing w:after="0"/>
              <w:rPr>
                <w:sz w:val="19"/>
                <w:szCs w:val="19"/>
                <w:color w:val="auto"/>
              </w:rPr>
            </w:pPr>
          </w:p>
        </w:tc>
        <w:tc>
          <w:tcPr>
            <w:tcW w:w="1320" w:type="dxa"/>
            <w:vAlign w:val="bottom"/>
            <w:tcBorders>
              <w:right w:val="single" w:sz="8" w:color="D6F3E8"/>
            </w:tcBorders>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(4,272,028)</w:t>
            </w:r>
          </w:p>
        </w:tc>
        <w:tc>
          <w:tcPr>
            <w:tcW w:w="28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(3,890,417)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000"/>
              <w:spacing w:after="0" w:line="202" w:lineRule="exact"/>
              <w:rPr>
                <w:sz w:val="20"/>
                <w:szCs w:val="20"/>
                <w:color w:val="auto"/>
              </w:rPr>
            </w:pPr>
            <w:r>
              <w:rPr>
                <w:rFonts w:ascii="Arial" w:cs="Arial" w:eastAsia="Arial" w:hAnsi="Arial"/>
                <w:sz w:val="18"/>
                <w:szCs w:val="18"/>
                <w:color w:val="auto"/>
              </w:rPr>
              <w:t>Net cash used in financing activities</w:t>
            </w:r>
          </w:p>
        </w:tc>
        <w:tc>
          <w:tcPr>
            <w:tcW w:w="7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(4,711,066)</w:t>
            </w:r>
          </w:p>
        </w:tc>
        <w:tc>
          <w:tcPr>
            <w:tcW w:w="340" w:type="dxa"/>
            <w:vAlign w:val="bottom"/>
            <w:tcBorders>
              <w:top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(4,272,028)</w:t>
            </w:r>
          </w:p>
        </w:tc>
        <w:tc>
          <w:tcPr>
            <w:tcW w:w="340" w:type="dxa"/>
            <w:vAlign w:val="bottom"/>
            <w:tcBorders>
              <w:top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(3,890,417)</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D6F3E8"/>
          </w:tcPr>
          <w:p>
            <w:pPr>
              <w:spacing w:after="0"/>
              <w:rPr>
                <w:sz w:val="20"/>
                <w:szCs w:val="20"/>
                <w:color w:val="auto"/>
              </w:rPr>
            </w:pPr>
            <w:r>
              <w:rPr>
                <w:rFonts w:ascii="Arial" w:cs="Arial" w:eastAsia="Arial" w:hAnsi="Arial"/>
                <w:sz w:val="18"/>
                <w:szCs w:val="18"/>
                <w:color w:val="auto"/>
              </w:rPr>
              <w:t>NET INCREASE IN CASH AND CASH EQUIVALENTS</w:t>
            </w:r>
          </w:p>
        </w:tc>
        <w:tc>
          <w:tcPr>
            <w:tcW w:w="76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9,916,242</w:t>
            </w:r>
          </w:p>
        </w:tc>
        <w:tc>
          <w:tcPr>
            <w:tcW w:w="28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5,262,935</w:t>
            </w:r>
          </w:p>
        </w:tc>
        <w:tc>
          <w:tcPr>
            <w:tcW w:w="340" w:type="dxa"/>
            <w:vAlign w:val="bottom"/>
            <w:tcBorders>
              <w:right w:val="single" w:sz="8" w:color="D6F3E8"/>
            </w:tcBorders>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1,765,214</w:t>
            </w:r>
          </w:p>
        </w:tc>
        <w:tc>
          <w:tcPr>
            <w:tcW w:w="0" w:type="dxa"/>
            <w:vAlign w:val="bottom"/>
          </w:tcPr>
          <w:p>
            <w:pPr>
              <w:spacing w:after="0"/>
              <w:rPr>
                <w:sz w:val="1"/>
                <w:szCs w:val="1"/>
                <w:color w:val="auto"/>
              </w:rPr>
            </w:pPr>
          </w:p>
        </w:tc>
      </w:tr>
      <w:tr>
        <w:trPr>
          <w:trHeight w:val="376"/>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11,592,939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6,330,004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4,564,790</w:t>
            </w:r>
          </w:p>
        </w:tc>
        <w:tc>
          <w:tcPr>
            <w:tcW w:w="0" w:type="dxa"/>
            <w:vAlign w:val="bottom"/>
          </w:tcPr>
          <w:p>
            <w:pPr>
              <w:spacing w:after="0"/>
              <w:rPr>
                <w:sz w:val="1"/>
                <w:szCs w:val="1"/>
                <w:color w:val="auto"/>
              </w:rPr>
            </w:pPr>
          </w:p>
        </w:tc>
      </w:tr>
      <w:tr>
        <w:trPr>
          <w:trHeight w:val="366"/>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End of period</w:t>
            </w:r>
          </w:p>
        </w:tc>
        <w:tc>
          <w:tcPr>
            <w:tcW w:w="760" w:type="dxa"/>
            <w:vAlign w:val="bottom"/>
            <w:shd w:val="clear" w:color="auto" w:fill="D6F3E8"/>
          </w:tcPr>
          <w:p>
            <w:pPr>
              <w:spacing w:after="0"/>
              <w:rPr>
                <w:sz w:val="19"/>
                <w:szCs w:val="19"/>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21,509,181</w:t>
            </w:r>
          </w:p>
        </w:tc>
        <w:tc>
          <w:tcPr>
            <w:tcW w:w="340" w:type="dxa"/>
            <w:vAlign w:val="bottom"/>
            <w:shd w:val="clear" w:color="auto" w:fill="D6F3E8"/>
          </w:tcPr>
          <w:p>
            <w:pPr>
              <w:spacing w:after="0"/>
              <w:rPr>
                <w:sz w:val="19"/>
                <w:szCs w:val="19"/>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11,592,939</w:t>
            </w:r>
          </w:p>
        </w:tc>
        <w:tc>
          <w:tcPr>
            <w:tcW w:w="340" w:type="dxa"/>
            <w:vAlign w:val="bottom"/>
            <w:tcBorders>
              <w:right w:val="single" w:sz="8" w:color="D6F3E8"/>
            </w:tcBorders>
            <w:shd w:val="clear" w:color="auto" w:fill="D6F3E8"/>
          </w:tcPr>
          <w:p>
            <w:pPr>
              <w:spacing w:after="0"/>
              <w:rPr>
                <w:sz w:val="19"/>
                <w:szCs w:val="19"/>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6,330,004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D6F3E8"/>
          </w:tcPr>
          <w:p>
            <w:pPr>
              <w:spacing w:after="0" w:line="20" w:lineRule="exact"/>
              <w:rPr>
                <w:sz w:val="1"/>
                <w:szCs w:val="1"/>
                <w:color w:val="auto"/>
              </w:rPr>
            </w:pPr>
          </w:p>
        </w:tc>
        <w:tc>
          <w:tcPr>
            <w:tcW w:w="76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1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Cash paid during the year for income taxes</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4,900,460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5,858,478</w:t>
            </w:r>
          </w:p>
        </w:tc>
        <w:tc>
          <w:tcPr>
            <w:tcW w:w="34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Noncash investing activities—</w:t>
            </w: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shd w:val="clear" w:color="auto" w:fill="D6F3E8"/>
          </w:tcPr>
          <w:p>
            <w:pPr>
              <w:ind w:left="340"/>
              <w:spacing w:after="0"/>
              <w:rPr>
                <w:sz w:val="20"/>
                <w:szCs w:val="20"/>
                <w:color w:val="auto"/>
              </w:rPr>
            </w:pPr>
            <w:r>
              <w:rPr>
                <w:rFonts w:ascii="Arial" w:cs="Arial" w:eastAsia="Arial" w:hAnsi="Arial"/>
                <w:sz w:val="18"/>
                <w:szCs w:val="18"/>
                <w:color w:val="auto"/>
              </w:rPr>
              <w:t>Capital expenditures in accounts payable</w:t>
            </w:r>
          </w:p>
        </w:tc>
        <w:tc>
          <w:tcPr>
            <w:tcW w:w="760" w:type="dxa"/>
            <w:vAlign w:val="bottom"/>
            <w:shd w:val="clear" w:color="auto" w:fill="D6F3E8"/>
          </w:tcPr>
          <w:p>
            <w:pPr>
              <w:spacing w:after="0"/>
              <w:rPr>
                <w:sz w:val="19"/>
                <w:szCs w:val="19"/>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341,059</w:t>
            </w:r>
          </w:p>
        </w:tc>
        <w:tc>
          <w:tcPr>
            <w:tcW w:w="340" w:type="dxa"/>
            <w:vAlign w:val="bottom"/>
            <w:shd w:val="clear" w:color="auto" w:fill="D6F3E8"/>
          </w:tcPr>
          <w:p>
            <w:pPr>
              <w:spacing w:after="0"/>
              <w:rPr>
                <w:sz w:val="19"/>
                <w:szCs w:val="19"/>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182,232</w:t>
            </w:r>
          </w:p>
        </w:tc>
        <w:tc>
          <w:tcPr>
            <w:tcW w:w="340" w:type="dxa"/>
            <w:vAlign w:val="bottom"/>
            <w:tcBorders>
              <w:right w:val="single" w:sz="8" w:color="D6F3E8"/>
            </w:tcBorders>
            <w:shd w:val="clear" w:color="auto" w:fill="D6F3E8"/>
          </w:tcPr>
          <w:p>
            <w:pPr>
              <w:spacing w:after="0"/>
              <w:rPr>
                <w:sz w:val="19"/>
                <w:szCs w:val="19"/>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461,577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D6F3E8"/>
              <w:bottom w:val="single" w:sz="8" w:color="D6F3E8"/>
            </w:tcBorders>
            <w:vMerge w:val="restart"/>
          </w:tcPr>
          <w:p>
            <w:pPr>
              <w:ind w:left="340"/>
              <w:spacing w:after="0"/>
              <w:rPr>
                <w:sz w:val="20"/>
                <w:szCs w:val="20"/>
                <w:color w:val="auto"/>
              </w:rPr>
            </w:pPr>
            <w:r>
              <w:rPr>
                <w:rFonts w:ascii="Arial" w:cs="Arial" w:eastAsia="Arial" w:hAnsi="Arial"/>
                <w:sz w:val="18"/>
                <w:szCs w:val="18"/>
                <w:color w:val="auto"/>
              </w:rPr>
              <w:t>Stock issued for acquisition of Trumark</w:t>
            </w:r>
          </w:p>
        </w:tc>
        <w:tc>
          <w:tcPr>
            <w:tcW w:w="76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588,000</w:t>
            </w:r>
          </w:p>
        </w:tc>
        <w:tc>
          <w:tcPr>
            <w:tcW w:w="34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-3952875</wp:posOffset>
            </wp:positionV>
            <wp:extent cx="214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5" w:lineRule="exact"/>
        <w:rPr>
          <w:rFonts w:ascii="Arial" w:cs="Arial" w:eastAsia="Arial" w:hAnsi="Arial"/>
          <w:sz w:val="18"/>
          <w:szCs w:val="18"/>
          <w:b w:val="1"/>
          <w:bCs w:val="1"/>
          <w:color w:val="auto"/>
        </w:rPr>
      </w:pPr>
    </w:p>
    <w:p>
      <w:pPr>
        <w:ind w:left="660" w:right="12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Nature of Business</w:t>
      </w:r>
      <w:r>
        <w:rPr>
          <w:rFonts w:ascii="Arial" w:cs="Arial" w:eastAsia="Arial" w:hAnsi="Arial"/>
          <w:sz w:val="16"/>
          <w:szCs w:val="16"/>
          <w:b w:val="1"/>
          <w:bCs w:val="1"/>
          <w:color w:val="auto"/>
        </w:rPr>
        <w:t>—</w:t>
      </w:r>
      <w:r>
        <w:rPr>
          <w:rFonts w:ascii="Arial" w:cs="Arial" w:eastAsia="Arial" w:hAnsi="Arial"/>
          <w:sz w:val="16"/>
          <w:szCs w:val="16"/>
          <w:color w:val="auto"/>
        </w:rPr>
        <w:t>Hawkins, Inc. (the “Company”) has three reportable segments: Industrial, Water Treatment and Pharmaceutical. The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Water Treatment segment specializes in providing water and waste-water treatment equipment, chemicals and service to municipal and industrial customers. The Pharmaceutical segment specializes in providing pharmaceutical chemicals to retail pharmacies and small-scale pharmaceutical manufacturers.</w:t>
      </w:r>
    </w:p>
    <w:p>
      <w:pPr>
        <w:spacing w:after="0" w:line="161" w:lineRule="exact"/>
        <w:rPr>
          <w:rFonts w:ascii="Arial" w:cs="Arial" w:eastAsia="Arial" w:hAnsi="Arial"/>
          <w:sz w:val="18"/>
          <w:szCs w:val="18"/>
          <w:b w:val="1"/>
          <w:bCs w:val="1"/>
          <w:color w:val="auto"/>
        </w:rPr>
      </w:pPr>
    </w:p>
    <w:p>
      <w:pPr>
        <w:ind w:left="660" w:right="1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w:t>
      </w:r>
      <w:r>
        <w:rPr>
          <w:rFonts w:ascii="Arial" w:cs="Arial" w:eastAsia="Arial" w:hAnsi="Arial"/>
          <w:sz w:val="18"/>
          <w:szCs w:val="18"/>
          <w:color w:val="auto"/>
        </w:rPr>
        <w:t>The Company’s fiscal year is a 52/53-week year ending on the Sunday closest to March 31. The fiscal years ended March 30, 2008,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2007 and April 2, 2006 were 52-week years.</w:t>
      </w:r>
    </w:p>
    <w:p>
      <w:pPr>
        <w:spacing w:after="0" w:line="173" w:lineRule="exact"/>
        <w:rPr>
          <w:rFonts w:ascii="Arial" w:cs="Arial" w:eastAsia="Arial" w:hAnsi="Arial"/>
          <w:sz w:val="18"/>
          <w:szCs w:val="18"/>
          <w:b w:val="1"/>
          <w:bCs w:val="1"/>
          <w:color w:val="auto"/>
        </w:rPr>
      </w:pPr>
    </w:p>
    <w:p>
      <w:pPr>
        <w:ind w:left="660" w:right="32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b w:val="1"/>
          <w:bCs w:val="1"/>
          <w:color w:val="auto"/>
        </w:rPr>
        <w:t>—</w:t>
      </w:r>
      <w:r>
        <w:rPr>
          <w:rFonts w:ascii="Arial" w:cs="Arial" w:eastAsia="Arial" w:hAnsi="Arial"/>
          <w:sz w:val="16"/>
          <w:szCs w:val="16"/>
          <w:color w:val="auto"/>
        </w:rPr>
        <w:t>The preparation of financial statements in conformity with accounting principles generally accepted in the United States of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57" w:lineRule="exact"/>
        <w:rPr>
          <w:rFonts w:ascii="Arial" w:cs="Arial" w:eastAsia="Arial" w:hAnsi="Arial"/>
          <w:sz w:val="18"/>
          <w:szCs w:val="18"/>
          <w:b w:val="1"/>
          <w:bCs w:val="1"/>
          <w:color w:val="auto"/>
        </w:rPr>
      </w:pPr>
    </w:p>
    <w:p>
      <w:pPr>
        <w:ind w:left="660" w:right="24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recognizes revenue when there is evidence that the customer has agreed to purchase the product, the price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sale are fixed, the product has shipped and title passes to our customer, performance has occurred, and collection of the receivable is reasonably assured.</w:t>
      </w:r>
    </w:p>
    <w:p>
      <w:pPr>
        <w:spacing w:after="0" w:line="192" w:lineRule="exact"/>
        <w:rPr>
          <w:rFonts w:ascii="Arial" w:cs="Arial" w:eastAsia="Arial" w:hAnsi="Arial"/>
          <w:sz w:val="18"/>
          <w:szCs w:val="18"/>
          <w:b w:val="1"/>
          <w:bCs w:val="1"/>
          <w:color w:val="auto"/>
        </w:rPr>
      </w:pPr>
    </w:p>
    <w:p>
      <w:pPr>
        <w:ind w:left="660" w:right="26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color w:val="auto"/>
        </w:rPr>
        <w:t>All shipping and handling amounts billed to customers are included in revenues. Costs incurred related to the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costs of sales.</w:t>
      </w:r>
    </w:p>
    <w:p>
      <w:pPr>
        <w:spacing w:after="0" w:line="179" w:lineRule="exact"/>
        <w:rPr>
          <w:rFonts w:ascii="Arial" w:cs="Arial" w:eastAsia="Arial" w:hAnsi="Arial"/>
          <w:sz w:val="18"/>
          <w:szCs w:val="18"/>
          <w:b w:val="1"/>
          <w:bCs w:val="1"/>
          <w:color w:val="auto"/>
        </w:rPr>
      </w:pPr>
    </w:p>
    <w:p>
      <w:pPr>
        <w:ind w:left="660" w:right="3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include all liquid debt instruments (primarily cash funds, money market accounts and certificates of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86" w:lineRule="exact"/>
        <w:rPr>
          <w:rFonts w:ascii="Arial" w:cs="Arial" w:eastAsia="Arial" w:hAnsi="Arial"/>
          <w:sz w:val="18"/>
          <w:szCs w:val="18"/>
          <w:b w:val="1"/>
          <w:bCs w:val="1"/>
          <w:color w:val="auto"/>
        </w:rPr>
      </w:pPr>
    </w:p>
    <w:p>
      <w:pPr>
        <w:jc w:val="both"/>
        <w:ind w:left="660" w:right="8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Investments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Held-to-maturity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debt securities, which the Company has the intent and ability to hold to maturity and are valued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amortized historical cost. Under certain circumstances (including the deterioration of the issuer’s creditworthiness or a change in tax law or statutory or regulatory requirements), securities held-to-maturity may be sold or transferred to another portfolio. Held-to-maturity securities with a market value of $261,042 and $376,610 were classified as non-current at March 30, 2008 and April 1, 2007, respectively.</w:t>
      </w:r>
    </w:p>
    <w:p>
      <w:pPr>
        <w:sectPr>
          <w:pgSz w:w="11900" w:h="16838" w:orient="portrait"/>
          <w:cols w:equalWidth="0" w:num="1">
            <w:col w:w="11420"/>
          </w:cols>
          <w:pgMar w:left="240" w:top="140" w:right="239" w:bottom="0" w:gutter="0" w:footer="0" w:header="0"/>
        </w:sectPr>
      </w:pPr>
    </w:p>
    <w:bookmarkStart w:id="16" w:name="page17"/>
    <w:bookmarkEnd w:id="16"/>
    <w:p>
      <w:pPr>
        <w:ind w:right="80"/>
        <w:spacing w:after="0" w:line="289" w:lineRule="auto"/>
        <w:rPr>
          <w:sz w:val="20"/>
          <w:szCs w:val="20"/>
          <w:color w:val="auto"/>
        </w:rPr>
      </w:pPr>
      <w:r>
        <w:rPr>
          <w:rFonts w:ascii="Arial" w:cs="Arial" w:eastAsia="Arial" w:hAnsi="Arial"/>
          <w:sz w:val="16"/>
          <w:szCs w:val="16"/>
          <w:i w:val="1"/>
          <w:iCs w:val="1"/>
          <w:color w:val="auto"/>
        </w:rPr>
        <w:t xml:space="preserve">Available-for-sale securities </w:t>
      </w:r>
      <w:r>
        <w:rPr>
          <w:rFonts w:ascii="Arial" w:cs="Arial" w:eastAsia="Arial" w:hAnsi="Arial"/>
          <w:sz w:val="16"/>
          <w:szCs w:val="16"/>
          <w:color w:val="auto"/>
        </w:rPr>
        <w:t>consist of debt securities that will be held for indefinite periods of time, including securities that may be sold in response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market interest or prepayment rates, needs for liquidity, or changes in the availability or yield of alternative investments. These securities are valued at current market value, with the resulting unrealized holding gains and losses excluded from earnings and reported, net of tax, as a separate component of shareholders’ equity until realized. Available-for-sale securities are included in current assets if their market value exceeds its amortized cost and are available to fund current operations. Available-for-sale securities whose market value is less than its amortized cost, and that have not been identified as other-than-temporarily impaired, are classified as current assets if the security matures in less than one year, and non-current assets if the security matures in one year or longer and the Company intends to hold the investments for at least one more year. Available-for-sale securities with a market value of $328,836 and $2,648,888 were classified as non-current at March 30, 2008 and April 1, 2007, respectively.</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securities with gross unrealized losses are subjected to the Company’s process for identifying other-than-temporary impairments. The Company writes down to fair value securities that it deems to be other-than-temporarily impaired in the period the securities are deemed to be impaired. The initial indicator of impairment is a sustained decline in market price below the amortized cost of the investment. On a case-by-case basis, the Company considers the length of time and the extent to which market value has been less than cost, the cause of the price decline, the extent to which the price decline is due to the general level of interest rates or other issuer specific factors, the issuer’s financial condition and ability to make future payments in a timely manner, and the Company’s investment horizon. Losses of $30,595 and $280,699 were recorded during the fiscal years ended April 1, 2007 and April 2, 2006, respectively, due to declines in market value of a mutual fund that was deemed other than temporary. In fiscal 2008, the mutual fund was sold and a gain of $244,764 was recognized. The Company does not engage in trading activities.</w:t>
      </w:r>
    </w:p>
    <w:p>
      <w:pPr>
        <w:spacing w:after="0" w:line="1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color w:val="auto"/>
        </w:rPr>
        <w:t>Inventories, consisting primarily of finished goods, are primarily valued at the lower of cost or net realizable value, with cost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using the last-in, first-out (“LIFO”) method. The Pharmaceutical segment’s inventory cost, which represents approximately 12% and 13% of the total FIFO inventory balance at March 30, 2008 and April 1, 2007, respectively, is determined using the first-in, first-out (“FIFO”) method.</w:t>
      </w:r>
    </w:p>
    <w:p>
      <w:pPr>
        <w:spacing w:after="0" w:line="1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color w:val="auto"/>
        </w:rPr>
        <w:t>Property is stated at cost and depreciated over the lives of the assets, using both straight-line and declining-balance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Estimated lives are: 10 to 40 years for buildings and improvements; 3 to 20 years for machinery and equipment; 3 to 10 years for transportation equipment; and 3 to 10 years for office furniture and equipment.</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Goodwill and Identifiable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represents the excess of the cost of acquired businesses over the fair value of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tangible net assets and identifiable intangible assets purchased. Our primary identifiable intangible assets include customer lists, trademarks, and trade names acquired in previous business acquisitions. Under the provisions of Statements of Financial Accounting Standards (SFAS)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Intangible Assets, </w:t>
      </w:r>
      <w:r>
        <w:rPr>
          <w:rFonts w:ascii="Arial" w:cs="Arial" w:eastAsia="Arial" w:hAnsi="Arial"/>
          <w:sz w:val="16"/>
          <w:szCs w:val="16"/>
          <w:color w:val="auto"/>
        </w:rPr>
        <w:t>identifiable intangibles with finite lives are amortized and those identifiable intangibles with indefinite lives are not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values assigned to the intangible assets with finite lives are being amortized on average over approximately 15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 During the fourth quarter of fiscal 2008, we determined that an annual impairment test for goodwill and those identifiable assets not subject to amortization was not necessary, as there were no impairment indicators to cause us to complete an annual impairment test.</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fiscal year ended April 2, 2006 the Company determined that the intangible assets associated with the acquisition of Industrial Chemical and Equipment Company in 1993, an asset group within the Industrial segment, were impaired based on undiscounted cash flow calculations. The undiscounted cash flow calculations took into consideration the business outlook over the remaining useful life for this asset group. The sum of expected future cash flows was less than the carrying amount of the intangible assets. The impairment amount was $176,000, which also represented the net book value of the intangible assets at that time. The amount of the impairment is included within Selling, General and Administrative expense in the Statements of Income for the fiscal year ended April 2, 2006.</w:t>
      </w:r>
    </w:p>
    <w:p>
      <w:pPr>
        <w:spacing w:after="0" w:line="16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Recoverability of Long-Lived Assets</w:t>
      </w:r>
      <w:r>
        <w:rPr>
          <w:rFonts w:ascii="Arial" w:cs="Arial" w:eastAsia="Arial" w:hAnsi="Arial"/>
          <w:sz w:val="16"/>
          <w:szCs w:val="16"/>
          <w:b w:val="1"/>
          <w:bCs w:val="1"/>
          <w:color w:val="auto"/>
        </w:rPr>
        <w:t>—</w:t>
      </w:r>
      <w:r>
        <w:rPr>
          <w:rFonts w:ascii="Arial" w:cs="Arial" w:eastAsia="Arial" w:hAnsi="Arial"/>
          <w:sz w:val="16"/>
          <w:szCs w:val="16"/>
          <w:color w:val="auto"/>
        </w:rPr>
        <w:t>The Company reviews its long-lived assets whenever events or changes in circumstances indicate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 There were no material long-lived assets that were determined to be impaired during fiscal 2008, 2007, or 2006.</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color w:val="auto"/>
        </w:rPr>
        <w:t>The Company follows SFAS No. 109, “Accounting for Income Taxes.” In the preparation of the Company’s financial statements,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statements of income.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subject to U.S. federal income tax as well as income tax of multiple state jurisdictions. The tax years beginning with 2004 remain open to examination by the Internal Revenue Service. The significant state jurisdictions of Minnesota, Iowa, North Dakota, and Wisconsin have tax years beginning with 2004 open to examination.</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adopted Financial Accounting Standards Board (FASB) Interpretation (FIN) No. 48, “Accounting for Uncertainty in Income Taxes - an interpretation of FASB Statement No. 109” on April 2, 2007. The adoption of FIN 48 resulted in no impact on our results of operations and financial condition.</w:t>
      </w:r>
    </w:p>
    <w:p>
      <w:pPr>
        <w:spacing w:after="0" w:line="133"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earnings per share are computed by dividing net income by the weighted-average number of common shares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are computed by dividing net income by the weighted average number of common shares outstanding, including any dilutive effects of non-vested shares.</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0"/>
          </w:cols>
          <w:pgMar w:left="900" w:top="131" w:right="239" w:bottom="0" w:gutter="0" w:footer="0" w:header="0"/>
        </w:sectPr>
      </w:pPr>
    </w:p>
    <w:bookmarkStart w:id="17" w:name="page18"/>
    <w:bookmarkEnd w:id="17"/>
    <w:p>
      <w:pPr>
        <w:ind w:left="652" w:right="10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Agreement</w:t>
      </w:r>
      <w:r>
        <w:rPr>
          <w:rFonts w:ascii="Arial" w:cs="Arial" w:eastAsia="Arial" w:hAnsi="Arial"/>
          <w:sz w:val="18"/>
          <w:szCs w:val="18"/>
          <w:i w:val="1"/>
          <w:iCs w:val="1"/>
          <w:color w:val="auto"/>
        </w:rPr>
        <w:t>—</w:t>
      </w:r>
      <w:r>
        <w:rPr>
          <w:rFonts w:ascii="Arial" w:cs="Arial" w:eastAsia="Arial" w:hAnsi="Arial"/>
          <w:sz w:val="18"/>
          <w:szCs w:val="18"/>
          <w:color w:val="auto"/>
        </w:rPr>
        <w:t>During fiscal 2006, the Company entered into a consulting agreement with a member of its Board of Directors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services for certain strategic projects. Consulting fees of $60,000, $75,000, and $35,000 were expensed in fiscal 2008, fiscal 2007, and fiscal 2006, respectively.</w:t>
      </w:r>
    </w:p>
    <w:p>
      <w:pPr>
        <w:spacing w:after="0" w:line="188" w:lineRule="exact"/>
        <w:rPr>
          <w:sz w:val="20"/>
          <w:szCs w:val="20"/>
          <w:color w:val="auto"/>
        </w:rPr>
      </w:pPr>
    </w:p>
    <w:p>
      <w:pPr>
        <w:ind w:left="652" w:right="100"/>
        <w:spacing w:after="0" w:line="255" w:lineRule="auto"/>
        <w:rPr>
          <w:sz w:val="20"/>
          <w:szCs w:val="20"/>
          <w:color w:val="auto"/>
        </w:rPr>
      </w:pPr>
      <w:r>
        <w:rPr>
          <w:rFonts w:ascii="Arial" w:cs="Arial" w:eastAsia="Arial" w:hAnsi="Arial"/>
          <w:sz w:val="18"/>
          <w:szCs w:val="18"/>
          <w:b w:val="1"/>
          <w:bCs w:val="1"/>
          <w:i w:val="1"/>
          <w:iCs w:val="1"/>
          <w:color w:val="auto"/>
        </w:rPr>
        <w:t>Concentrations of Credit Risk</w:t>
      </w:r>
      <w:r>
        <w:rPr>
          <w:rFonts w:ascii="Arial" w:cs="Arial" w:eastAsia="Arial" w:hAnsi="Arial"/>
          <w:sz w:val="18"/>
          <w:szCs w:val="18"/>
          <w:b w:val="1"/>
          <w:bCs w:val="1"/>
          <w:color w:val="auto"/>
        </w:rPr>
        <w:t>—</w:t>
      </w:r>
      <w:r>
        <w:rPr>
          <w:rFonts w:ascii="Arial" w:cs="Arial" w:eastAsia="Arial" w:hAnsi="Arial"/>
          <w:sz w:val="18"/>
          <w:szCs w:val="18"/>
          <w:color w:val="auto"/>
        </w:rPr>
        <w:t>Financial instruments, which potentially subject the Company to a concentration of credit risk, principally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available-for-sale and trade receivables. The Company sells its principal products to a large number of customers in many different industries. There are no concentrations of business transacted with a particular customer or sales from a particular service or geographic area that would significantly impact the Company in the near term. To reduce credit risk, the Company routinely assesses the financial strength of its customers. The Company invests its excess cash balances in certificate of deposits with original maturities of three months or less and a money market account at two separate financial institutions.</w:t>
      </w:r>
    </w:p>
    <w:p>
      <w:pPr>
        <w:spacing w:after="0" w:line="199" w:lineRule="exact"/>
        <w:rPr>
          <w:sz w:val="20"/>
          <w:szCs w:val="20"/>
          <w:color w:val="auto"/>
        </w:rPr>
      </w:pPr>
    </w:p>
    <w:p>
      <w:pPr>
        <w:ind w:left="652" w:right="200"/>
        <w:spacing w:after="0" w:line="254" w:lineRule="auto"/>
        <w:rPr>
          <w:sz w:val="20"/>
          <w:szCs w:val="20"/>
          <w:color w:val="auto"/>
        </w:rPr>
      </w:pPr>
      <w:r>
        <w:rPr>
          <w:rFonts w:ascii="Arial" w:cs="Arial" w:eastAsia="Arial" w:hAnsi="Arial"/>
          <w:sz w:val="18"/>
          <w:szCs w:val="18"/>
          <w:color w:val="auto"/>
        </w:rPr>
        <w:t>At March 30, 2008, the Company’s investment portfolio included fixed income securities of $2,860,194. The fixed income securities, like all fixed income instruments, are subject to interest rate risk and will decline in value if market interest rates increase. However, the Company has the ability to hold its fixed income investments until recovery and therefore the Company would not expect to recognize an adverse impact on net income or cash flows. During fiscal 2008, the Company sold the mutual fund it held at April 1, 2007 and recorded a gain of $244,764. During the fiscal years ended April 1, 2007 and April 2, 2006, losses of $30,595 and $280,699, respectively were recognized due to declines in market value of the mutual fund that was deemed other than temporary.</w:t>
      </w:r>
    </w:p>
    <w:p>
      <w:pPr>
        <w:spacing w:after="0" w:line="198" w:lineRule="exact"/>
        <w:rPr>
          <w:sz w:val="20"/>
          <w:szCs w:val="20"/>
          <w:color w:val="auto"/>
        </w:rPr>
      </w:pPr>
    </w:p>
    <w:p>
      <w:pPr>
        <w:ind w:left="652"/>
        <w:spacing w:after="0" w:line="289" w:lineRule="auto"/>
        <w:rPr>
          <w:sz w:val="20"/>
          <w:szCs w:val="20"/>
          <w:color w:val="auto"/>
        </w:rPr>
      </w:pPr>
      <w:r>
        <w:rPr>
          <w:rFonts w:ascii="Arial" w:cs="Arial" w:eastAsia="Arial" w:hAnsi="Arial"/>
          <w:sz w:val="16"/>
          <w:szCs w:val="16"/>
          <w:b w:val="1"/>
          <w:bCs w:val="1"/>
          <w:i w:val="1"/>
          <w:iCs w:val="1"/>
          <w:color w:val="auto"/>
        </w:rPr>
        <w:t>Derivative Instruments and Hedging Activities</w:t>
      </w:r>
      <w:r>
        <w:rPr>
          <w:rFonts w:ascii="Arial" w:cs="Arial" w:eastAsia="Arial" w:hAnsi="Arial"/>
          <w:sz w:val="16"/>
          <w:szCs w:val="16"/>
          <w:color w:val="auto"/>
        </w:rPr>
        <w:t>—The Company follows SFAS No. 133, “Accounting for Derivative Instruments and Hedging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as amended by SFAS No. 138, “Accounting for Certain Derivative Instruments and Certain Hedging Activities.” SFAS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6" w:lineRule="exact"/>
        <w:rPr>
          <w:sz w:val="20"/>
          <w:szCs w:val="20"/>
          <w:color w:val="auto"/>
        </w:rPr>
      </w:pPr>
    </w:p>
    <w:p>
      <w:pPr>
        <w:ind w:left="652" w:right="140"/>
        <w:spacing w:after="0" w:line="296" w:lineRule="auto"/>
        <w:rPr>
          <w:sz w:val="20"/>
          <w:szCs w:val="20"/>
          <w:color w:val="auto"/>
        </w:rPr>
      </w:pPr>
      <w:r>
        <w:rPr>
          <w:rFonts w:ascii="Arial" w:cs="Arial" w:eastAsia="Arial" w:hAnsi="Arial"/>
          <w:sz w:val="16"/>
          <w:szCs w:val="16"/>
          <w:b w:val="1"/>
          <w:bCs w:val="1"/>
          <w:i w:val="1"/>
          <w:iCs w:val="1"/>
          <w:color w:val="auto"/>
        </w:rPr>
        <w:t>Accounting Pronouncements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2006, the FASB issued SFAS No. 157, “Fair Value Measurements.” This statement establishes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framework for measuring fair value and expands disclosures on fair value measurements. SFAS No. 157, as originally issued, was effective for fiscal years beginning after November 15, 2007, however, in December 2007, the FASB issued FASB Staff Position FAS 157-2, which deferred the effective date of SFAS No. 157 for one year, as it relates to nonfinancial assets and liabilities. We are currently evaluating the impact of adopting SFAS 157 and FAS 157-2 on our results of operations and financial condition.</w:t>
      </w:r>
    </w:p>
    <w:p>
      <w:pPr>
        <w:spacing w:after="0" w:line="60" w:lineRule="exact"/>
        <w:rPr>
          <w:sz w:val="20"/>
          <w:szCs w:val="20"/>
          <w:color w:val="auto"/>
        </w:rPr>
      </w:pPr>
    </w:p>
    <w:p>
      <w:pPr>
        <w:ind w:left="652" w:right="60"/>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 159 is effective for the Company starting in fiscal 2009. We are currently evaluating the impact of adopting SFAS 159 on our results of operations and financial condition.</w:t>
      </w:r>
    </w:p>
    <w:p>
      <w:pPr>
        <w:spacing w:after="0" w:line="89" w:lineRule="exact"/>
        <w:rPr>
          <w:sz w:val="20"/>
          <w:szCs w:val="20"/>
          <w:color w:val="auto"/>
        </w:rPr>
      </w:pPr>
    </w:p>
    <w:p>
      <w:pPr>
        <w:ind w:left="652" w:right="60"/>
        <w:spacing w:after="0" w:line="255" w:lineRule="auto"/>
        <w:rPr>
          <w:sz w:val="20"/>
          <w:szCs w:val="20"/>
          <w:color w:val="auto"/>
        </w:rPr>
      </w:pPr>
      <w:r>
        <w:rPr>
          <w:rFonts w:ascii="Arial" w:cs="Arial" w:eastAsia="Arial" w:hAnsi="Arial"/>
          <w:sz w:val="18"/>
          <w:szCs w:val="18"/>
          <w:color w:val="auto"/>
        </w:rPr>
        <w:t>In June 2007, the FASB ratified the Emerging Issues Task Force (EITF) Issue No. 06-11, “Accounting for Income Tax Benefits of Dividends on Share 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 capital. EITF 06-11 is effective for the Company starting in fiscal 2009. We are currently evaluating the impact of adopting EITF 06-11 on our results of operations and financial condition.</w:t>
      </w:r>
    </w:p>
    <w:p>
      <w:pPr>
        <w:spacing w:after="0" w:line="89" w:lineRule="exact"/>
        <w:rPr>
          <w:sz w:val="20"/>
          <w:szCs w:val="20"/>
          <w:color w:val="auto"/>
        </w:rPr>
      </w:pPr>
    </w:p>
    <w:p>
      <w:pPr>
        <w:ind w:left="652" w:right="20"/>
        <w:spacing w:after="0" w:line="294" w:lineRule="auto"/>
        <w:rPr>
          <w:sz w:val="20"/>
          <w:szCs w:val="20"/>
          <w:color w:val="auto"/>
        </w:rPr>
      </w:pPr>
      <w:r>
        <w:rPr>
          <w:rFonts w:ascii="Arial" w:cs="Arial" w:eastAsia="Arial" w:hAnsi="Arial"/>
          <w:sz w:val="16"/>
          <w:szCs w:val="16"/>
          <w:color w:val="auto"/>
        </w:rPr>
        <w:t>In June 2007, the FASB ratified EITF Issue No. 07-03, “Accounting for Nonrefundable Advance Payments for Goods and Services Received for Use in Future Research and Development Activities.” EITF 07-03 requires companies to defer nonrefundable advance payments for goods and services and to expense the advance payment as the goods are delivered or services are rendered. If the company does not expect to have the goods delivered or services performed, the advance should be expensed. EITF 07-03 is effective for the Company starting in fiscal 2009. We do not expect there to be a material impact on our results of operations and financial condition as a result of adopting EITF 07-03.</w:t>
      </w:r>
    </w:p>
    <w:p>
      <w:pPr>
        <w:spacing w:after="0" w:line="48" w:lineRule="exact"/>
        <w:rPr>
          <w:sz w:val="20"/>
          <w:szCs w:val="20"/>
          <w:color w:val="auto"/>
        </w:rPr>
      </w:pPr>
    </w:p>
    <w:p>
      <w:pPr>
        <w:ind w:left="652" w:right="60"/>
        <w:spacing w:after="0" w:line="294" w:lineRule="auto"/>
        <w:rPr>
          <w:sz w:val="20"/>
          <w:szCs w:val="20"/>
          <w:color w:val="auto"/>
        </w:rPr>
      </w:pPr>
      <w:r>
        <w:rPr>
          <w:rFonts w:ascii="Arial" w:cs="Arial" w:eastAsia="Arial" w:hAnsi="Arial"/>
          <w:sz w:val="16"/>
          <w:szCs w:val="16"/>
          <w:color w:val="auto"/>
        </w:rPr>
        <w:t>In December 2007, the FASB issued SFAS No. 141(revised 2007), “Business Combinations” (141R). SFAS No. 141R significantly changes the accounting for business combinations in a number of areas including the treatment of contingent consideration, preacquisition contingencies, transaction costs, in-process research and development and restructuring costs. In addition, under SFAS No. 141R, changes in an acquired entity’s deferred tax assets and uncertain tax positions after the measurement period will impact income tax expense. SFAS No. 141R is effective for fiscal years beginning after December 15, 2008. We are currently evaluating the impact SFAS No. 141R will have on any future business combinations.</w:t>
      </w: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52" w:right="6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No. 160 changes the accounting and reporting for minority interests, which will be recharacterized as noncontrolling interests and classified as a component of equity. This new consolidation method significantly changes the accounting for transactions with minority interest holders. SFAS No. 160 is effective for fiscal years beginning after December 15, 2008. We are currently evaluating the impact SFAS No. 160 will have on any future business combinations.</w:t>
      </w:r>
    </w:p>
    <w:p>
      <w:pPr>
        <w:spacing w:after="0" w:line="285" w:lineRule="exact"/>
        <w:rPr>
          <w:sz w:val="20"/>
          <w:szCs w:val="20"/>
          <w:color w:val="auto"/>
        </w:rPr>
      </w:pPr>
    </w:p>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3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fair value by maturity as of March 30, 2008 are as follows:</w:t>
      </w:r>
    </w:p>
    <w:p>
      <w:pPr>
        <w:spacing w:after="0" w:line="221"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Held-to-Maturity</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Available-for-Sale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6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center"/>
              <w:ind w:left="232"/>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27"/>
              <w:spacing w:after="0" w:line="129" w:lineRule="exact"/>
              <w:rPr>
                <w:sz w:val="20"/>
                <w:szCs w:val="20"/>
                <w:color w:val="auto"/>
              </w:rPr>
            </w:pPr>
            <w:r>
              <w:rPr>
                <w:rFonts w:ascii="Arial" w:cs="Arial" w:eastAsia="Arial" w:hAnsi="Arial"/>
                <w:sz w:val="14"/>
                <w:szCs w:val="14"/>
                <w:b w:val="1"/>
                <w:bCs w:val="1"/>
                <w:color w:val="auto"/>
                <w:w w:val="90"/>
              </w:rPr>
              <w:t>Amortized</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jc w:val="center"/>
              <w:ind w:right="326"/>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jc w:val="center"/>
              <w:ind w:left="152"/>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left="232"/>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7"/>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D6F3E8"/>
          </w:tcPr>
          <w:p>
            <w:pPr>
              <w:spacing w:after="0"/>
              <w:rPr>
                <w:sz w:val="20"/>
                <w:szCs w:val="20"/>
                <w:color w:val="auto"/>
              </w:rPr>
            </w:pPr>
            <w:r>
              <w:rPr>
                <w:rFonts w:ascii="Arial" w:cs="Arial" w:eastAsia="Arial" w:hAnsi="Arial"/>
                <w:sz w:val="18"/>
                <w:szCs w:val="18"/>
                <w:color w:val="auto"/>
              </w:rPr>
              <w:t>Within 1 Year</w:t>
            </w:r>
          </w:p>
        </w:tc>
        <w:tc>
          <w:tcPr>
            <w:tcW w:w="282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6F3E8"/>
          </w:tcPr>
          <w:p>
            <w:pPr>
              <w:ind w:left="60"/>
              <w:spacing w:after="0"/>
              <w:rPr>
                <w:sz w:val="20"/>
                <w:szCs w:val="20"/>
                <w:color w:val="auto"/>
              </w:rPr>
            </w:pPr>
            <w:r>
              <w:rPr>
                <w:rFonts w:ascii="Arial" w:cs="Arial" w:eastAsia="Arial" w:hAnsi="Arial"/>
                <w:sz w:val="18"/>
                <w:szCs w:val="18"/>
                <w:color w:val="auto"/>
                <w:w w:val="88"/>
              </w:rPr>
              <w:t>—</w:t>
            </w:r>
          </w:p>
        </w:tc>
        <w:tc>
          <w:tcPr>
            <w:tcW w:w="1220" w:type="dxa"/>
            <w:vAlign w:val="bottom"/>
            <w:gridSpan w:val="2"/>
            <w:shd w:val="clear" w:color="auto" w:fill="D6F3E8"/>
          </w:tcPr>
          <w:p>
            <w:pPr>
              <w:jc w:val="right"/>
              <w:ind w:right="752"/>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ind w:left="12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2,208,475</w:t>
            </w:r>
          </w:p>
        </w:tc>
        <w:tc>
          <w:tcPr>
            <w:tcW w:w="7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2,203,620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1-5 Years</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523" w:right="239" w:bottom="0" w:gutter="0" w:footer="0" w:header="0"/>
        </w:sectPr>
      </w:pPr>
    </w:p>
    <w:bookmarkStart w:id="18" w:name="page19"/>
    <w:bookmarkEnd w:id="18"/>
    <w:p>
      <w:pPr>
        <w:spacing w:after="0" w:line="128"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5-10 Years</w:t>
            </w: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255,931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39,988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39,773</w:t>
            </w:r>
          </w:p>
        </w:tc>
        <w:tc>
          <w:tcPr>
            <w:tcW w:w="100" w:type="dxa"/>
            <w:vAlign w:val="bottom"/>
          </w:tcPr>
          <w:p>
            <w:pPr>
              <w:spacing w:after="0"/>
              <w:rPr>
                <w:sz w:val="19"/>
                <w:szCs w:val="19"/>
                <w:color w:val="auto"/>
              </w:rPr>
            </w:pPr>
          </w:p>
        </w:tc>
      </w:tr>
      <w:tr>
        <w:trPr>
          <w:trHeight w:val="230"/>
        </w:trPr>
        <w:tc>
          <w:tcPr>
            <w:tcW w:w="4680" w:type="dxa"/>
            <w:vAlign w:val="bottom"/>
            <w:shd w:val="clear" w:color="auto" w:fill="D6F3E8"/>
          </w:tcPr>
          <w:p>
            <w:pPr>
              <w:spacing w:after="0"/>
              <w:rPr>
                <w:sz w:val="20"/>
                <w:szCs w:val="20"/>
                <w:color w:val="auto"/>
              </w:rPr>
            </w:pPr>
            <w:r>
              <w:rPr>
                <w:rFonts w:ascii="Arial" w:cs="Arial" w:eastAsia="Arial" w:hAnsi="Arial"/>
                <w:sz w:val="18"/>
                <w:szCs w:val="18"/>
                <w:color w:val="auto"/>
              </w:rPr>
              <w:t>After 10 Years</w:t>
            </w:r>
          </w:p>
        </w:tc>
        <w:tc>
          <w:tcPr>
            <w:tcW w:w="36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D6F3E8"/>
          </w:tcPr>
          <w:p>
            <w:pPr>
              <w:spacing w:after="0"/>
              <w:rPr>
                <w:sz w:val="19"/>
                <w:szCs w:val="19"/>
                <w:color w:val="auto"/>
              </w:rPr>
            </w:pPr>
          </w:p>
        </w:tc>
        <w:tc>
          <w:tcPr>
            <w:tcW w:w="36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5,111</w:t>
            </w:r>
          </w:p>
        </w:tc>
        <w:tc>
          <w:tcPr>
            <w:tcW w:w="320" w:type="dxa"/>
            <w:vAlign w:val="bottom"/>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spacing w:after="0"/>
              <w:rPr>
                <w:sz w:val="19"/>
                <w:szCs w:val="19"/>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364,905</w:t>
            </w:r>
          </w:p>
        </w:tc>
        <w:tc>
          <w:tcPr>
            <w:tcW w:w="320" w:type="dxa"/>
            <w:vAlign w:val="bottom"/>
            <w:shd w:val="clear" w:color="auto" w:fill="D6F3E8"/>
          </w:tcPr>
          <w:p>
            <w:pPr>
              <w:spacing w:after="0"/>
              <w:rPr>
                <w:sz w:val="19"/>
                <w:szCs w:val="19"/>
                <w:color w:val="auto"/>
              </w:rPr>
            </w:pPr>
          </w:p>
        </w:tc>
        <w:tc>
          <w:tcPr>
            <w:tcW w:w="320" w:type="dxa"/>
            <w:vAlign w:val="bottom"/>
            <w:tcBorders>
              <w:bottom w:val="single" w:sz="8" w:color="auto"/>
            </w:tcBorders>
            <w:shd w:val="clear" w:color="auto" w:fill="D6F3E8"/>
          </w:tcPr>
          <w:p>
            <w:pPr>
              <w:spacing w:after="0"/>
              <w:rPr>
                <w:sz w:val="19"/>
                <w:szCs w:val="19"/>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361,801</w:t>
            </w:r>
          </w:p>
        </w:tc>
        <w:tc>
          <w:tcPr>
            <w:tcW w:w="100" w:type="dxa"/>
            <w:vAlign w:val="bottom"/>
            <w:shd w:val="clear" w:color="auto" w:fill="D6F3E8"/>
          </w:tcPr>
          <w:p>
            <w:pPr>
              <w:spacing w:after="0"/>
              <w:rPr>
                <w:sz w:val="19"/>
                <w:szCs w:val="19"/>
                <w:color w:val="auto"/>
              </w:rPr>
            </w:pPr>
          </w:p>
        </w:tc>
      </w:tr>
      <w:tr>
        <w:trPr>
          <w:trHeight w:val="358"/>
        </w:trPr>
        <w:tc>
          <w:tcPr>
            <w:tcW w:w="5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255,000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261,042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2,613,368</w:t>
            </w:r>
          </w:p>
        </w:tc>
        <w:tc>
          <w:tcPr>
            <w:tcW w:w="32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2,605,194</w:t>
            </w:r>
          </w:p>
        </w:tc>
        <w:tc>
          <w:tcPr>
            <w:tcW w:w="100" w:type="dxa"/>
            <w:vAlign w:val="bottom"/>
          </w:tcPr>
          <w:p>
            <w:pPr>
              <w:spacing w:after="0"/>
              <w:rPr>
                <w:sz w:val="24"/>
                <w:szCs w:val="24"/>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fair value of investment securities available-for-sale as of March 30, 2008 and April 1, 2007,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March 30, 2008</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Amortized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Fixed Income Securities:</w:t>
            </w:r>
          </w:p>
        </w:tc>
        <w:tc>
          <w:tcPr>
            <w:tcW w:w="9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3700" w:type="dxa"/>
            <w:vAlign w:val="bottom"/>
            <w:shd w:val="clear" w:color="auto" w:fill="D6F3E8"/>
          </w:tcPr>
          <w:p>
            <w:pPr>
              <w:ind w:left="80"/>
              <w:spacing w:after="0"/>
              <w:rPr>
                <w:sz w:val="20"/>
                <w:szCs w:val="20"/>
                <w:color w:val="auto"/>
              </w:rPr>
            </w:pPr>
            <w:r>
              <w:rPr>
                <w:rFonts w:ascii="Arial" w:cs="Arial" w:eastAsia="Arial" w:hAnsi="Arial"/>
                <w:sz w:val="18"/>
                <w:szCs w:val="18"/>
                <w:color w:val="auto"/>
              </w:rPr>
              <w:t>U.S. Corporate Securities</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1,855,776</w:t>
            </w:r>
          </w:p>
        </w:tc>
        <w:tc>
          <w:tcPr>
            <w:tcW w:w="5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3,408</w:t>
            </w:r>
          </w:p>
        </w:tc>
        <w:tc>
          <w:tcPr>
            <w:tcW w:w="5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(10,218)</w:t>
            </w:r>
          </w:p>
        </w:tc>
        <w:tc>
          <w:tcPr>
            <w:tcW w:w="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1,848,966</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U.S. Government Agency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757,592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8"/>
                <w:szCs w:val="18"/>
                <w:color w:val="auto"/>
              </w:rPr>
              <w:t>Total Fixed Income Securities</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2,613,368</w:t>
            </w:r>
          </w:p>
        </w:tc>
        <w:tc>
          <w:tcPr>
            <w:tcW w:w="5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6,076</w:t>
            </w:r>
          </w:p>
        </w:tc>
        <w:tc>
          <w:tcPr>
            <w:tcW w:w="5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(14,250)</w:t>
            </w:r>
          </w:p>
        </w:tc>
        <w:tc>
          <w:tcPr>
            <w:tcW w:w="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2,605,194</w:t>
            </w:r>
          </w:p>
        </w:tc>
        <w:tc>
          <w:tcPr>
            <w:tcW w:w="100" w:type="dxa"/>
            <w:vAlign w:val="bottom"/>
            <w:shd w:val="clear" w:color="auto" w:fill="D6F3E8"/>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00" w:type="dxa"/>
            <w:vAlign w:val="bottom"/>
            <w:tcBorders>
              <w:top w:val="single" w:sz="8" w:color="D6F3E8"/>
            </w:tcBorders>
          </w:tcPr>
          <w:p>
            <w:pPr>
              <w:spacing w:after="0" w:line="20" w:lineRule="exact"/>
              <w:rPr>
                <w:sz w:val="1"/>
                <w:szCs w:val="1"/>
                <w:color w:val="auto"/>
              </w:rPr>
            </w:pPr>
          </w:p>
        </w:tc>
        <w:tc>
          <w:tcPr>
            <w:tcW w:w="9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bottom w:val="single" w:sz="8" w:color="D6F3E8"/>
            </w:tcBorders>
          </w:tcPr>
          <w:p>
            <w:pPr>
              <w:spacing w:after="0" w:line="20" w:lineRule="exact"/>
              <w:rPr>
                <w:sz w:val="1"/>
                <w:szCs w:val="1"/>
                <w:color w:val="auto"/>
              </w:rPr>
            </w:pPr>
          </w:p>
        </w:tc>
        <w:tc>
          <w:tcPr>
            <w:tcW w:w="140" w:type="dxa"/>
            <w:vAlign w:val="bottom"/>
            <w:tcBorders>
              <w:top w:val="single" w:sz="8" w:color="D6F3E8"/>
              <w:bottom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April 1, 2007</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Amortized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Fixed Income Securities:</w:t>
            </w:r>
          </w:p>
        </w:tc>
        <w:tc>
          <w:tcPr>
            <w:tcW w:w="9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3700" w:type="dxa"/>
            <w:vAlign w:val="bottom"/>
            <w:shd w:val="clear" w:color="auto" w:fill="D6F3E8"/>
          </w:tcPr>
          <w:p>
            <w:pPr>
              <w:ind w:left="80"/>
              <w:spacing w:after="0"/>
              <w:rPr>
                <w:sz w:val="20"/>
                <w:szCs w:val="20"/>
                <w:color w:val="auto"/>
              </w:rPr>
            </w:pPr>
            <w:r>
              <w:rPr>
                <w:rFonts w:ascii="Arial" w:cs="Arial" w:eastAsia="Arial" w:hAnsi="Arial"/>
                <w:sz w:val="18"/>
                <w:szCs w:val="18"/>
                <w:color w:val="auto"/>
              </w:rPr>
              <w:t>U.S. Corporate Securities</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4,179,295</w:t>
            </w:r>
          </w:p>
        </w:tc>
        <w:tc>
          <w:tcPr>
            <w:tcW w:w="5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(52,014)</w:t>
            </w:r>
          </w:p>
        </w:tc>
        <w:tc>
          <w:tcPr>
            <w:tcW w:w="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4,127,281</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U.S. Government Agency Securities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1,137,085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(29,743)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8"/>
                <w:szCs w:val="18"/>
                <w:color w:val="auto"/>
              </w:rPr>
              <w:t>Total Fixed Income Securities</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5,316,380</w:t>
            </w:r>
          </w:p>
        </w:tc>
        <w:tc>
          <w:tcPr>
            <w:tcW w:w="5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(81,757)</w:t>
            </w:r>
          </w:p>
        </w:tc>
        <w:tc>
          <w:tcPr>
            <w:tcW w:w="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5,234,623</w:t>
            </w:r>
          </w:p>
        </w:tc>
        <w:tc>
          <w:tcPr>
            <w:tcW w:w="100" w:type="dxa"/>
            <w:vAlign w:val="bottom"/>
            <w:shd w:val="clear" w:color="auto" w:fill="D6F3E8"/>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00" w:type="dxa"/>
            <w:vAlign w:val="bottom"/>
            <w:shd w:val="clear" w:color="auto" w:fill="D6F3E8"/>
          </w:tcPr>
          <w:p>
            <w:pPr>
              <w:spacing w:after="0" w:line="20" w:lineRule="exact"/>
              <w:rPr>
                <w:sz w:val="1"/>
                <w:szCs w:val="1"/>
                <w:color w:val="auto"/>
              </w:rPr>
            </w:pPr>
          </w:p>
        </w:tc>
        <w:tc>
          <w:tcPr>
            <w:tcW w:w="98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40" w:type="dxa"/>
            <w:vAlign w:val="bottom"/>
            <w:gridSpan w:val="2"/>
            <w:vMerge w:val="restart"/>
          </w:tcPr>
          <w:p>
            <w:pPr>
              <w:ind w:left="640"/>
              <w:spacing w:after="0"/>
              <w:rPr>
                <w:sz w:val="20"/>
                <w:szCs w:val="20"/>
                <w:color w:val="auto"/>
              </w:rPr>
            </w:pPr>
            <w:r>
              <w:rPr>
                <w:rFonts w:ascii="Arial" w:cs="Arial" w:eastAsia="Arial" w:hAnsi="Arial"/>
                <w:sz w:val="18"/>
                <w:szCs w:val="18"/>
                <w:color w:val="auto"/>
              </w:rPr>
              <w:t>Marketable Equity Securities -</w:t>
            </w: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6F3E8"/>
            </w:tcBorders>
          </w:tcPr>
          <w:p>
            <w:pPr>
              <w:spacing w:after="0" w:line="20" w:lineRule="exact"/>
              <w:rPr>
                <w:sz w:val="1"/>
                <w:szCs w:val="1"/>
                <w:color w:val="auto"/>
              </w:rPr>
            </w:pPr>
          </w:p>
        </w:tc>
        <w:tc>
          <w:tcPr>
            <w:tcW w:w="140" w:type="dxa"/>
            <w:vAlign w:val="bottom"/>
            <w:tcBorders>
              <w:bottom w:val="single" w:sz="8" w:color="D6F3E8"/>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3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Mutual Fund - Short-term Bond Fund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7,488,243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76,489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7,564,732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8"/>
                <w:szCs w:val="18"/>
                <w:color w:val="auto"/>
              </w:rPr>
              <w:t>Total Equity Securities</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7,488,243</w:t>
            </w:r>
          </w:p>
        </w:tc>
        <w:tc>
          <w:tcPr>
            <w:tcW w:w="5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76,489</w:t>
            </w:r>
          </w:p>
        </w:tc>
        <w:tc>
          <w:tcPr>
            <w:tcW w:w="5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7,564,732</w:t>
            </w:r>
          </w:p>
        </w:tc>
        <w:tc>
          <w:tcPr>
            <w:tcW w:w="100" w:type="dxa"/>
            <w:vAlign w:val="bottom"/>
            <w:shd w:val="clear" w:color="auto" w:fill="D6F3E8"/>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00" w:type="dxa"/>
            <w:vAlign w:val="bottom"/>
            <w:tcBorders>
              <w:top w:val="single" w:sz="8" w:color="D6F3E8"/>
            </w:tcBorders>
          </w:tcPr>
          <w:p>
            <w:pPr>
              <w:spacing w:after="0" w:line="20" w:lineRule="exact"/>
              <w:rPr>
                <w:sz w:val="1"/>
                <w:szCs w:val="1"/>
                <w:color w:val="auto"/>
              </w:rPr>
            </w:pPr>
          </w:p>
        </w:tc>
        <w:tc>
          <w:tcPr>
            <w:tcW w:w="9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638"/>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Additionally, as of April 1, 2007, the Company’s available-for-sale investments included investment contracts with highly rated, stable insurance companies of $3,562,073 with fair values that approximate amortized cost. The investment contracts were liquidated during the fiscal year ended March 30, 2008 at amortized cost.</w:t>
      </w:r>
    </w:p>
    <w:p>
      <w:pPr>
        <w:spacing w:after="0" w:line="194"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Proceeds from the sale of investments were $14,069,317, $3,293,320, and $4,822,151 for the fiscal years ended March 30, 2008, April 1, 2007, and April 2, 2006, respectively. During fiscal 2008, the Company sold the mutual fund it held at April 1, 2007 and recorded a gain of $244,764. During the fiscal years ended April 1, 2007 and April 2, 2006, losses of $30,595 and $280,699, respectively were recognized due to declines in market value of the mutual fund that was deemed other than temporary. Realized gains and losses were not material for the fiscal years ended April 1, 2007, and April 2, 2006.</w:t>
      </w:r>
    </w:p>
    <w:p>
      <w:pPr>
        <w:spacing w:after="0" w:line="197" w:lineRule="exact"/>
        <w:rPr>
          <w:sz w:val="20"/>
          <w:szCs w:val="20"/>
          <w:color w:val="auto"/>
        </w:rPr>
      </w:pPr>
    </w:p>
    <w:p>
      <w:pPr>
        <w:ind w:left="660" w:right="680"/>
        <w:spacing w:after="0" w:line="268" w:lineRule="auto"/>
        <w:rPr>
          <w:sz w:val="20"/>
          <w:szCs w:val="20"/>
          <w:color w:val="auto"/>
        </w:rPr>
      </w:pPr>
      <w:r>
        <w:rPr>
          <w:rFonts w:ascii="Arial" w:cs="Arial" w:eastAsia="Arial" w:hAnsi="Arial"/>
          <w:sz w:val="18"/>
          <w:szCs w:val="18"/>
          <w:color w:val="auto"/>
        </w:rPr>
        <w:t>The following table provides the gross unrealized losses and fair value, aggregated by investment category, and the length of time the individual securities have been in a continuous unrealized loss position at March 30, 2008 and April 1, 2007:</w:t>
      </w:r>
    </w:p>
    <w:p>
      <w:pPr>
        <w:spacing w:after="0" w:line="3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March 30, 2008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Equal to or Greater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Than 12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112"/>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357"/>
        </w:trPr>
        <w:tc>
          <w:tcPr>
            <w:tcW w:w="306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D6F3E8"/>
          </w:tcPr>
          <w:p>
            <w:pPr>
              <w:ind w:left="80"/>
              <w:spacing w:after="0"/>
              <w:rPr>
                <w:sz w:val="20"/>
                <w:szCs w:val="20"/>
                <w:color w:val="auto"/>
              </w:rPr>
            </w:pPr>
            <w:r>
              <w:rPr>
                <w:rFonts w:ascii="Arial" w:cs="Arial" w:eastAsia="Arial" w:hAnsi="Arial"/>
                <w:sz w:val="18"/>
                <w:szCs w:val="18"/>
                <w:color w:val="auto"/>
              </w:rPr>
              <w:t>U.S. Corporate Securities</w:t>
            </w:r>
          </w:p>
        </w:tc>
        <w:tc>
          <w:tcPr>
            <w:tcW w:w="1120" w:type="dxa"/>
            <w:vAlign w:val="bottom"/>
            <w:gridSpan w:val="2"/>
            <w:shd w:val="clear" w:color="auto" w:fill="D6F3E8"/>
          </w:tcPr>
          <w:p>
            <w:pPr>
              <w:jc w:val="right"/>
              <w:ind w:right="572"/>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ind w:left="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D6F3E8"/>
          </w:tcPr>
          <w:p>
            <w:pPr>
              <w:jc w:val="right"/>
              <w:ind w:right="652"/>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1,848,966</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(10,218)</w:t>
            </w:r>
          </w:p>
        </w:tc>
        <w:tc>
          <w:tcPr>
            <w:tcW w:w="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1,848,966</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29"/>
        </w:trPr>
        <w:tc>
          <w:tcPr>
            <w:tcW w:w="3060" w:type="dxa"/>
            <w:vAlign w:val="bottom"/>
          </w:tcPr>
          <w:p>
            <w:pPr>
              <w:ind w:left="80"/>
              <w:spacing w:after="0"/>
              <w:rPr>
                <w:sz w:val="20"/>
                <w:szCs w:val="20"/>
                <w:color w:val="auto"/>
              </w:rPr>
            </w:pPr>
            <w:r>
              <w:rPr>
                <w:rFonts w:ascii="Arial" w:cs="Arial" w:eastAsia="Arial" w:hAnsi="Arial"/>
                <w:sz w:val="18"/>
                <w:szCs w:val="18"/>
                <w:color w:val="auto"/>
              </w:rPr>
              <w:t>U.S. Government Agency Securities</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756,228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756,228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143"/>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Total Fixed Income Securities</w:t>
            </w:r>
          </w:p>
        </w:tc>
        <w:tc>
          <w:tcPr>
            <w:tcW w:w="1120" w:type="dxa"/>
            <w:vAlign w:val="bottom"/>
            <w:gridSpan w:val="2"/>
            <w:shd w:val="clear" w:color="auto" w:fill="D6F3E8"/>
          </w:tcPr>
          <w:p>
            <w:pPr>
              <w:jc w:val="right"/>
              <w:ind w:right="572"/>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ind w:left="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D6F3E8"/>
          </w:tcPr>
          <w:p>
            <w:pPr>
              <w:jc w:val="right"/>
              <w:ind w:right="652"/>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2,605,194</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(14,250)</w:t>
            </w:r>
          </w:p>
        </w:tc>
        <w:tc>
          <w:tcPr>
            <w:tcW w:w="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2,605,194</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0"/>
        </w:trPr>
        <w:tc>
          <w:tcPr>
            <w:tcW w:w="306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D6F3E8"/>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9"/>
              </w:rPr>
              <w:t>April 1, 2007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Equal to or Greater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Than 12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112"/>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357"/>
        </w:trPr>
        <w:tc>
          <w:tcPr>
            <w:tcW w:w="306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D6F3E8"/>
          </w:tcPr>
          <w:p>
            <w:pPr>
              <w:ind w:left="80"/>
              <w:spacing w:after="0"/>
              <w:rPr>
                <w:sz w:val="20"/>
                <w:szCs w:val="20"/>
                <w:color w:val="auto"/>
              </w:rPr>
            </w:pPr>
            <w:r>
              <w:rPr>
                <w:rFonts w:ascii="Arial" w:cs="Arial" w:eastAsia="Arial" w:hAnsi="Arial"/>
                <w:sz w:val="18"/>
                <w:szCs w:val="18"/>
                <w:color w:val="auto"/>
              </w:rPr>
              <w:t>U.S. Corporate Securities</w:t>
            </w:r>
          </w:p>
        </w:tc>
        <w:tc>
          <w:tcPr>
            <w:tcW w:w="1120" w:type="dxa"/>
            <w:vAlign w:val="bottom"/>
            <w:gridSpan w:val="2"/>
            <w:shd w:val="clear" w:color="auto" w:fill="D6F3E8"/>
          </w:tcPr>
          <w:p>
            <w:pPr>
              <w:jc w:val="right"/>
              <w:ind w:right="572"/>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ind w:left="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D6F3E8"/>
          </w:tcPr>
          <w:p>
            <w:pPr>
              <w:jc w:val="right"/>
              <w:ind w:right="652"/>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4,127,281</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(52,014)</w:t>
            </w:r>
          </w:p>
        </w:tc>
        <w:tc>
          <w:tcPr>
            <w:tcW w:w="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4,127,281</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(52,014)</w:t>
            </w:r>
          </w:p>
        </w:tc>
        <w:tc>
          <w:tcPr>
            <w:tcW w:w="0" w:type="dxa"/>
            <w:vAlign w:val="bottom"/>
          </w:tcPr>
          <w:p>
            <w:pPr>
              <w:spacing w:after="0"/>
              <w:rPr>
                <w:sz w:val="1"/>
                <w:szCs w:val="1"/>
                <w:color w:val="auto"/>
              </w:rPr>
            </w:pPr>
          </w:p>
        </w:tc>
      </w:tr>
      <w:tr>
        <w:trPr>
          <w:trHeight w:val="229"/>
        </w:trPr>
        <w:tc>
          <w:tcPr>
            <w:tcW w:w="3060" w:type="dxa"/>
            <w:vAlign w:val="bottom"/>
          </w:tcPr>
          <w:p>
            <w:pPr>
              <w:ind w:left="80"/>
              <w:spacing w:after="0"/>
              <w:rPr>
                <w:sz w:val="20"/>
                <w:szCs w:val="20"/>
                <w:color w:val="auto"/>
              </w:rPr>
            </w:pPr>
            <w:r>
              <w:rPr>
                <w:rFonts w:ascii="Arial" w:cs="Arial" w:eastAsia="Arial" w:hAnsi="Arial"/>
                <w:sz w:val="18"/>
                <w:szCs w:val="18"/>
                <w:color w:val="auto"/>
              </w:rPr>
              <w:t>U.S. Government Agency Securities</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1,107,342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(29,743)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1,107,342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(29,743)</w:t>
            </w:r>
          </w:p>
        </w:tc>
        <w:tc>
          <w:tcPr>
            <w:tcW w:w="0" w:type="dxa"/>
            <w:vAlign w:val="bottom"/>
          </w:tcPr>
          <w:p>
            <w:pPr>
              <w:spacing w:after="0"/>
              <w:rPr>
                <w:sz w:val="1"/>
                <w:szCs w:val="1"/>
                <w:color w:val="auto"/>
              </w:rPr>
            </w:pPr>
          </w:p>
        </w:tc>
      </w:tr>
      <w:tr>
        <w:trPr>
          <w:trHeight w:val="143"/>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Total Fixed Income Securities</w:t>
            </w:r>
          </w:p>
        </w:tc>
        <w:tc>
          <w:tcPr>
            <w:tcW w:w="1120" w:type="dxa"/>
            <w:vAlign w:val="bottom"/>
            <w:gridSpan w:val="2"/>
            <w:shd w:val="clear" w:color="auto" w:fill="D6F3E8"/>
          </w:tcPr>
          <w:p>
            <w:pPr>
              <w:jc w:val="right"/>
              <w:ind w:right="572"/>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ind w:left="8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D6F3E8"/>
          </w:tcPr>
          <w:p>
            <w:pPr>
              <w:jc w:val="right"/>
              <w:ind w:right="652"/>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5,234,623</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(81,757)</w:t>
            </w:r>
          </w:p>
        </w:tc>
        <w:tc>
          <w:tcPr>
            <w:tcW w:w="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5,234,623</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(81,757)</w:t>
            </w:r>
          </w:p>
        </w:tc>
        <w:tc>
          <w:tcPr>
            <w:tcW w:w="0" w:type="dxa"/>
            <w:vAlign w:val="bottom"/>
          </w:tcPr>
          <w:p>
            <w:pPr>
              <w:spacing w:after="0"/>
              <w:rPr>
                <w:sz w:val="1"/>
                <w:szCs w:val="1"/>
                <w:color w:val="auto"/>
              </w:rPr>
            </w:pPr>
          </w:p>
        </w:tc>
      </w:tr>
      <w:tr>
        <w:trPr>
          <w:trHeight w:val="20"/>
        </w:trPr>
        <w:tc>
          <w:tcPr>
            <w:tcW w:w="306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D6F3E8"/>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right="280"/>
        <w:spacing w:after="0" w:line="332" w:lineRule="auto"/>
        <w:rPr>
          <w:sz w:val="20"/>
          <w:szCs w:val="20"/>
          <w:color w:val="auto"/>
        </w:rPr>
      </w:pPr>
      <w:r>
        <w:rPr>
          <w:rFonts w:ascii="Arial" w:cs="Arial" w:eastAsia="Arial" w:hAnsi="Arial"/>
          <w:sz w:val="16"/>
          <w:szCs w:val="16"/>
          <w:color w:val="auto"/>
        </w:rPr>
        <w:t>There were 14 and 36 investments in an unrealized loss position as of March 30, 2008 and April 1, 2007, respectively. The Company believes that the unrealized losses in the investment portfolio are primarily the result of changes in market interest rates and not from the deterioration in the</w:t>
      </w:r>
    </w:p>
    <w:p>
      <w:pPr>
        <w:sectPr>
          <w:pgSz w:w="11900" w:h="16966" w:orient="portrait"/>
          <w:cols w:equalWidth="0" w:num="1">
            <w:col w:w="11460"/>
          </w:cols>
          <w:pgMar w:left="240" w:top="145" w:right="199" w:bottom="0" w:gutter="0" w:footer="0" w:header="0"/>
        </w:sectPr>
      </w:pPr>
    </w:p>
    <w:bookmarkStart w:id="19" w:name="page20"/>
    <w:bookmarkEnd w:id="19"/>
    <w:p>
      <w:pPr>
        <w:spacing w:after="0" w:line="1" w:lineRule="exact"/>
        <w:rPr>
          <w:sz w:val="20"/>
          <w:szCs w:val="20"/>
          <w:color w:val="auto"/>
        </w:rPr>
      </w:pPr>
    </w:p>
    <w:p>
      <w:pPr>
        <w:ind w:left="652" w:right="140"/>
        <w:spacing w:after="0" w:line="256" w:lineRule="auto"/>
        <w:rPr>
          <w:sz w:val="20"/>
          <w:szCs w:val="20"/>
          <w:color w:val="auto"/>
        </w:rPr>
      </w:pPr>
      <w:r>
        <w:rPr>
          <w:rFonts w:ascii="Arial" w:cs="Arial" w:eastAsia="Arial" w:hAnsi="Arial"/>
          <w:sz w:val="18"/>
          <w:szCs w:val="18"/>
          <w:color w:val="auto"/>
        </w:rPr>
        <w:t>creditworthiness of the issuer. The majority of the investments have contractual terms, which do not permit the issuer to settle the securities at a price less than the amortized cost of the investment. The U.S. Government agency securities are guaranteed by an agency of the U.S. Government. The Company has the ability and intent to hold these investments until a recovery of fair value. The Company does not consider these investments to be other-than-temporarily impaired.</w:t>
      </w:r>
    </w:p>
    <w:p>
      <w:pPr>
        <w:spacing w:after="0" w:line="19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Inventories at March 30, 2008 and April 1, 2007 consisted of the following:</w:t>
      </w:r>
    </w:p>
    <w:p>
      <w:pPr>
        <w:spacing w:after="0" w:line="221"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3000" w:type="dxa"/>
            <w:vAlign w:val="bottom"/>
            <w:gridSpan w:val="2"/>
            <w:shd w:val="clear" w:color="auto" w:fill="D6F3E8"/>
          </w:tcPr>
          <w:p>
            <w:pPr>
              <w:jc w:val="right"/>
              <w:ind w:right="163"/>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18,512,697</w:t>
            </w:r>
          </w:p>
        </w:tc>
        <w:tc>
          <w:tcPr>
            <w:tcW w:w="240" w:type="dxa"/>
            <w:vAlign w:val="bottom"/>
            <w:shd w:val="clear" w:color="auto" w:fill="D6F3E8"/>
          </w:tcPr>
          <w:p>
            <w:pPr>
              <w:spacing w:after="0"/>
              <w:rPr>
                <w:sz w:val="18"/>
                <w:szCs w:val="18"/>
                <w:color w:val="auto"/>
              </w:rPr>
            </w:pPr>
          </w:p>
        </w:tc>
        <w:tc>
          <w:tcPr>
            <w:tcW w:w="500" w:type="dxa"/>
            <w:vAlign w:val="bottom"/>
            <w:gridSpan w:val="2"/>
            <w:shd w:val="clear" w:color="auto" w:fill="D6F3E8"/>
          </w:tcPr>
          <w:p>
            <w:pPr>
              <w:jc w:val="right"/>
              <w:ind w:right="163"/>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15,956,438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2"/>
          </w:tcPr>
          <w:p>
            <w:pPr>
              <w:spacing w:after="0"/>
              <w:rPr>
                <w:sz w:val="20"/>
                <w:szCs w:val="20"/>
                <w:color w:val="auto"/>
              </w:rPr>
            </w:pPr>
            <w:r>
              <w:rPr>
                <w:rFonts w:ascii="Arial" w:cs="Arial" w:eastAsia="Arial" w:hAnsi="Arial"/>
                <w:sz w:val="18"/>
                <w:szCs w:val="18"/>
                <w:color w:val="auto"/>
              </w:rPr>
              <w:t>LIFO reserve</w:t>
            </w: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(4,501,745)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(3,170,090)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268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auto"/>
              <w:bottom w:val="single" w:sz="8" w:color="auto"/>
            </w:tcBorders>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14,010,952</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auto"/>
              <w:bottom w:val="single" w:sz="8" w:color="auto"/>
            </w:tcBorders>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12,786,348</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-170815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-170815</wp:posOffset>
            </wp:positionV>
            <wp:extent cx="2660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88" w:lineRule="exact"/>
        <w:rPr>
          <w:sz w:val="20"/>
          <w:szCs w:val="20"/>
          <w:color w:val="auto"/>
        </w:rPr>
      </w:pPr>
    </w:p>
    <w:p>
      <w:pPr>
        <w:ind w:left="652"/>
        <w:spacing w:after="0" w:line="268" w:lineRule="auto"/>
        <w:rPr>
          <w:sz w:val="20"/>
          <w:szCs w:val="20"/>
          <w:color w:val="auto"/>
        </w:rPr>
      </w:pPr>
      <w:r>
        <w:rPr>
          <w:rFonts w:ascii="Arial" w:cs="Arial" w:eastAsia="Arial" w:hAnsi="Arial"/>
          <w:sz w:val="18"/>
          <w:szCs w:val="18"/>
          <w:color w:val="auto"/>
        </w:rPr>
        <w:t>Inventories valued under the LIFO method at March 30, 2008 and April 1, 2007 were $16,181,515 and $13,802,711, respectively, on a FIFO basis. The balance of the inventory was valued under the FIFO method.</w:t>
      </w:r>
    </w:p>
    <w:p>
      <w:pPr>
        <w:spacing w:after="0" w:line="186" w:lineRule="exact"/>
        <w:rPr>
          <w:sz w:val="20"/>
          <w:szCs w:val="20"/>
          <w:color w:val="auto"/>
        </w:rPr>
      </w:pPr>
    </w:p>
    <w:p>
      <w:pPr>
        <w:ind w:left="652" w:right="80"/>
        <w:spacing w:after="0" w:line="259" w:lineRule="auto"/>
        <w:rPr>
          <w:sz w:val="20"/>
          <w:szCs w:val="20"/>
          <w:color w:val="auto"/>
        </w:rPr>
      </w:pPr>
      <w:r>
        <w:rPr>
          <w:rFonts w:ascii="Arial" w:cs="Arial" w:eastAsia="Arial" w:hAnsi="Arial"/>
          <w:sz w:val="18"/>
          <w:szCs w:val="18"/>
          <w:color w:val="auto"/>
        </w:rPr>
        <w:t>In fiscal 2008 the LIFO reserve increased by $1,331,655 due to an increase in inventory costs and changes in inventory product mix. During the fiscal year ended April 2, 2006, the Company liquidated certain LIFO inventory layers that were at lower costs than current costs, however the liquidation impact on cost of sales was not material.</w:t>
      </w:r>
    </w:p>
    <w:p>
      <w:pPr>
        <w:spacing w:after="0" w:line="188"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3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color w:val="auto"/>
        </w:rPr>
        <w:t>The changes in the carrying amount of goodwill for the year ended March 30, 2008 is within the Industrial Segment and was as follows:</w:t>
      </w:r>
    </w:p>
    <w:p>
      <w:pPr>
        <w:spacing w:after="0" w:line="244"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April 1, 2007</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Trumark Acquisition</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2008</w:t>
            </w:r>
          </w:p>
        </w:tc>
      </w:tr>
      <w:tr>
        <w:trPr>
          <w:trHeight w:val="210"/>
        </w:trPr>
        <w:tc>
          <w:tcPr>
            <w:tcW w:w="552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Goodwill</w:t>
            </w:r>
          </w:p>
        </w:tc>
        <w:tc>
          <w:tcPr>
            <w:tcW w:w="1140" w:type="dxa"/>
            <w:vAlign w:val="bottom"/>
            <w:tcBorders>
              <w:top w:val="single" w:sz="8" w:color="auto"/>
            </w:tcBorders>
            <w:shd w:val="clear" w:color="auto" w:fill="D6F3E8"/>
          </w:tcPr>
          <w:p>
            <w:pPr>
              <w:jc w:val="right"/>
              <w:ind w:right="98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D6F3E8"/>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auto"/>
            </w:tcBorders>
            <w:shd w:val="clear" w:color="auto" w:fill="D6F3E8"/>
          </w:tcPr>
          <w:p>
            <w:pPr>
              <w:jc w:val="right"/>
              <w:ind w:right="20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1,203,590</w:t>
            </w:r>
          </w:p>
        </w:tc>
        <w:tc>
          <w:tcPr>
            <w:tcW w:w="4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1,203,590</w:t>
            </w:r>
          </w:p>
        </w:tc>
        <w:tc>
          <w:tcPr>
            <w:tcW w:w="100" w:type="dxa"/>
            <w:vAlign w:val="bottom"/>
            <w:tcBorders>
              <w:top w:val="single" w:sz="8" w:color="D6F3E8"/>
            </w:tcBorders>
            <w:shd w:val="clear" w:color="auto" w:fill="D6F3E8"/>
          </w:tcPr>
          <w:p>
            <w:pPr>
              <w:spacing w:after="0"/>
              <w:rPr>
                <w:sz w:val="18"/>
                <w:szCs w:val="18"/>
                <w:color w:val="auto"/>
              </w:rPr>
            </w:pPr>
          </w:p>
        </w:tc>
      </w:tr>
    </w:tbl>
    <w:p>
      <w:pPr>
        <w:spacing w:after="0" w:line="235" w:lineRule="exact"/>
        <w:rPr>
          <w:sz w:val="20"/>
          <w:szCs w:val="20"/>
          <w:color w:val="auto"/>
        </w:rPr>
      </w:pPr>
    </w:p>
    <w:p>
      <w:pPr>
        <w:ind w:left="652" w:right="360"/>
        <w:spacing w:after="0" w:line="268" w:lineRule="auto"/>
        <w:rPr>
          <w:sz w:val="20"/>
          <w:szCs w:val="20"/>
          <w:color w:val="auto"/>
        </w:rPr>
      </w:pPr>
      <w:r>
        <w:rPr>
          <w:rFonts w:ascii="Arial" w:cs="Arial" w:eastAsia="Arial" w:hAnsi="Arial"/>
          <w:sz w:val="18"/>
          <w:szCs w:val="18"/>
          <w:color w:val="auto"/>
        </w:rPr>
        <w:t>Intangible assets consist primarily of customer lists, trademarks, and trade names in current and previous business acquisitions. A summary of our intangible assets for March 30, 2008 and April 1, 2007 were as follows:</w:t>
      </w:r>
    </w:p>
    <w:p>
      <w:pPr>
        <w:spacing w:after="0" w:line="182"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Amortization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82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920" w:type="dxa"/>
            <w:vAlign w:val="bottom"/>
            <w:gridSpan w:val="3"/>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6,565,033</w:t>
            </w:r>
          </w:p>
        </w:tc>
        <w:tc>
          <w:tcPr>
            <w:tcW w:w="4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D6F3E8"/>
          </w:tcPr>
          <w:p>
            <w:pPr>
              <w:jc w:val="right"/>
              <w:ind w:right="180"/>
              <w:spacing w:after="0"/>
              <w:rPr>
                <w:sz w:val="20"/>
                <w:szCs w:val="20"/>
                <w:color w:val="auto"/>
              </w:rPr>
            </w:pPr>
            <w:r>
              <w:rPr>
                <w:rFonts w:ascii="Arial" w:cs="Arial" w:eastAsia="Arial" w:hAnsi="Arial"/>
                <w:sz w:val="18"/>
                <w:szCs w:val="18"/>
                <w:color w:val="auto"/>
              </w:rPr>
              <w:t>(2,088,667)</w:t>
            </w:r>
          </w:p>
        </w:tc>
        <w:tc>
          <w:tcPr>
            <w:tcW w:w="500" w:type="dxa"/>
            <w:vAlign w:val="bottom"/>
            <w:gridSpan w:val="3"/>
            <w:shd w:val="clear" w:color="auto" w:fill="D6F3E8"/>
          </w:tcPr>
          <w:p>
            <w:pPr>
              <w:jc w:val="right"/>
              <w:ind w:right="163"/>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4,476,366</w:t>
            </w:r>
          </w:p>
        </w:tc>
        <w:tc>
          <w:tcPr>
            <w:tcW w:w="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Indefinite-life intangible assets</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1,227,000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1,227,000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66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7,792,033</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(2,088,667)</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auto"/>
              <w:bottom w:val="single" w:sz="8" w:color="auto"/>
            </w:tcBorders>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5,703,366</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6F3E8"/>
            </w:tcBorders>
          </w:tcPr>
          <w:p>
            <w:pPr>
              <w:spacing w:after="0" w:line="20" w:lineRule="exact"/>
              <w:rPr>
                <w:sz w:val="1"/>
                <w:szCs w:val="1"/>
                <w:color w:val="auto"/>
              </w:rPr>
            </w:pPr>
          </w:p>
        </w:tc>
        <w:tc>
          <w:tcPr>
            <w:tcW w:w="160" w:type="dxa"/>
            <w:vAlign w:val="bottom"/>
            <w:tcBorders>
              <w:bottom w:val="single" w:sz="8" w:color="D6F3E8"/>
            </w:tcBorders>
          </w:tcPr>
          <w:p>
            <w:pPr>
              <w:spacing w:after="0" w:line="20" w:lineRule="exact"/>
              <w:rPr>
                <w:sz w:val="1"/>
                <w:szCs w:val="1"/>
                <w:color w:val="auto"/>
              </w:rPr>
            </w:pPr>
          </w:p>
        </w:tc>
        <w:tc>
          <w:tcPr>
            <w:tcW w:w="20" w:type="dxa"/>
            <w:vAlign w:val="bottom"/>
            <w:tcBorders>
              <w:bottom w:val="single" w:sz="8" w:color="D6F3E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Amortization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920" w:type="dxa"/>
            <w:vAlign w:val="bottom"/>
            <w:gridSpan w:val="3"/>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3,483,033</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400" w:type="dxa"/>
            <w:vAlign w:val="bottom"/>
            <w:gridSpan w:val="3"/>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(1,643,308)</w:t>
            </w:r>
          </w:p>
        </w:tc>
        <w:tc>
          <w:tcPr>
            <w:tcW w:w="500" w:type="dxa"/>
            <w:vAlign w:val="bottom"/>
            <w:gridSpan w:val="3"/>
            <w:shd w:val="clear" w:color="auto" w:fill="D6F3E8"/>
          </w:tcPr>
          <w:p>
            <w:pPr>
              <w:jc w:val="right"/>
              <w:ind w:right="183"/>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1,839,725</w:t>
            </w: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3"/>
          </w:tcPr>
          <w:p>
            <w:pPr>
              <w:spacing w:after="0"/>
              <w:rPr>
                <w:sz w:val="20"/>
                <w:szCs w:val="20"/>
                <w:color w:val="auto"/>
              </w:rPr>
            </w:pPr>
            <w:r>
              <w:rPr>
                <w:rFonts w:ascii="Arial" w:cs="Arial" w:eastAsia="Arial" w:hAnsi="Arial"/>
                <w:sz w:val="18"/>
                <w:szCs w:val="18"/>
                <w:color w:val="auto"/>
              </w:rPr>
              <w:t>Indefinite-life intangible assets</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Borders>
              <w:top w:val="single" w:sz="8" w:color="D6F3E8"/>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66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gridSpan w:val="2"/>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3,483,033</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gridSpan w:val="2"/>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(1,643,308)</w:t>
            </w:r>
          </w:p>
        </w:tc>
        <w:tc>
          <w:tcPr>
            <w:tcW w:w="260" w:type="dxa"/>
            <w:vAlign w:val="bottom"/>
            <w:tcBorders>
              <w:top w:val="single" w:sz="8" w:color="D6F3E8"/>
              <w:bottom w:val="single" w:sz="8" w:color="D6F3E8"/>
            </w:tcBorders>
            <w:gridSpan w:val="2"/>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gridSpan w:val="2"/>
            <w:shd w:val="clear" w:color="auto" w:fill="D6F3E8"/>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1,839,725</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6F3E8"/>
            </w:tcBorders>
          </w:tcPr>
          <w:p>
            <w:pPr>
              <w:spacing w:after="0" w:line="20" w:lineRule="exact"/>
              <w:rPr>
                <w:sz w:val="1"/>
                <w:szCs w:val="1"/>
                <w:color w:val="auto"/>
              </w:rPr>
            </w:pPr>
          </w:p>
        </w:tc>
        <w:tc>
          <w:tcPr>
            <w:tcW w:w="240" w:type="dxa"/>
            <w:vAlign w:val="bottom"/>
            <w:tcBorders>
              <w:bottom w:val="single" w:sz="8" w:color="D6F3E8"/>
            </w:tcBorders>
          </w:tcPr>
          <w:p>
            <w:pPr>
              <w:spacing w:after="0" w:line="20" w:lineRule="exact"/>
              <w:rPr>
                <w:sz w:val="1"/>
                <w:szCs w:val="1"/>
                <w:color w:val="auto"/>
              </w:rPr>
            </w:pPr>
          </w:p>
        </w:tc>
        <w:tc>
          <w:tcPr>
            <w:tcW w:w="160" w:type="dxa"/>
            <w:vAlign w:val="bottom"/>
            <w:tcBorders>
              <w:bottom w:val="single" w:sz="8" w:color="D6F3E8"/>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52" w:right="40"/>
        <w:spacing w:after="0" w:line="268" w:lineRule="auto"/>
        <w:rPr>
          <w:sz w:val="20"/>
          <w:szCs w:val="20"/>
          <w:color w:val="auto"/>
        </w:rPr>
      </w:pPr>
      <w:r>
        <w:rPr>
          <w:rFonts w:ascii="Arial" w:cs="Arial" w:eastAsia="Arial" w:hAnsi="Arial"/>
          <w:sz w:val="18"/>
          <w:szCs w:val="18"/>
          <w:color w:val="auto"/>
        </w:rPr>
        <w:t>Intangible asset amortization expense was $445,359 during the fiscal year ended March 30, 2008, $224,817 during the fiscal year ended April 1, 2007, and $251,788 during the fiscal year ended April 2, 2006.</w:t>
      </w:r>
    </w:p>
    <w:p>
      <w:pPr>
        <w:spacing w:after="0" w:line="18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D6F3E8"/>
          </w:tcPr>
          <w:p>
            <w:pPr>
              <w:spacing w:after="0"/>
              <w:rPr>
                <w:sz w:val="20"/>
                <w:szCs w:val="20"/>
                <w:color w:val="auto"/>
              </w:rPr>
            </w:pPr>
            <w:r>
              <w:rPr>
                <w:rFonts w:ascii="Arial" w:cs="Arial" w:eastAsia="Arial" w:hAnsi="Arial"/>
                <w:sz w:val="18"/>
                <w:szCs w:val="18"/>
                <w:color w:val="auto"/>
              </w:rPr>
              <w:t>Estimated amortization expense</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22"/>
              <w:spacing w:after="0"/>
              <w:rPr>
                <w:sz w:val="20"/>
                <w:szCs w:val="20"/>
                <w:color w:val="auto"/>
              </w:rPr>
            </w:pPr>
            <w:r>
              <w:rPr>
                <w:rFonts w:ascii="Arial" w:cs="Arial" w:eastAsia="Arial" w:hAnsi="Arial"/>
                <w:sz w:val="18"/>
                <w:szCs w:val="18"/>
                <w:color w:val="auto"/>
              </w:rPr>
              <w:t>467,000</w:t>
            </w:r>
          </w:p>
        </w:tc>
        <w:tc>
          <w:tcPr>
            <w:tcW w:w="3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ind w:right="42"/>
              <w:spacing w:after="0"/>
              <w:rPr>
                <w:sz w:val="20"/>
                <w:szCs w:val="20"/>
                <w:color w:val="auto"/>
              </w:rPr>
            </w:pPr>
            <w:r>
              <w:rPr>
                <w:rFonts w:ascii="Arial" w:cs="Arial" w:eastAsia="Arial" w:hAnsi="Arial"/>
                <w:sz w:val="18"/>
                <w:szCs w:val="18"/>
                <w:color w:val="auto"/>
              </w:rPr>
              <w:t>462,000</w:t>
            </w:r>
          </w:p>
        </w:tc>
        <w:tc>
          <w:tcPr>
            <w:tcW w:w="3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ind w:right="42"/>
              <w:spacing w:after="0"/>
              <w:rPr>
                <w:sz w:val="20"/>
                <w:szCs w:val="20"/>
                <w:color w:val="auto"/>
              </w:rPr>
            </w:pPr>
            <w:r>
              <w:rPr>
                <w:rFonts w:ascii="Arial" w:cs="Arial" w:eastAsia="Arial" w:hAnsi="Arial"/>
                <w:sz w:val="18"/>
                <w:szCs w:val="18"/>
                <w:color w:val="auto"/>
              </w:rPr>
              <w:t>462,000</w:t>
            </w:r>
          </w:p>
        </w:tc>
        <w:tc>
          <w:tcPr>
            <w:tcW w:w="3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ind w:right="42"/>
              <w:spacing w:after="0"/>
              <w:rPr>
                <w:sz w:val="20"/>
                <w:szCs w:val="20"/>
                <w:color w:val="auto"/>
              </w:rPr>
            </w:pPr>
            <w:r>
              <w:rPr>
                <w:rFonts w:ascii="Arial" w:cs="Arial" w:eastAsia="Arial" w:hAnsi="Arial"/>
                <w:sz w:val="18"/>
                <w:szCs w:val="18"/>
                <w:color w:val="auto"/>
              </w:rPr>
              <w:t>462,000</w:t>
            </w:r>
          </w:p>
        </w:tc>
        <w:tc>
          <w:tcPr>
            <w:tcW w:w="3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31" w:lineRule="exact"/>
        <w:rPr>
          <w:rFonts w:ascii="Arial" w:cs="Arial" w:eastAsia="Arial" w:hAnsi="Arial"/>
          <w:sz w:val="18"/>
          <w:szCs w:val="18"/>
          <w:b w:val="1"/>
          <w:bCs w:val="1"/>
          <w:color w:val="auto"/>
        </w:rPr>
      </w:pPr>
    </w:p>
    <w:p>
      <w:pPr>
        <w:ind w:left="652"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had three notes receivable related to the sales of Tessman Seed, Inc., certain land and a building, and The Lynde Company. In February 2007, the notes were paid in full in the amount of approximately $2.3 million. The interest rate on the notes receivable was 8%. Due to differences between the amount realized on the repayment and the carrying value of the notes receivable, the Company recorded interest income of approximately $300,000 during the fourth quarter of fiscal 2007.</w:t>
      </w:r>
    </w:p>
    <w:p>
      <w:pPr>
        <w:spacing w:after="0" w:line="19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2" w:hanging="652"/>
        <w:spacing w:after="0"/>
        <w:tabs>
          <w:tab w:leader="none" w:pos="6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Comprehensive income and its components, net of tax, were as follows:</w:t>
      </w:r>
    </w:p>
    <w:p>
      <w:pPr>
        <w:sectPr>
          <w:pgSz w:w="11900" w:h="16839" w:orient="portrait"/>
          <w:cols w:equalWidth="0" w:num="1">
            <w:col w:w="11272"/>
          </w:cols>
          <w:pgMar w:left="248" w:top="131" w:right="379" w:bottom="0" w:gutter="0" w:footer="0" w:header="0"/>
        </w:sectPr>
      </w:pPr>
    </w:p>
    <w:bookmarkStart w:id="20" w:name="page21"/>
    <w:bookmarkEnd w:id="20"/>
    <w:tbl>
      <w:tblPr>
        <w:tblLayout w:type="fixed"/>
        <w:tblInd w:w="6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9,110,009</w:t>
            </w:r>
          </w:p>
        </w:tc>
        <w:tc>
          <w:tcPr>
            <w:tcW w:w="440" w:type="dxa"/>
            <w:vAlign w:val="bottom"/>
            <w:gridSpan w:val="2"/>
            <w:shd w:val="clear" w:color="auto" w:fill="D6F3E8"/>
          </w:tcPr>
          <w:p>
            <w:pPr>
              <w:jc w:val="right"/>
              <w:ind w:right="143"/>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8,068,883</w:t>
            </w:r>
          </w:p>
        </w:tc>
        <w:tc>
          <w:tcPr>
            <w:tcW w:w="32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8,886,153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Available-for-sale investments unrealized gain/(loss)**</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122,486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D6F3E8"/>
          </w:tcPr>
          <w:p>
            <w:pPr>
              <w:spacing w:after="0"/>
              <w:rPr>
                <w:sz w:val="20"/>
                <w:szCs w:val="20"/>
                <w:color w:val="auto"/>
              </w:rPr>
            </w:pPr>
            <w:r>
              <w:rPr>
                <w:rFonts w:ascii="Arial" w:cs="Arial" w:eastAsia="Arial" w:hAnsi="Arial"/>
                <w:sz w:val="18"/>
                <w:szCs w:val="18"/>
                <w:color w:val="auto"/>
              </w:rPr>
              <w:t>Post-retirement plan liability unrealized gain/(loss)</w:t>
            </w:r>
          </w:p>
        </w:tc>
        <w:tc>
          <w:tcPr>
            <w:tcW w:w="30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6,002</w:t>
            </w:r>
          </w:p>
        </w:tc>
        <w:tc>
          <w:tcPr>
            <w:tcW w:w="2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(10,337)</w:t>
            </w:r>
          </w:p>
        </w:tc>
        <w:tc>
          <w:tcPr>
            <w:tcW w:w="320" w:type="dxa"/>
            <w:vAlign w:val="bottom"/>
            <w:shd w:val="clear" w:color="auto" w:fill="D6F3E8"/>
          </w:tcPr>
          <w:p>
            <w:pPr>
              <w:spacing w:after="0"/>
              <w:rPr>
                <w:sz w:val="19"/>
                <w:szCs w:val="19"/>
                <w:color w:val="auto"/>
              </w:rPr>
            </w:pPr>
          </w:p>
        </w:tc>
        <w:tc>
          <w:tcPr>
            <w:tcW w:w="112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9,114,293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8,181,032</w:t>
            </w:r>
          </w:p>
        </w:tc>
        <w:tc>
          <w:tcPr>
            <w:tcW w:w="320" w:type="dxa"/>
            <w:vAlign w:val="bottom"/>
            <w:tcBorders>
              <w:top w:val="single" w:sz="8" w:color="D6F3E8"/>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8,956,430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2008 amount contains a reclassification adjustment for investment gains included in net income of $46,658, net of tax.</w:t>
      </w:r>
    </w:p>
    <w:p>
      <w:pPr>
        <w:spacing w:after="0" w:line="1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2006 amount includes a reclassification adjustment for investment losses included in net income of $93,914, net of tax.</w:t>
      </w:r>
    </w:p>
    <w:p>
      <w:pPr>
        <w:spacing w:after="0" w:line="213"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STOCK OWNERSHIP PLANS</w:t>
      </w:r>
    </w:p>
    <w:p>
      <w:pPr>
        <w:spacing w:after="0" w:line="231" w:lineRule="exact"/>
        <w:rPr>
          <w:rFonts w:ascii="Arial" w:cs="Arial" w:eastAsia="Arial" w:hAnsi="Arial"/>
          <w:sz w:val="18"/>
          <w:szCs w:val="18"/>
          <w:b w:val="1"/>
          <w:bCs w:val="1"/>
          <w:color w:val="auto"/>
        </w:rPr>
      </w:pPr>
    </w:p>
    <w:p>
      <w:pPr>
        <w:ind w:left="652"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a defined contribution pension plan covering substantially all of its non-bargaining employees. Pension expense for the fiscal years ended March 30, 2008, April 1, 2007, and April 2, 2006, was $2,389,373, $2,178,875, and $1,937,499, respectively. Contributions are made at the discretion of the Board of Directors subject to a maximum amount allowed under the Internal Revenue Code. The Company’s cost for the pension plan was determined as 15% of each employee’s covered compensation in the fiscal years ended March 30, 2008, April 1, 2007, and April 2, 2006. Amounts charged to pension expense and contributed to union multi-employer pension plans (not included in the above amounts) were not material. It is the Company’s policy to fund all pension costs accrued.</w:t>
      </w:r>
    </w:p>
    <w:p>
      <w:pPr>
        <w:spacing w:after="0" w:line="174" w:lineRule="exact"/>
        <w:rPr>
          <w:rFonts w:ascii="Arial" w:cs="Arial" w:eastAsia="Arial" w:hAnsi="Arial"/>
          <w:sz w:val="18"/>
          <w:szCs w:val="18"/>
          <w:b w:val="1"/>
          <w:bCs w:val="1"/>
          <w:color w:val="auto"/>
        </w:rPr>
      </w:pPr>
    </w:p>
    <w:p>
      <w:pPr>
        <w:jc w:val="both"/>
        <w:ind w:left="652"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an employee stock ownership plan (ESOP) covering substantially all of its non-bargaining employees. Contributions are made at the discretion of the Board of Directors subject to a maximum amount allowed under the Internal Revenue Code. ESOP expense for the fiscal years ended March 30, 2008, April 1, 2007, and April 2, 2006, was $790,546, $726,292, and $613,274, respectively.</w:t>
      </w:r>
    </w:p>
    <w:p>
      <w:pPr>
        <w:spacing w:after="0" w:line="160" w:lineRule="exact"/>
        <w:rPr>
          <w:rFonts w:ascii="Arial" w:cs="Arial" w:eastAsia="Arial" w:hAnsi="Arial"/>
          <w:sz w:val="18"/>
          <w:szCs w:val="18"/>
          <w:b w:val="1"/>
          <w:bCs w:val="1"/>
          <w:color w:val="auto"/>
        </w:rPr>
      </w:pPr>
    </w:p>
    <w:p>
      <w:pPr>
        <w:ind w:left="6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an employee stock purchase plan covering substantially all of its employees. A Company contribution of 75% of each employee’s contribution, up to a maximum of $375 per month, is made on a monthly basis. Contributions for the fiscal years ended March 30, 2008, April 1, 2007, and April 2, 2006, were $607,671, $573,380, and $525,874, respectively.</w:t>
      </w:r>
    </w:p>
    <w:p>
      <w:pPr>
        <w:spacing w:after="0" w:line="194" w:lineRule="exact"/>
        <w:rPr>
          <w:rFonts w:ascii="Arial" w:cs="Arial" w:eastAsia="Arial" w:hAnsi="Arial"/>
          <w:sz w:val="18"/>
          <w:szCs w:val="18"/>
          <w:b w:val="1"/>
          <w:bCs w:val="1"/>
          <w:color w:val="auto"/>
        </w:rPr>
      </w:pPr>
    </w:p>
    <w:p>
      <w:pPr>
        <w:ind w:left="652"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December 15, 2006, the Company issued 45,257 shares of restricted stock to certain employees of the Company. The restricted stock awards are recorded as compensation expense over the requisite vesting period, which is one year of service, based on the market value on the date of grant. The grant date fair value on December 15, 2006 was $14.09. The shares became fully vested on December 15, 2007. Restricted stock expense related to this grant for the fiscal years ended March 30, 2008 and April 1, 2007 was approximately $450,000 and $186,000, respectively.</w:t>
      </w:r>
    </w:p>
    <w:p>
      <w:pPr>
        <w:spacing w:after="0" w:line="166" w:lineRule="exact"/>
        <w:rPr>
          <w:rFonts w:ascii="Arial" w:cs="Arial" w:eastAsia="Arial" w:hAnsi="Arial"/>
          <w:sz w:val="18"/>
          <w:szCs w:val="18"/>
          <w:b w:val="1"/>
          <w:bCs w:val="1"/>
          <w:color w:val="auto"/>
        </w:rPr>
      </w:pPr>
    </w:p>
    <w:p>
      <w:pPr>
        <w:ind w:left="652"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September 18, 2007, the Company issued 7,000 shares of restricted stock to the Board of Directors as part of their annual retainer for their Board services. The restricted stock awards are expensed over the requisite vesting period, which is one year of service, based on the market value on the date of grant. The grant date fair value on September 18, 2007 was $14.48. For the fiscal year ended March 30, 2008, there was approximately $60,000 of compensation expense recorded for this award.</w:t>
      </w:r>
    </w:p>
    <w:p>
      <w:pPr>
        <w:spacing w:after="0" w:line="197" w:lineRule="exact"/>
        <w:rPr>
          <w:rFonts w:ascii="Arial" w:cs="Arial" w:eastAsia="Arial" w:hAnsi="Arial"/>
          <w:sz w:val="18"/>
          <w:szCs w:val="18"/>
          <w:b w:val="1"/>
          <w:bCs w:val="1"/>
          <w:color w:val="auto"/>
        </w:rPr>
      </w:pPr>
    </w:p>
    <w:p>
      <w:pPr>
        <w:ind w:left="65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April 3, 2005, the Company issued 40,653 shares of restricted stock to certain employees of the Company. The restricted stock awards were recorded as compensation expense over the requisite vesting periods based on the market value on the date of grant. Restricted stock expense for the fiscal year ended April 2, 2006 was $198,702.</w:t>
      </w:r>
    </w:p>
    <w:p>
      <w:pPr>
        <w:spacing w:after="0" w:line="194"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currently offer any other significant post-retirement or post-employment benefits.</w:t>
      </w:r>
    </w:p>
    <w:p>
      <w:pPr>
        <w:spacing w:after="0" w:line="219" w:lineRule="exact"/>
        <w:rPr>
          <w:rFonts w:ascii="Arial" w:cs="Arial" w:eastAsia="Arial" w:hAnsi="Arial"/>
          <w:sz w:val="18"/>
          <w:szCs w:val="18"/>
          <w:b w:val="1"/>
          <w:bCs w:val="1"/>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652"/>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The Company has various operating leases for trucks and land and buildings on which some of its operations are located. Future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payments due under operating leases with an initial term of one year or more at March 30, 2008 are $421,127 in 2009, $309,238 in 2010, $228,023 in 2011, $187,023 in 2012, $187,023 in 2013, and $2,504,135 thereafter. Total rental expense for the fiscal years ended March 30, 2008, April 1, 2007, and April 2, 2006 were as follows:</w:t>
      </w:r>
    </w:p>
    <w:p>
      <w:pPr>
        <w:spacing w:after="0" w:line="1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D6F3E8"/>
          </w:tcPr>
          <w:p>
            <w:pPr>
              <w:spacing w:after="0"/>
              <w:rPr>
                <w:sz w:val="20"/>
                <w:szCs w:val="20"/>
                <w:color w:val="auto"/>
              </w:rPr>
            </w:pPr>
            <w:r>
              <w:rPr>
                <w:rFonts w:ascii="Arial" w:cs="Arial" w:eastAsia="Arial" w:hAnsi="Arial"/>
                <w:sz w:val="18"/>
                <w:szCs w:val="18"/>
                <w:color w:val="auto"/>
              </w:rPr>
              <w:t>Minimum rentals</w:t>
            </w:r>
          </w:p>
        </w:tc>
        <w:tc>
          <w:tcPr>
            <w:tcW w:w="274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401,998</w:t>
            </w:r>
          </w:p>
        </w:tc>
        <w:tc>
          <w:tcPr>
            <w:tcW w:w="58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284,862</w:t>
            </w:r>
          </w:p>
        </w:tc>
        <w:tc>
          <w:tcPr>
            <w:tcW w:w="56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287,888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Contingent rentals</w:t>
            </w:r>
          </w:p>
        </w:tc>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98,991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rental expense</w:t>
            </w:r>
          </w:p>
        </w:tc>
        <w:tc>
          <w:tcPr>
            <w:tcW w:w="248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500,989</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373,372</w:t>
            </w: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361,664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92" w:right="20"/>
        <w:spacing w:after="0" w:line="287"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paid $3.0 million in 2004 to resolve a personal injury lawsuit relating to the acquisition of Universal Chemicals in 2000.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2004, the Company filed suit against the former principals of Universal Chemicals seeking indemnification for the costs the Company incurred in defending and resolving the litigation. 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75,358 shares represent a partial reimbursement for the $3.0 million settlement paid by the Company. Both the original $3.0 million settlement paid by the Company and the settlement received from the Universal Chemicals shareholders were recorded within the litigation settlement line of the Statements of Income.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$1,056,520 was recorded in the Pharmaceutical segment during the fiscal year ended April 2, 2006 when the Company received the 75,358 shares and the executed final releases and stipulations.</w:t>
      </w:r>
    </w:p>
    <w:p>
      <w:pPr>
        <w:sectPr>
          <w:pgSz w:w="11900" w:h="16838" w:orient="portrait"/>
          <w:cols w:equalWidth="0" w:num="1">
            <w:col w:w="11372"/>
          </w:cols>
          <w:pgMar w:left="248" w:top="343" w:right="279" w:bottom="138" w:gutter="0" w:footer="0" w:header="0"/>
        </w:sectPr>
      </w:pPr>
    </w:p>
    <w:bookmarkStart w:id="21" w:name="page22"/>
    <w:bookmarkEnd w:id="21"/>
    <w:p>
      <w:pPr>
        <w:ind w:left="660" w:right="200"/>
        <w:spacing w:after="0" w:line="259" w:lineRule="auto"/>
        <w:rPr>
          <w:sz w:val="20"/>
          <w:szCs w:val="20"/>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194" w:lineRule="exact"/>
        <w:rPr>
          <w:sz w:val="20"/>
          <w:szCs w:val="20"/>
          <w:color w:val="auto"/>
        </w:rPr>
      </w:pPr>
    </w:p>
    <w:p>
      <w:pPr>
        <w:jc w:val="both"/>
        <w:ind w:left="660" w:right="40"/>
        <w:spacing w:after="0" w:line="303" w:lineRule="auto"/>
        <w:rPr>
          <w:sz w:val="20"/>
          <w:szCs w:val="20"/>
          <w:color w:val="auto"/>
        </w:rPr>
      </w:pPr>
      <w:r>
        <w:rPr>
          <w:rFonts w:ascii="Arial" w:cs="Arial" w:eastAsia="Arial" w:hAnsi="Arial"/>
          <w:sz w:val="15"/>
          <w:szCs w:val="15"/>
          <w:b w:val="1"/>
          <w:bCs w:val="1"/>
          <w:i w:val="1"/>
          <w:iCs w:val="1"/>
          <w:color w:val="auto"/>
        </w:rPr>
        <w:t xml:space="preserve">Asset Retirement Obligations — </w:t>
      </w:r>
      <w:r>
        <w:rPr>
          <w:rFonts w:ascii="Arial" w:cs="Arial" w:eastAsia="Arial" w:hAnsi="Arial"/>
          <w:sz w:val="15"/>
          <w:szCs w:val="15"/>
          <w:color w:val="auto"/>
        </w:rPr>
        <w:t>The Company has two leases of land, and at the end of the lease term (currently 2018 if the leases are not renewed),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w:t>
      </w:r>
    </w:p>
    <w:p>
      <w:pPr>
        <w:spacing w:after="0" w:line="1" w:lineRule="exact"/>
        <w:rPr>
          <w:sz w:val="20"/>
          <w:szCs w:val="20"/>
          <w:color w:val="auto"/>
        </w:rPr>
      </w:pPr>
    </w:p>
    <w:p>
      <w:pPr>
        <w:ind w:left="660" w:right="80"/>
        <w:spacing w:after="0" w:line="287" w:lineRule="auto"/>
        <w:rPr>
          <w:sz w:val="20"/>
          <w:szCs w:val="20"/>
          <w:color w:val="auto"/>
        </w:rPr>
      </w:pPr>
      <w:r>
        <w:rPr>
          <w:rFonts w:ascii="Arial" w:cs="Arial" w:eastAsia="Arial" w:hAnsi="Arial"/>
          <w:sz w:val="16"/>
          <w:szCs w:val="16"/>
          <w:color w:val="auto"/>
        </w:rPr>
        <w:t>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March 30, 2008.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7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87"/>
              </w:rPr>
              <w:t>Fiscal Year Ended</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March 30,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3120" w:type="dxa"/>
            <w:vAlign w:val="bottom"/>
            <w:shd w:val="clear" w:color="auto" w:fill="D6F3E8"/>
          </w:tcPr>
          <w:p>
            <w:pPr>
              <w:spacing w:after="0"/>
              <w:rPr>
                <w:sz w:val="20"/>
                <w:szCs w:val="20"/>
                <w:color w:val="auto"/>
              </w:rPr>
            </w:pPr>
            <w:r>
              <w:rPr>
                <w:rFonts w:ascii="Arial" w:cs="Arial" w:eastAsia="Arial" w:hAnsi="Arial"/>
                <w:sz w:val="18"/>
                <w:szCs w:val="18"/>
                <w:color w:val="auto"/>
              </w:rPr>
              <w:t>Federal—current</w:t>
            </w:r>
          </w:p>
        </w:tc>
        <w:tc>
          <w:tcPr>
            <w:tcW w:w="344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3,574,328</w:t>
            </w:r>
          </w:p>
        </w:tc>
        <w:tc>
          <w:tcPr>
            <w:tcW w:w="540" w:type="dxa"/>
            <w:vAlign w:val="bottom"/>
            <w:gridSpan w:val="2"/>
            <w:shd w:val="clear" w:color="auto" w:fill="D6F3E8"/>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3,834,812</w:t>
            </w:r>
          </w:p>
        </w:tc>
        <w:tc>
          <w:tcPr>
            <w:tcW w:w="5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4,483,064</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State—current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960,600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948,302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120" w:type="dxa"/>
            <w:vAlign w:val="bottom"/>
            <w:shd w:val="clear" w:color="auto" w:fill="D6F3E8"/>
          </w:tcPr>
          <w:p>
            <w:pPr>
              <w:spacing w:after="0"/>
              <w:rPr>
                <w:sz w:val="20"/>
                <w:szCs w:val="20"/>
                <w:color w:val="auto"/>
              </w:rPr>
            </w:pPr>
            <w:r>
              <w:rPr>
                <w:rFonts w:ascii="Arial" w:cs="Arial" w:eastAsia="Arial" w:hAnsi="Arial"/>
                <w:sz w:val="18"/>
                <w:szCs w:val="18"/>
                <w:color w:val="auto"/>
              </w:rPr>
              <w:t>Deferred</w:t>
            </w:r>
          </w:p>
        </w:tc>
        <w:tc>
          <w:tcPr>
            <w:tcW w:w="326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678,072</w:t>
            </w:r>
          </w:p>
        </w:tc>
        <w:tc>
          <w:tcPr>
            <w:tcW w:w="32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104,676</w:t>
            </w:r>
          </w:p>
        </w:tc>
        <w:tc>
          <w:tcPr>
            <w:tcW w:w="3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(841,407)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Total provision</w:t>
            </w:r>
          </w:p>
        </w:tc>
        <w:tc>
          <w:tcPr>
            <w:tcW w:w="3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5,213,000</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4,887,790</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4,768,354</w:t>
            </w:r>
          </w:p>
        </w:tc>
        <w:tc>
          <w:tcPr>
            <w:tcW w:w="100" w:type="dxa"/>
            <w:vAlign w:val="bottom"/>
            <w:tcBorders>
              <w:top w:val="single" w:sz="8" w:color="D6F3E8"/>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60" w:type="dxa"/>
            <w:vAlign w:val="bottom"/>
            <w:vMerge w:val="restart"/>
          </w:tcPr>
          <w:p>
            <w:pPr>
              <w:jc w:val="right"/>
              <w:ind w:right="1132"/>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jc w:val="both"/>
        <w:ind w:left="660" w:right="220"/>
        <w:spacing w:after="0" w:line="259"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 Included within “Other” below for the fiscal year ended April 2, 2006 is a $363,000 tax benefit recognized due to adjustments to deferred tax estimates.</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Fiscal Year Ended</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2"/>
              </w:rPr>
              <w:t>April 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Statutory federal income tax</w:t>
            </w:r>
          </w:p>
        </w:tc>
        <w:tc>
          <w:tcPr>
            <w:tcW w:w="178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5,013,053</w:t>
            </w:r>
          </w:p>
        </w:tc>
        <w:tc>
          <w:tcPr>
            <w:tcW w:w="180" w:type="dxa"/>
            <w:vAlign w:val="bottom"/>
            <w:shd w:val="clear" w:color="auto" w:fill="D6F3E8"/>
          </w:tcPr>
          <w:p>
            <w:pPr>
              <w:spacing w:after="0"/>
              <w:rPr>
                <w:sz w:val="18"/>
                <w:szCs w:val="18"/>
                <w:color w:val="auto"/>
              </w:rPr>
            </w:pPr>
          </w:p>
        </w:tc>
        <w:tc>
          <w:tcPr>
            <w:tcW w:w="360" w:type="dxa"/>
            <w:vAlign w:val="bottom"/>
            <w:gridSpan w:val="2"/>
            <w:shd w:val="clear" w:color="auto" w:fill="D6F3E8"/>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4,534,835</w:t>
            </w:r>
          </w:p>
        </w:tc>
        <w:tc>
          <w:tcPr>
            <w:tcW w:w="18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4,779,077</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723,568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Tax-exempt income</w:t>
            </w:r>
          </w:p>
        </w:tc>
        <w:tc>
          <w:tcPr>
            <w:tcW w:w="1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(5,949)</w:t>
            </w:r>
          </w:p>
        </w:tc>
        <w:tc>
          <w:tcPr>
            <w:tcW w:w="1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(6,773)</w:t>
            </w:r>
          </w:p>
        </w:tc>
        <w:tc>
          <w:tcPr>
            <w:tcW w:w="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(259,066)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(239,118)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Domestic production deduction</w:t>
            </w:r>
          </w:p>
        </w:tc>
        <w:tc>
          <w:tcPr>
            <w:tcW w:w="1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(105,000)</w:t>
            </w:r>
          </w:p>
        </w:tc>
        <w:tc>
          <w:tcPr>
            <w:tcW w:w="1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(38,500)</w:t>
            </w:r>
          </w:p>
        </w:tc>
        <w:tc>
          <w:tcPr>
            <w:tcW w:w="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Other—net</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(153,606)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(325,296)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top w:val="single" w:sz="8" w:color="D6F3E8"/>
              <w:bottom w:val="single" w:sz="8" w:color="D6F3E8"/>
            </w:tcBorders>
            <w:shd w:val="clear" w:color="auto" w:fill="D6F3E8"/>
          </w:tcPr>
          <w:p>
            <w:pPr>
              <w:ind w:left="2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5,213,000</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6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4,887,790</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4,768,354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-170815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-170815</wp:posOffset>
            </wp:positionV>
            <wp:extent cx="205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effects of items comprising the Company’s net deferred tax asset (liability) as of March 30, 2008 and April 1, 2007 are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00" w:type="dxa"/>
            <w:vAlign w:val="bottom"/>
            <w:vMerge w:val="restart"/>
          </w:tcPr>
          <w:p>
            <w:pPr>
              <w:spacing w:after="0"/>
              <w:rPr>
                <w:sz w:val="20"/>
                <w:szCs w:val="20"/>
                <w:color w:val="auto"/>
              </w:rPr>
            </w:pPr>
            <w:r>
              <w:rPr>
                <w:rFonts w:ascii="Arial" w:cs="Arial" w:eastAsia="Arial" w:hAnsi="Arial"/>
                <w:sz w:val="18"/>
                <w:szCs w:val="18"/>
                <w:color w:val="auto"/>
              </w:rPr>
              <w:t>Current deferred taxes:</w:t>
            </w:r>
          </w:p>
        </w:tc>
        <w:tc>
          <w:tcPr>
            <w:tcW w:w="2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Trade receivables</w:t>
            </w:r>
          </w:p>
        </w:tc>
        <w:tc>
          <w:tcPr>
            <w:tcW w:w="280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87,750</w:t>
            </w:r>
          </w:p>
        </w:tc>
        <w:tc>
          <w:tcPr>
            <w:tcW w:w="180" w:type="dxa"/>
            <w:vAlign w:val="bottom"/>
            <w:shd w:val="clear" w:color="auto" w:fill="D6F3E8"/>
          </w:tcPr>
          <w:p>
            <w:pPr>
              <w:spacing w:after="0"/>
              <w:rPr>
                <w:sz w:val="18"/>
                <w:szCs w:val="18"/>
                <w:color w:val="auto"/>
              </w:rPr>
            </w:pPr>
          </w:p>
        </w:tc>
        <w:tc>
          <w:tcPr>
            <w:tcW w:w="40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87,750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Accruals</w:t>
            </w:r>
          </w:p>
        </w:tc>
        <w:tc>
          <w:tcPr>
            <w:tcW w:w="25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310,557</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409,625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D6F3E8"/>
            </w:tcBorders>
          </w:tcPr>
          <w:p>
            <w:pPr>
              <w:ind w:left="14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D6F3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61,177</w:t>
            </w:r>
          </w:p>
        </w:tc>
        <w:tc>
          <w:tcPr>
            <w:tcW w:w="180" w:type="dxa"/>
            <w:vAlign w:val="bottom"/>
            <w:tcBorders>
              <w:bottom w:val="single" w:sz="8" w:color="D6F3E8"/>
            </w:tcBorders>
          </w:tcPr>
          <w:p>
            <w:pPr>
              <w:spacing w:after="0"/>
              <w:rPr>
                <w:sz w:val="19"/>
                <w:szCs w:val="19"/>
                <w:color w:val="auto"/>
              </w:rPr>
            </w:pPr>
          </w:p>
        </w:tc>
        <w:tc>
          <w:tcPr>
            <w:tcW w:w="140" w:type="dxa"/>
            <w:vAlign w:val="bottom"/>
            <w:tcBorders>
              <w:bottom w:val="single" w:sz="8" w:color="D6F3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95,416</w:t>
            </w:r>
          </w:p>
        </w:tc>
        <w:tc>
          <w:tcPr>
            <w:tcW w:w="10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tcBorders>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Total *</w:t>
            </w:r>
          </w:p>
        </w:tc>
        <w:tc>
          <w:tcPr>
            <w:tcW w:w="256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705,244</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709,390</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line="201" w:lineRule="exact"/>
              <w:rPr>
                <w:sz w:val="20"/>
                <w:szCs w:val="20"/>
                <w:color w:val="auto"/>
              </w:rPr>
            </w:pPr>
            <w:r>
              <w:rPr>
                <w:rFonts w:ascii="Arial" w:cs="Arial" w:eastAsia="Arial" w:hAnsi="Arial"/>
                <w:sz w:val="18"/>
                <w:szCs w:val="18"/>
                <w:color w:val="auto"/>
              </w:rPr>
              <w:t>Noncurrent deferred taxes:</w:t>
            </w:r>
          </w:p>
        </w:tc>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30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Excess of tax over book depreciation</w:t>
            </w:r>
          </w:p>
        </w:tc>
        <w:tc>
          <w:tcPr>
            <w:tcW w:w="28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(1,112,841)</w:t>
            </w:r>
          </w:p>
        </w:tc>
        <w:tc>
          <w:tcPr>
            <w:tcW w:w="4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(558,720)</w:t>
            </w:r>
          </w:p>
        </w:tc>
        <w:tc>
          <w:tcPr>
            <w:tcW w:w="0" w:type="dxa"/>
            <w:vAlign w:val="bottom"/>
          </w:tcPr>
          <w:p>
            <w:pPr>
              <w:spacing w:after="0"/>
              <w:rPr>
                <w:sz w:val="1"/>
                <w:szCs w:val="1"/>
                <w:color w:val="auto"/>
              </w:rPr>
            </w:pPr>
          </w:p>
        </w:tc>
      </w:tr>
      <w:tr>
        <w:trPr>
          <w:trHeight w:val="217"/>
        </w:trPr>
        <w:tc>
          <w:tcPr>
            <w:tcW w:w="53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Unrealized loss on investments</w:t>
            </w:r>
          </w:p>
        </w:tc>
        <w:tc>
          <w:tcPr>
            <w:tcW w:w="25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(33,428)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Capital loss carryforward</w:t>
            </w:r>
          </w:p>
        </w:tc>
        <w:tc>
          <w:tcPr>
            <w:tcW w:w="25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66,405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D6F3E8"/>
            </w:tcBorders>
          </w:tcPr>
          <w:p>
            <w:pPr>
              <w:ind w:left="14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D6F3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45,984</w:t>
            </w:r>
          </w:p>
        </w:tc>
        <w:tc>
          <w:tcPr>
            <w:tcW w:w="180" w:type="dxa"/>
            <w:vAlign w:val="bottom"/>
            <w:tcBorders>
              <w:bottom w:val="single" w:sz="8" w:color="D6F3E8"/>
            </w:tcBorders>
          </w:tcPr>
          <w:p>
            <w:pPr>
              <w:spacing w:after="0"/>
              <w:rPr>
                <w:sz w:val="19"/>
                <w:szCs w:val="19"/>
                <w:color w:val="auto"/>
              </w:rPr>
            </w:pPr>
          </w:p>
        </w:tc>
        <w:tc>
          <w:tcPr>
            <w:tcW w:w="140" w:type="dxa"/>
            <w:vAlign w:val="bottom"/>
            <w:tcBorders>
              <w:bottom w:val="single" w:sz="8" w:color="D6F3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69,794</w:t>
            </w:r>
          </w:p>
        </w:tc>
        <w:tc>
          <w:tcPr>
            <w:tcW w:w="10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tcBorders>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9"/>
              </w:rPr>
              <w:t>(1,097,097)</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(420,521)</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6F3E8"/>
            </w:tcBorders>
          </w:tcPr>
          <w:p>
            <w:pPr>
              <w:spacing w:after="0" w:line="20" w:lineRule="exact"/>
              <w:rPr>
                <w:sz w:val="1"/>
                <w:szCs w:val="1"/>
                <w:color w:val="auto"/>
              </w:rPr>
            </w:pPr>
          </w:p>
        </w:tc>
        <w:tc>
          <w:tcPr>
            <w:tcW w:w="140" w:type="dxa"/>
            <w:vAlign w:val="bottom"/>
            <w:tcBorders>
              <w:bottom w:val="single" w:sz="8" w:color="D6F3E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prepaid expenses and other current assets on the balance sheet.</w:t>
      </w:r>
    </w:p>
    <w:p>
      <w:pPr>
        <w:spacing w:after="0" w:line="21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TRUMARK, INC. ACQUISITION</w:t>
      </w:r>
    </w:p>
    <w:p>
      <w:pPr>
        <w:spacing w:after="0" w:line="231" w:lineRule="exact"/>
        <w:rPr>
          <w:rFonts w:ascii="Arial" w:cs="Arial" w:eastAsia="Arial" w:hAnsi="Arial"/>
          <w:sz w:val="18"/>
          <w:szCs w:val="18"/>
          <w:b w:val="1"/>
          <w:bCs w:val="1"/>
          <w:color w:val="auto"/>
        </w:rPr>
      </w:pPr>
    </w:p>
    <w:p>
      <w:pPr>
        <w:ind w:left="660" w:right="1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cash of approximately $5,963,000 and Hawkins stock of $588,000. On May 31, 2007, the acquisition was completed. The acquired business is a producer of antimicrobial products for the food industry. The acquired business is included in the Company’s Industrial operating segment.</w:t>
      </w:r>
    </w:p>
    <w:p>
      <w:pPr>
        <w:sectPr>
          <w:pgSz w:w="11900" w:h="16838" w:orient="portrait"/>
          <w:cols w:equalWidth="0" w:num="1">
            <w:col w:w="11460"/>
          </w:cols>
          <w:pgMar w:left="240" w:top="131" w:right="199" w:bottom="115" w:gutter="0" w:footer="0" w:header="0"/>
        </w:sectPr>
      </w:pPr>
    </w:p>
    <w:bookmarkStart w:id="22" w:name="page23"/>
    <w:bookmarkEnd w:id="22"/>
    <w:p>
      <w:pPr>
        <w:spacing w:after="0" w:line="5" w:lineRule="exact"/>
        <w:rPr>
          <w:sz w:val="20"/>
          <w:szCs w:val="20"/>
          <w:color w:val="auto"/>
        </w:rPr>
      </w:pPr>
    </w:p>
    <w:p>
      <w:pPr>
        <w:ind w:left="660" w:right="80"/>
        <w:spacing w:after="0" w:line="306" w:lineRule="auto"/>
        <w:rPr>
          <w:sz w:val="20"/>
          <w:szCs w:val="20"/>
          <w:color w:val="auto"/>
        </w:rPr>
      </w:pPr>
      <w:r>
        <w:rPr>
          <w:rFonts w:ascii="Arial" w:cs="Arial" w:eastAsia="Arial" w:hAnsi="Arial"/>
          <w:sz w:val="16"/>
          <w:szCs w:val="16"/>
          <w:color w:val="auto"/>
        </w:rPr>
        <w:t>The assets acquired consist of assets used by Trumark to operate its business, including intellectual property, manufacturing equipment and inventory. The purchase price consisted of cash and shares of the Company’s common stock. The Company funded the cash portion of the transaction with existing cash and issued new shares of common stock. The initial purchase price allocation,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360" w:type="dxa"/>
            <w:vAlign w:val="bottom"/>
            <w:shd w:val="clear" w:color="auto" w:fill="D6F3E8"/>
          </w:tcPr>
          <w:p>
            <w:pPr>
              <w:spacing w:after="0"/>
              <w:rPr>
                <w:sz w:val="20"/>
                <w:szCs w:val="20"/>
                <w:color w:val="auto"/>
              </w:rPr>
            </w:pPr>
            <w:r>
              <w:rPr>
                <w:rFonts w:ascii="Arial" w:cs="Arial" w:eastAsia="Arial" w:hAnsi="Arial"/>
                <w:sz w:val="18"/>
                <w:szCs w:val="18"/>
                <w:color w:val="auto"/>
              </w:rPr>
              <w:t>Accounts Receivable</w:t>
            </w:r>
          </w:p>
        </w:tc>
        <w:tc>
          <w:tcPr>
            <w:tcW w:w="6260" w:type="dxa"/>
            <w:vAlign w:val="bottom"/>
            <w:gridSpan w:val="2"/>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1,115,000</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Inventory</w:t>
            </w: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w:t>
            </w:r>
          </w:p>
        </w:tc>
        <w:tc>
          <w:tcPr>
            <w:tcW w:w="59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Assets</w:t>
            </w: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shd w:val="clear" w:color="auto" w:fill="D6F3E8"/>
          </w:tcPr>
          <w:p>
            <w:pPr>
              <w:spacing w:after="0"/>
              <w:rPr>
                <w:sz w:val="20"/>
                <w:szCs w:val="20"/>
                <w:color w:val="auto"/>
              </w:rPr>
            </w:pPr>
            <w:r>
              <w:rPr>
                <w:rFonts w:ascii="Arial" w:cs="Arial" w:eastAsia="Arial" w:hAnsi="Arial"/>
                <w:sz w:val="18"/>
                <w:szCs w:val="18"/>
                <w:color w:val="auto"/>
              </w:rPr>
              <w:t>Customer Relationships</w:t>
            </w:r>
          </w:p>
        </w:tc>
        <w:tc>
          <w:tcPr>
            <w:tcW w:w="59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2,058,000</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Trade Names</w:t>
            </w: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shd w:val="clear" w:color="auto" w:fill="D6F3E8"/>
          </w:tcPr>
          <w:p>
            <w:pPr>
              <w:spacing w:after="0"/>
              <w:rPr>
                <w:sz w:val="20"/>
                <w:szCs w:val="20"/>
                <w:color w:val="auto"/>
              </w:rPr>
            </w:pPr>
            <w:r>
              <w:rPr>
                <w:rFonts w:ascii="Arial" w:cs="Arial" w:eastAsia="Arial" w:hAnsi="Arial"/>
                <w:sz w:val="18"/>
                <w:szCs w:val="18"/>
                <w:color w:val="auto"/>
              </w:rPr>
              <w:t>Trade Secrets</w:t>
            </w:r>
          </w:p>
        </w:tc>
        <w:tc>
          <w:tcPr>
            <w:tcW w:w="59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862,000</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Non-Compete</w:t>
            </w: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360" w:type="dxa"/>
            <w:vAlign w:val="bottom"/>
            <w:shd w:val="clear" w:color="auto" w:fill="D6F3E8"/>
          </w:tcPr>
          <w:p>
            <w:pPr>
              <w:spacing w:after="0"/>
              <w:rPr>
                <w:sz w:val="20"/>
                <w:szCs w:val="20"/>
                <w:color w:val="auto"/>
              </w:rPr>
            </w:pPr>
            <w:r>
              <w:rPr>
                <w:rFonts w:ascii="Arial" w:cs="Arial" w:eastAsia="Arial" w:hAnsi="Arial"/>
                <w:sz w:val="18"/>
                <w:szCs w:val="18"/>
                <w:color w:val="auto"/>
              </w:rPr>
              <w:t>Goodwill</w:t>
            </w:r>
          </w:p>
        </w:tc>
        <w:tc>
          <w:tcPr>
            <w:tcW w:w="59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1,204,000</w:t>
            </w:r>
          </w:p>
        </w:tc>
        <w:tc>
          <w:tcPr>
            <w:tcW w:w="100" w:type="dxa"/>
            <w:vAlign w:val="bottom"/>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640"/>
              <w:spacing w:after="0"/>
              <w:rPr>
                <w:sz w:val="20"/>
                <w:szCs w:val="20"/>
                <w:color w:val="auto"/>
              </w:rPr>
            </w:pPr>
            <w:r>
              <w:rPr>
                <w:rFonts w:ascii="Arial" w:cs="Arial" w:eastAsia="Arial" w:hAnsi="Arial"/>
                <w:sz w:val="18"/>
                <w:szCs w:val="18"/>
                <w:color w:val="auto"/>
              </w:rPr>
              <w:t>Current liabilities</w:t>
            </w:r>
          </w:p>
        </w:tc>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33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w:t>
            </w:r>
          </w:p>
        </w:tc>
        <w:tc>
          <w:tcPr>
            <w:tcW w:w="598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6,551,000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980" w:type="dxa"/>
            <w:vAlign w:val="bottom"/>
            <w:vMerge w:val="restart"/>
          </w:tcPr>
          <w:p>
            <w:pPr>
              <w:jc w:val="right"/>
              <w:ind w:right="4092"/>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-815975</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660" w:right="340"/>
        <w:spacing w:after="0" w:line="268" w:lineRule="auto"/>
        <w:rPr>
          <w:sz w:val="20"/>
          <w:szCs w:val="20"/>
          <w:color w:val="auto"/>
        </w:rPr>
      </w:pPr>
      <w:r>
        <w:rPr>
          <w:rFonts w:ascii="Arial" w:cs="Arial" w:eastAsia="Arial" w:hAnsi="Arial"/>
          <w:sz w:val="18"/>
          <w:szCs w:val="18"/>
          <w:color w:val="auto"/>
        </w:rPr>
        <w:t>The operations of Trumark are included in the Company’s statement of income beginning on June 1, 2007. The proforma effect of this acquisition on prior period sales, operating income, and earnings per share was not significant.</w:t>
      </w:r>
    </w:p>
    <w:p>
      <w:pPr>
        <w:spacing w:after="0" w:line="18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31" w:lineRule="exact"/>
        <w:rPr>
          <w:rFonts w:ascii="Arial" w:cs="Arial" w:eastAsia="Arial" w:hAnsi="Arial"/>
          <w:sz w:val="18"/>
          <w:szCs w:val="18"/>
          <w:b w:val="1"/>
          <w:bCs w:val="1"/>
          <w:color w:val="auto"/>
        </w:rPr>
      </w:pPr>
    </w:p>
    <w:p>
      <w:pPr>
        <w:ind w:left="6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three reportable segments: Industrial, Water Treatment and Pharmaceutical.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Water Treatment segment specializes in providing water and waste-water treatment equipment and chemicals and in helping customers find solutions to system problems. The Pharmaceutical segment specializes in providing pharmaceutical chemicals to retail pharmacies and small-scale pharmaceutical manufacturers.</w:t>
      </w:r>
    </w:p>
    <w:p>
      <w:pPr>
        <w:spacing w:after="0" w:line="169" w:lineRule="exact"/>
        <w:rPr>
          <w:rFonts w:ascii="Arial" w:cs="Arial" w:eastAsia="Arial" w:hAnsi="Arial"/>
          <w:sz w:val="18"/>
          <w:szCs w:val="18"/>
          <w:b w:val="1"/>
          <w:bCs w:val="1"/>
          <w:color w:val="auto"/>
        </w:rPr>
      </w:pPr>
    </w:p>
    <w:p>
      <w:pPr>
        <w:ind w:left="6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the Company, it is not practical to disclose revenues from external customers for each product or each group of similar products. There are no single customer revenues that amount to 10 percent or more of the Company’s revenue. Sales are primarily within the United States and all assets are located within the United States.</w:t>
      </w:r>
    </w:p>
    <w:p>
      <w:pPr>
        <w:spacing w:after="0" w:line="37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Water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6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Industrial</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rPr>
              <w:t>Treatment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Pharmaceutical</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357"/>
        </w:trPr>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Fiscal Year Ended March 30, 2008:</w:t>
            </w: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Sales</w:t>
            </w:r>
          </w:p>
        </w:tc>
        <w:tc>
          <w:tcPr>
            <w:tcW w:w="5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124,596,870</w:t>
            </w:r>
          </w:p>
        </w:tc>
        <w:tc>
          <w:tcPr>
            <w:tcW w:w="5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62,067,525</w:t>
            </w:r>
          </w:p>
        </w:tc>
        <w:tc>
          <w:tcPr>
            <w:tcW w:w="4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9,775,367</w:t>
            </w:r>
          </w:p>
        </w:tc>
        <w:tc>
          <w:tcPr>
            <w:tcW w:w="30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196,439,762</w:t>
            </w:r>
          </w:p>
        </w:tc>
        <w:tc>
          <w:tcPr>
            <w:tcW w:w="100" w:type="dxa"/>
            <w:vAlign w:val="bottom"/>
            <w:shd w:val="clear" w:color="auto" w:fill="D6F3E8"/>
          </w:tcPr>
          <w:p>
            <w:pPr>
              <w:spacing w:after="0"/>
              <w:rPr>
                <w:sz w:val="18"/>
                <w:szCs w:val="18"/>
                <w:color w:val="auto"/>
              </w:rPr>
            </w:pPr>
          </w:p>
        </w:tc>
      </w:tr>
      <w:tr>
        <w:trPr>
          <w:trHeight w:val="216"/>
        </w:trPr>
        <w:tc>
          <w:tcPr>
            <w:tcW w:w="456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104,750,566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43,315,296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6,777,418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154,843,280</w:t>
            </w:r>
          </w:p>
        </w:tc>
        <w:tc>
          <w:tcPr>
            <w:tcW w:w="100" w:type="dxa"/>
            <w:vAlign w:val="bottom"/>
          </w:tcPr>
          <w:p>
            <w:pPr>
              <w:spacing w:after="0"/>
              <w:rPr>
                <w:sz w:val="18"/>
                <w:szCs w:val="18"/>
                <w:color w:val="auto"/>
              </w:rPr>
            </w:pPr>
          </w:p>
        </w:tc>
      </w:tr>
      <w:tr>
        <w:trPr>
          <w:trHeight w:val="230"/>
        </w:trPr>
        <w:tc>
          <w:tcPr>
            <w:tcW w:w="4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from operations</w:t>
            </w:r>
          </w:p>
        </w:tc>
        <w:tc>
          <w:tcPr>
            <w:tcW w:w="5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2,810,853</w:t>
            </w:r>
          </w:p>
        </w:tc>
        <w:tc>
          <w:tcPr>
            <w:tcW w:w="5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9,888,776</w:t>
            </w:r>
          </w:p>
        </w:tc>
        <w:tc>
          <w:tcPr>
            <w:tcW w:w="4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282,668</w:t>
            </w:r>
          </w:p>
        </w:tc>
        <w:tc>
          <w:tcPr>
            <w:tcW w:w="300" w:type="dxa"/>
            <w:vAlign w:val="bottom"/>
            <w:shd w:val="clear" w:color="auto" w:fill="D6F3E8"/>
          </w:tcPr>
          <w:p>
            <w:pPr>
              <w:spacing w:after="0"/>
              <w:rPr>
                <w:sz w:val="19"/>
                <w:szCs w:val="19"/>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12,982,297</w:t>
            </w:r>
          </w:p>
        </w:tc>
        <w:tc>
          <w:tcPr>
            <w:tcW w:w="100" w:type="dxa"/>
            <w:vAlign w:val="bottom"/>
            <w:shd w:val="clear" w:color="auto" w:fill="D6F3E8"/>
          </w:tcPr>
          <w:p>
            <w:pPr>
              <w:spacing w:after="0"/>
              <w:rPr>
                <w:sz w:val="19"/>
                <w:szCs w:val="19"/>
                <w:color w:val="auto"/>
              </w:rPr>
            </w:pPr>
          </w:p>
        </w:tc>
      </w:tr>
      <w:tr>
        <w:trPr>
          <w:trHeight w:val="20"/>
        </w:trPr>
        <w:tc>
          <w:tcPr>
            <w:tcW w:w="456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r>
      <w:tr>
        <w:trPr>
          <w:trHeight w:val="359"/>
        </w:trPr>
        <w:tc>
          <w:tcPr>
            <w:tcW w:w="4560" w:type="dxa"/>
            <w:vAlign w:val="bottom"/>
          </w:tcPr>
          <w:p>
            <w:pPr>
              <w:ind w:left="140"/>
              <w:spacing w:after="0"/>
              <w:rPr>
                <w:sz w:val="20"/>
                <w:szCs w:val="20"/>
                <w:color w:val="auto"/>
              </w:rPr>
            </w:pPr>
            <w:r>
              <w:rPr>
                <w:rFonts w:ascii="Arial" w:cs="Arial" w:eastAsia="Arial" w:hAnsi="Arial"/>
                <w:sz w:val="18"/>
                <w:szCs w:val="18"/>
                <w:color w:val="auto"/>
              </w:rPr>
              <w:t>Identifiable assets*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56,199,154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19,172,883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5,503,734</w:t>
            </w:r>
          </w:p>
        </w:tc>
        <w:tc>
          <w:tcPr>
            <w:tcW w:w="3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80,875,771</w:t>
            </w:r>
          </w:p>
        </w:tc>
        <w:tc>
          <w:tcPr>
            <w:tcW w:w="100" w:type="dxa"/>
            <w:vAlign w:val="bottom"/>
          </w:tcPr>
          <w:p>
            <w:pPr>
              <w:spacing w:after="0"/>
              <w:rPr>
                <w:sz w:val="24"/>
                <w:szCs w:val="24"/>
                <w:color w:val="auto"/>
              </w:rPr>
            </w:pPr>
          </w:p>
        </w:tc>
      </w:tr>
      <w:tr>
        <w:trPr>
          <w:trHeight w:val="20"/>
        </w:trPr>
        <w:tc>
          <w:tcPr>
            <w:tcW w:w="4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Unallocated assets consisting primarily of cash and cash equivalents, investments, and prepaid expenses were $28,067,180 at March 30, 2008.</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Fiscal Year Ended April 1, 2007:</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Sales</w:t>
            </w:r>
          </w:p>
        </w:tc>
        <w:tc>
          <w:tcPr>
            <w:tcW w:w="15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95,394,903</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56,371,237</w:t>
            </w:r>
          </w:p>
        </w:tc>
        <w:tc>
          <w:tcPr>
            <w:tcW w:w="6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8,638,940</w:t>
            </w:r>
          </w:p>
        </w:tc>
        <w:tc>
          <w:tcPr>
            <w:tcW w:w="30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160,405,080</w:t>
            </w:r>
          </w:p>
        </w:tc>
        <w:tc>
          <w:tcPr>
            <w:tcW w:w="100" w:type="dxa"/>
            <w:vAlign w:val="bottom"/>
            <w:shd w:val="clear" w:color="auto" w:fill="D6F3E8"/>
          </w:tcPr>
          <w:p>
            <w:pPr>
              <w:spacing w:after="0"/>
              <w:rPr>
                <w:sz w:val="18"/>
                <w:szCs w:val="18"/>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77,305,184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39,667,703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6,195,216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123,168,103</w:t>
            </w:r>
          </w:p>
        </w:tc>
        <w:tc>
          <w:tcPr>
            <w:tcW w:w="100" w:type="dxa"/>
            <w:vAlign w:val="bottom"/>
          </w:tcPr>
          <w:p>
            <w:pPr>
              <w:spacing w:after="0"/>
              <w:rPr>
                <w:sz w:val="18"/>
                <w:szCs w:val="18"/>
                <w:color w:val="auto"/>
              </w:rPr>
            </w:pPr>
          </w:p>
        </w:tc>
      </w:tr>
      <w:tr>
        <w:trPr>
          <w:trHeight w:val="230"/>
        </w:trPr>
        <w:tc>
          <w:tcPr>
            <w:tcW w:w="3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(loss) from operations</w:t>
            </w:r>
          </w:p>
        </w:tc>
        <w:tc>
          <w:tcPr>
            <w:tcW w:w="15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2,889,587</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8,609,573</w:t>
            </w:r>
          </w:p>
        </w:tc>
        <w:tc>
          <w:tcPr>
            <w:tcW w:w="6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(234,819)</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11,264,341</w:t>
            </w:r>
          </w:p>
        </w:tc>
        <w:tc>
          <w:tcPr>
            <w:tcW w:w="100" w:type="dxa"/>
            <w:vAlign w:val="bottom"/>
            <w:shd w:val="clear" w:color="auto" w:fill="D6F3E8"/>
          </w:tcPr>
          <w:p>
            <w:pPr>
              <w:spacing w:after="0"/>
              <w:rPr>
                <w:sz w:val="19"/>
                <w:szCs w:val="19"/>
                <w:color w:val="auto"/>
              </w:rPr>
            </w:pPr>
          </w:p>
        </w:tc>
      </w:tr>
      <w:tr>
        <w:trPr>
          <w:trHeight w:val="20"/>
        </w:trPr>
        <w:tc>
          <w:tcPr>
            <w:tcW w:w="3600" w:type="dxa"/>
            <w:vAlign w:val="bottom"/>
            <w:tcBorders>
              <w:top w:val="single" w:sz="8" w:color="D6F3E8"/>
            </w:tcBorders>
          </w:tcPr>
          <w:p>
            <w:pPr>
              <w:spacing w:after="0" w:line="20" w:lineRule="exact"/>
              <w:rPr>
                <w:sz w:val="1"/>
                <w:szCs w:val="1"/>
                <w:color w:val="auto"/>
              </w:rPr>
            </w:pPr>
          </w:p>
        </w:tc>
        <w:tc>
          <w:tcPr>
            <w:tcW w:w="13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6F3E8"/>
              <w:bottom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r>
      <w:tr>
        <w:trPr>
          <w:trHeight w:val="359"/>
        </w:trPr>
        <w:tc>
          <w:tcPr>
            <w:tcW w:w="3600" w:type="dxa"/>
            <w:vAlign w:val="bottom"/>
          </w:tcPr>
          <w:p>
            <w:pPr>
              <w:ind w:left="140"/>
              <w:spacing w:after="0"/>
              <w:rPr>
                <w:sz w:val="20"/>
                <w:szCs w:val="20"/>
                <w:color w:val="auto"/>
              </w:rPr>
            </w:pPr>
            <w:r>
              <w:rPr>
                <w:rFonts w:ascii="Arial" w:cs="Arial" w:eastAsia="Arial" w:hAnsi="Arial"/>
                <w:sz w:val="18"/>
                <w:szCs w:val="18"/>
                <w:color w:val="auto"/>
              </w:rPr>
              <w:t>Identifiable assets*</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46,446,607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17,639,843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5,569,231</w:t>
            </w:r>
          </w:p>
        </w:tc>
        <w:tc>
          <w:tcPr>
            <w:tcW w:w="3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69,655,681</w:t>
            </w:r>
          </w:p>
        </w:tc>
        <w:tc>
          <w:tcPr>
            <w:tcW w:w="10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Unallocated assets consisting primarily of cash and cash equivalents, investments, and prepaid expenses were $31,612,913 at April 1, 2007.</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Fiscal Year Ended April 2, 2006:</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Sales</w:t>
            </w:r>
          </w:p>
        </w:tc>
        <w:tc>
          <w:tcPr>
            <w:tcW w:w="15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84,192,397</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48,946,914</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10,191,939</w:t>
            </w:r>
          </w:p>
        </w:tc>
        <w:tc>
          <w:tcPr>
            <w:tcW w:w="30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143,331,250</w:t>
            </w:r>
          </w:p>
        </w:tc>
        <w:tc>
          <w:tcPr>
            <w:tcW w:w="100" w:type="dxa"/>
            <w:vAlign w:val="bottom"/>
            <w:shd w:val="clear" w:color="auto" w:fill="D6F3E8"/>
          </w:tcPr>
          <w:p>
            <w:pPr>
              <w:spacing w:after="0"/>
              <w:rPr>
                <w:sz w:val="18"/>
                <w:szCs w:val="18"/>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69,160,512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33,859,254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7,092,342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110,112,108</w:t>
            </w:r>
          </w:p>
        </w:tc>
        <w:tc>
          <w:tcPr>
            <w:tcW w:w="100" w:type="dxa"/>
            <w:vAlign w:val="bottom"/>
          </w:tcPr>
          <w:p>
            <w:pPr>
              <w:spacing w:after="0"/>
              <w:rPr>
                <w:sz w:val="18"/>
                <w:szCs w:val="18"/>
                <w:color w:val="auto"/>
              </w:rPr>
            </w:pPr>
          </w:p>
        </w:tc>
      </w:tr>
      <w:tr>
        <w:trPr>
          <w:trHeight w:val="230"/>
        </w:trPr>
        <w:tc>
          <w:tcPr>
            <w:tcW w:w="3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from operations</w:t>
            </w:r>
          </w:p>
        </w:tc>
        <w:tc>
          <w:tcPr>
            <w:tcW w:w="15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2,367,035</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8,770,739</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1,624,444**</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12,762,218</w:t>
            </w:r>
          </w:p>
        </w:tc>
        <w:tc>
          <w:tcPr>
            <w:tcW w:w="100" w:type="dxa"/>
            <w:vAlign w:val="bottom"/>
            <w:shd w:val="clear" w:color="auto" w:fill="D6F3E8"/>
          </w:tcPr>
          <w:p>
            <w:pPr>
              <w:spacing w:after="0"/>
              <w:rPr>
                <w:sz w:val="19"/>
                <w:szCs w:val="19"/>
                <w:color w:val="auto"/>
              </w:rPr>
            </w:pPr>
          </w:p>
        </w:tc>
      </w:tr>
      <w:tr>
        <w:trPr>
          <w:trHeight w:val="20"/>
        </w:trPr>
        <w:tc>
          <w:tcPr>
            <w:tcW w:w="3600" w:type="dxa"/>
            <w:vAlign w:val="bottom"/>
            <w:tcBorders>
              <w:top w:val="single" w:sz="8" w:color="D6F3E8"/>
            </w:tcBorders>
          </w:tcPr>
          <w:p>
            <w:pPr>
              <w:spacing w:after="0" w:line="20" w:lineRule="exact"/>
              <w:rPr>
                <w:sz w:val="1"/>
                <w:szCs w:val="1"/>
                <w:color w:val="auto"/>
              </w:rPr>
            </w:pPr>
          </w:p>
        </w:tc>
        <w:tc>
          <w:tcPr>
            <w:tcW w:w="13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6F3E8"/>
              <w:bottom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r>
      <w:tr>
        <w:trPr>
          <w:trHeight w:val="359"/>
        </w:trPr>
        <w:tc>
          <w:tcPr>
            <w:tcW w:w="3600" w:type="dxa"/>
            <w:vAlign w:val="bottom"/>
          </w:tcPr>
          <w:p>
            <w:pPr>
              <w:ind w:left="140"/>
              <w:spacing w:after="0"/>
              <w:rPr>
                <w:sz w:val="20"/>
                <w:szCs w:val="20"/>
                <w:color w:val="auto"/>
              </w:rPr>
            </w:pPr>
            <w:r>
              <w:rPr>
                <w:rFonts w:ascii="Arial" w:cs="Arial" w:eastAsia="Arial" w:hAnsi="Arial"/>
                <w:sz w:val="18"/>
                <w:szCs w:val="18"/>
                <w:color w:val="auto"/>
              </w:rPr>
              <w:t>Identifiable assets*</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42,170,943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17,587,618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5,761,116</w:t>
            </w:r>
          </w:p>
        </w:tc>
        <w:tc>
          <w:tcPr>
            <w:tcW w:w="3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65,519,677</w:t>
            </w:r>
          </w:p>
        </w:tc>
        <w:tc>
          <w:tcPr>
            <w:tcW w:w="10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760" w:hanging="4"/>
        <w:spacing w:after="0" w:line="332" w:lineRule="auto"/>
        <w:tabs>
          <w:tab w:leader="none" w:pos="8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Unallocated assets consisting primarily of cash and cash equivalents, investments, and prepaid expenses were $28,537,057 at April 2, 2006. **The Pharmaceutical segment recorded $1,056,520 in pretax gain from the litigation settlement during fiscal 2006.</w:t>
      </w:r>
    </w:p>
    <w:p>
      <w:pPr>
        <w:sectPr>
          <w:pgSz w:w="11900" w:h="16843" w:orient="portrait"/>
          <w:cols w:equalWidth="0" w:num="1">
            <w:col w:w="11460"/>
          </w:cols>
          <w:pgMar w:left="240" w:top="131"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ectPr>
          <w:pgSz w:w="11900" w:h="16843" w:orient="portrait"/>
          <w:cols w:equalWidth="0" w:num="1">
            <w:col w:w="11460"/>
          </w:cols>
          <w:pgMar w:left="240" w:top="131" w:right="199" w:bottom="0" w:gutter="0" w:footer="0" w:header="0"/>
          <w:type w:val="continuous"/>
        </w:sectPr>
      </w:pPr>
    </w:p>
    <w:bookmarkStart w:id="23" w:name="page24"/>
    <w:bookmarkEnd w:id="23"/>
    <w:p>
      <w:pPr>
        <w:ind w:left="1300" w:right="580" w:hanging="1296"/>
        <w:spacing w:after="0" w:line="251" w:lineRule="auto"/>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ITEM 9.</w:t>
      </w:r>
      <w:r>
        <w:rPr>
          <w:sz w:val="20"/>
          <w:szCs w:val="20"/>
          <w:color w:val="auto"/>
        </w:rPr>
        <w:tab/>
      </w:r>
      <w:r>
        <w:rPr>
          <w:rFonts w:ascii="Arial" w:cs="Arial" w:eastAsia="Arial" w:hAnsi="Arial"/>
          <w:sz w:val="22"/>
          <w:szCs w:val="22"/>
          <w:color w:val="auto"/>
        </w:rPr>
        <w:t>CHANGES IN AND DISAGREEMENTS WITH ACCOUNTANTS ON ACCOUNTING AND FINANCIAL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9A.</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 Our management evaluated, with the participation of our Chief Executive Officer and our Chief Financial Officer, the effectiveness of the design and operation of our disclosure controls and procedures as of the end of the period covered by this report. Based on this evaluation the Chief Executive Officer and Chief Financial Officer concluded that as of March 30, 2008, the disclosure controls and procedures for Hawkins, Inc. were effective to ensure that information required to be disclosed in reports it files or submits under the Exchange Act is recorded, processed, summarized and reported within the time period specified in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management of Hawkins, Inc. (the “Company”) is responsible for establishing and maintaining adequate internal control over financial reporting as defined in Rules 13a-15(f) and 15d-15(f) of the Securities Exchange Act. Our internal control system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460" w:firstLine="648"/>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March 30, 2008, based on the criteria described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(“COSO”) of the Treadway Commission. Based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management believes that our internal control over financial reporting was effective as of March 30, 2008.</w:t>
      </w:r>
    </w:p>
    <w:p>
      <w:pPr>
        <w:spacing w:after="0" w:line="16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Company’s independent registered public accounting firm has issued an attestation report on the Company’s internal control over financial reporting for March 30, 2008.</w:t>
      </w:r>
    </w:p>
    <w:p>
      <w:pPr>
        <w:sectPr>
          <w:pgSz w:w="11900" w:h="16838" w:orient="portrait"/>
          <w:cols w:equalWidth="0" w:num="1">
            <w:col w:w="11420"/>
          </w:cols>
          <w:pgMar w:left="240" w:top="834" w:right="23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46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13, 2008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19469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13, 2008</w:t>
      </w:r>
    </w:p>
    <w:p>
      <w:pPr>
        <w:spacing w:after="0" w:line="200" w:lineRule="exact"/>
        <w:rPr>
          <w:sz w:val="20"/>
          <w:szCs w:val="20"/>
          <w:color w:val="auto"/>
        </w:rPr>
      </w:pPr>
    </w:p>
    <w:p>
      <w:pPr>
        <w:sectPr>
          <w:pgSz w:w="11900" w:h="16838" w:orient="portrait"/>
          <w:cols w:equalWidth="0" w:num="2">
            <w:col w:w="4980" w:space="720"/>
            <w:col w:w="5720"/>
          </w:cols>
          <w:pgMar w:left="240" w:top="83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audited the internal control over financial reporting of Hawkins, Inc. (the “Company”) as of March 30, 2008,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900" w:h="16838" w:orient="portrait"/>
          <w:cols w:equalWidth="0" w:num="1">
            <w:col w:w="11420"/>
          </w:cols>
          <w:pgMar w:left="240" w:top="834" w:right="239" w:bottom="0" w:gutter="0" w:footer="0" w:header="0"/>
          <w:type w:val="continuous"/>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March 30, 2008, based on the criteria established in Internal Control — Integrated Framework issued by the Committee of Sponsoring Organizations of the Treadway Commission.</w:t>
      </w:r>
    </w:p>
    <w:p>
      <w:pPr>
        <w:spacing w:after="0" w:line="22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financial statements and financial statement schedule listed in the Index at ITEM 15 as of and for the year ended March 30, 2008, of the Company, and our report dated June 12, 2008, expressed an unqualified opinion on those financial statements and financial statement schedule.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3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fourth quarter of fiscal 2008 that has materially affected, or is reasonably likely to materially affect, the Company’s internal control over financial reporting.</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9B.</w:t>
      </w:r>
      <w:r>
        <w:rPr>
          <w:sz w:val="20"/>
          <w:szCs w:val="20"/>
          <w:color w:val="auto"/>
        </w:rPr>
        <w:tab/>
      </w:r>
      <w:r>
        <w:rPr>
          <w:rFonts w:ascii="Arial" w:cs="Arial" w:eastAsia="Arial" w:hAnsi="Arial"/>
          <w:sz w:val="19"/>
          <w:szCs w:val="19"/>
          <w:color w:val="auto"/>
        </w:rPr>
        <w:t>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III</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DIRECTORS, EXECUTIVE OFFICERS, AND CORPORATE GOVERNANCE OF THE COMPANY</w:t>
      </w:r>
    </w:p>
    <w:p>
      <w:pPr>
        <w:spacing w:after="0" w:line="219"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6"/>
          <w:szCs w:val="16"/>
          <w:color w:val="auto"/>
        </w:rPr>
        <w:t>The information under the captions “Election of Directors,” “Corporate Governance,” and “Section 16(a) Beneficial Ownership Reporting Compliance” in the Proxy Statement for the 2008 Annual Meeting of Shareholders is incorporated herein by this reference. Information required under this item with respect to executive officers is contained in Part I of this Form 10-K under the caption “Executive Officers of the Registrant.”</w:t>
      </w:r>
    </w:p>
    <w:p>
      <w:pPr>
        <w:spacing w:after="0" w:line="16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11.</w:t>
      </w:r>
      <w:r>
        <w:rPr>
          <w:sz w:val="20"/>
          <w:szCs w:val="20"/>
          <w:color w:val="auto"/>
        </w:rPr>
        <w:tab/>
      </w:r>
      <w:r>
        <w:rPr>
          <w:rFonts w:ascii="Arial" w:cs="Arial" w:eastAsia="Arial" w:hAnsi="Arial"/>
          <w:sz w:val="19"/>
          <w:szCs w:val="19"/>
          <w:color w:val="auto"/>
        </w:rPr>
        <w:t>EXECUTIVE COMPENSATION</w:t>
      </w:r>
    </w:p>
    <w:p>
      <w:pPr>
        <w:spacing w:after="0" w:line="219"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2008 Annual Meeting of Shareholders is incorporated herein by this reference.</w:t>
      </w:r>
    </w:p>
    <w:p>
      <w:pPr>
        <w:spacing w:after="0" w:line="173" w:lineRule="exact"/>
        <w:rPr>
          <w:sz w:val="20"/>
          <w:szCs w:val="20"/>
          <w:color w:val="auto"/>
        </w:rPr>
      </w:pPr>
    </w:p>
    <w:p>
      <w:pPr>
        <w:ind w:left="1300" w:right="500" w:hanging="1296"/>
        <w:spacing w:after="0" w:line="251" w:lineRule="auto"/>
        <w:tabs>
          <w:tab w:leader="none" w:pos="1280" w:val="left"/>
        </w:tabs>
        <w:rPr>
          <w:sz w:val="20"/>
          <w:szCs w:val="20"/>
          <w:color w:val="auto"/>
        </w:rPr>
      </w:pPr>
      <w:r>
        <w:rPr>
          <w:rFonts w:ascii="Arial" w:cs="Arial" w:eastAsia="Arial" w:hAnsi="Arial"/>
          <w:sz w:val="22"/>
          <w:szCs w:val="22"/>
          <w:color w:val="auto"/>
        </w:rPr>
        <w:t>ITEM 12.</w:t>
      </w:r>
      <w:r>
        <w:rPr>
          <w:sz w:val="20"/>
          <w:szCs w:val="20"/>
          <w:color w:val="auto"/>
        </w:rPr>
        <w:tab/>
      </w:r>
      <w:r>
        <w:rPr>
          <w:rFonts w:ascii="Arial" w:cs="Arial" w:eastAsia="Arial" w:hAnsi="Arial"/>
          <w:sz w:val="22"/>
          <w:szCs w:val="22"/>
          <w:color w:val="auto"/>
        </w:rPr>
        <w:t>SECURITY OWNERSHIP OF CERTAIN BENEFICIAL OWNERS AND MANAGEMENT AND RELATED STOCKHOLDER MATTERS</w:t>
      </w:r>
    </w:p>
    <w:p>
      <w:pPr>
        <w:spacing w:after="0" w:line="186"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The information under the caption “Security Ownership of Management and Beneficial Ownership” and under the heading “Equity Compensation Plan Information” in the Proxy Statement for the 2008 Annual Meeting of Shareholders is incorporated herein by this reference.</w:t>
      </w:r>
    </w:p>
    <w:p>
      <w:pPr>
        <w:sectPr>
          <w:pgSz w:w="11900" w:h="16838" w:orient="portrait"/>
          <w:cols w:equalWidth="0" w:num="1">
            <w:col w:w="11420"/>
          </w:cols>
          <w:pgMar w:left="240" w:top="131" w:right="239" w:bottom="0" w:gutter="0" w:footer="0" w:header="0"/>
        </w:sectPr>
      </w:pP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13.</w:t>
      </w:r>
      <w:r>
        <w:rPr>
          <w:sz w:val="20"/>
          <w:szCs w:val="20"/>
          <w:color w:val="auto"/>
        </w:rPr>
        <w:tab/>
      </w:r>
      <w:r>
        <w:rPr>
          <w:rFonts w:ascii="Arial" w:cs="Arial" w:eastAsia="Arial" w:hAnsi="Arial"/>
          <w:sz w:val="19"/>
          <w:szCs w:val="19"/>
          <w:color w:val="auto"/>
        </w:rPr>
        <w:t>CERTAIN RELATIONSHIPS AND RELATED TRANSACTIONS, AND DIRECTOR INDEPENDENCE</w:t>
      </w:r>
    </w:p>
    <w:p>
      <w:pPr>
        <w:sectPr>
          <w:pgSz w:w="11900" w:h="16838" w:orient="portrait"/>
          <w:cols w:equalWidth="0" w:num="1">
            <w:col w:w="11420"/>
          </w:cols>
          <w:pgMar w:left="240" w:top="131" w:right="239" w:bottom="0" w:gutter="0" w:footer="0" w:header="0"/>
          <w:type w:val="continuous"/>
        </w:sectPr>
      </w:pPr>
    </w:p>
    <w:bookmarkStart w:id="25" w:name="page26"/>
    <w:bookmarkEnd w:id="25"/>
    <w:p>
      <w:pPr>
        <w:ind w:right="220" w:firstLine="648"/>
        <w:spacing w:after="0" w:line="268"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2008 Annual Meeting of Shareholders is incorporated herein by this reference.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14.</w:t>
      </w:r>
      <w:r>
        <w:rPr>
          <w:sz w:val="20"/>
          <w:szCs w:val="20"/>
          <w:color w:val="auto"/>
        </w:rPr>
        <w:tab/>
      </w:r>
      <w:r>
        <w:rPr>
          <w:rFonts w:ascii="Arial" w:cs="Arial" w:eastAsia="Arial" w:hAnsi="Arial"/>
          <w:sz w:val="19"/>
          <w:szCs w:val="19"/>
          <w:color w:val="auto"/>
        </w:rPr>
        <w:t>PRINCIPAL ACCOUNTANT FEES AND SERVICES</w:t>
      </w:r>
    </w:p>
    <w:p>
      <w:pPr>
        <w:spacing w:after="0" w:line="219"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The information under the caption “Independent Registered Public Accounting Firm’s Fees” in the Proxy Statement for the 2008 Annual Meeting of Shareholders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PART IV</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ITEM 15.</w:t>
      </w:r>
      <w:r>
        <w:rPr>
          <w:sz w:val="20"/>
          <w:szCs w:val="20"/>
          <w:color w:val="auto"/>
        </w:rPr>
        <w:tab/>
      </w:r>
      <w:r>
        <w:rPr>
          <w:rFonts w:ascii="Arial" w:cs="Arial" w:eastAsia="Arial" w:hAnsi="Arial"/>
          <w:sz w:val="21"/>
          <w:szCs w:val="21"/>
          <w:color w:val="auto"/>
        </w:rPr>
        <w:t>EXHIBITS AND FINANCIAL STATEMENT SCHEDULES</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March 30, 2008 and April 1,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Income for the fiscal years ended March 30, 2008, April 1, 2007, and April 2,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Shareholders’ Equity for the fiscal years ended March 30, 2008, April 1, 2007, and April 2,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Cash Flows for the fiscal years ended March 30, 2008, April 1, 2007, and April 2,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ind w:left="660" w:right="360"/>
        <w:spacing w:after="0" w:line="259"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 for the fiscal years ended March 30, 2008, April 1, 2007, and April 2,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tab/>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SIGNATURES</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June 13, 2008.</w:t>
      </w:r>
    </w:p>
    <w:p>
      <w:pPr>
        <w:spacing w:after="0" w:line="18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2400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R. Hawkins, Chief Executive Officer</w:t>
      </w:r>
    </w:p>
    <w:p>
      <w:pPr>
        <w:spacing w:after="0" w:line="225"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June 13, 2008.</w:t>
      </w:r>
    </w:p>
    <w:p>
      <w:pPr>
        <w:sectPr>
          <w:pgSz w:w="11900" w:h="16838" w:orient="portrait"/>
          <w:cols w:equalWidth="0" w:num="1">
            <w:col w:w="11340"/>
          </w:cols>
          <w:pgMar w:left="240" w:top="347" w:right="319" w:bottom="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John R. Hawkins, Chief Executive Officer (Principal</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Executive Officer) and Director</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Kathleen P. Pepski, Chief Financial Officer, Vice</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President, Secretary and Treasurer (Principal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Financial Officer and Principal Accounting Officer)</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John S. McKeon, Director, Chairman of the Board</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Howard M.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Howard M. Hawkins, Director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Duane M. Jergenson, Director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G. Robert 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 Robert Gey, Director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Daryl I. Skaar, Director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Eapen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Eapen Chacko, Director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730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James A. Faulconbridge,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FISCAL YEARS ENDED MARCH 30, 2008, APRIL 1, 2007, AND APRIL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5"/>
              </w:rPr>
              <w:t>Additions</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Charged to</w:t>
            </w:r>
          </w:p>
        </w:tc>
        <w:tc>
          <w:tcPr>
            <w:tcW w:w="80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8"/>
              </w:rPr>
              <w:t>Charged</w:t>
            </w:r>
          </w:p>
        </w:tc>
        <w:tc>
          <w:tcPr>
            <w:tcW w:w="46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Costs and</w:t>
            </w:r>
          </w:p>
        </w:tc>
        <w:tc>
          <w:tcPr>
            <w:tcW w:w="12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To Other</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8"/>
              </w:rPr>
              <w:t>of 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2"/>
              </w:rPr>
              <w:t>Expenses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0"/>
              </w:rPr>
              <w:t>Accounts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Write-Offs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2"/>
              </w:rPr>
              <w:t>End of Year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4580" w:type="dxa"/>
            <w:vAlign w:val="bottom"/>
            <w:gridSpan w:val="2"/>
          </w:tcPr>
          <w:p>
            <w:pPr>
              <w:spacing w:after="0"/>
              <w:rPr>
                <w:sz w:val="20"/>
                <w:szCs w:val="20"/>
                <w:color w:val="auto"/>
              </w:rPr>
            </w:pPr>
            <w:r>
              <w:rPr>
                <w:rFonts w:ascii="Arial" w:cs="Arial" w:eastAsia="Arial" w:hAnsi="Arial"/>
                <w:sz w:val="18"/>
                <w:szCs w:val="18"/>
                <w:color w:val="auto"/>
              </w:rPr>
              <w:t>Reserve deducted from asset to which it applies: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Arial" w:cs="Arial" w:eastAsia="Arial" w:hAnsi="Arial"/>
                <w:sz w:val="18"/>
                <w:szCs w:val="18"/>
                <w:color w:val="auto"/>
              </w:rPr>
              <w:t>Year Ended March 30, 2008:</w:t>
            </w:r>
          </w:p>
        </w:tc>
        <w:tc>
          <w:tcPr>
            <w:tcW w:w="3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Allowance for doubtful accounts</w:t>
            </w:r>
          </w:p>
        </w:tc>
        <w:tc>
          <w:tcPr>
            <w:tcW w:w="5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225,000</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17,884</w:t>
            </w:r>
          </w:p>
        </w:tc>
        <w:tc>
          <w:tcPr>
            <w:tcW w:w="120" w:type="dxa"/>
            <w:vAlign w:val="bottom"/>
            <w:shd w:val="clear" w:color="auto" w:fill="D6F3E8"/>
          </w:tcPr>
          <w:p>
            <w:pPr>
              <w:spacing w:after="0"/>
              <w:rPr>
                <w:sz w:val="19"/>
                <w:szCs w:val="19"/>
                <w:color w:val="auto"/>
              </w:rPr>
            </w:pPr>
          </w:p>
        </w:tc>
        <w:tc>
          <w:tcPr>
            <w:tcW w:w="12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17,884</w:t>
            </w:r>
          </w:p>
        </w:tc>
        <w:tc>
          <w:tcPr>
            <w:tcW w:w="2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356"/>
        </w:trPr>
        <w:tc>
          <w:tcPr>
            <w:tcW w:w="4580" w:type="dxa"/>
            <w:vAlign w:val="bottom"/>
            <w:gridSpan w:val="2"/>
          </w:tcPr>
          <w:p>
            <w:pPr>
              <w:spacing w:after="0"/>
              <w:rPr>
                <w:sz w:val="20"/>
                <w:szCs w:val="20"/>
                <w:color w:val="auto"/>
              </w:rPr>
            </w:pPr>
            <w:r>
              <w:rPr>
                <w:rFonts w:ascii="Arial" w:cs="Arial" w:eastAsia="Arial" w:hAnsi="Arial"/>
                <w:sz w:val="18"/>
                <w:szCs w:val="18"/>
                <w:color w:val="auto"/>
              </w:rPr>
              <w:t>Year Ended April 1, 2007: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Allowance for doubtful accounts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225,000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55,806</w:t>
            </w:r>
          </w:p>
        </w:tc>
        <w:tc>
          <w:tcPr>
            <w:tcW w:w="1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55,806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Arial" w:cs="Arial" w:eastAsia="Arial" w:hAnsi="Arial"/>
                <w:sz w:val="18"/>
                <w:szCs w:val="18"/>
                <w:color w:val="auto"/>
              </w:rPr>
              <w:t>Year Ended April 2, 2006:</w:t>
            </w:r>
          </w:p>
        </w:tc>
        <w:tc>
          <w:tcPr>
            <w:tcW w:w="3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Allowance for doubtful accounts</w:t>
            </w:r>
          </w:p>
        </w:tc>
        <w:tc>
          <w:tcPr>
            <w:tcW w:w="5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225,000</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546,730</w:t>
            </w:r>
          </w:p>
        </w:tc>
        <w:tc>
          <w:tcPr>
            <w:tcW w:w="120" w:type="dxa"/>
            <w:vAlign w:val="bottom"/>
            <w:shd w:val="clear" w:color="auto" w:fill="D6F3E8"/>
          </w:tcPr>
          <w:p>
            <w:pPr>
              <w:spacing w:after="0"/>
              <w:rPr>
                <w:sz w:val="19"/>
                <w:szCs w:val="19"/>
                <w:color w:val="auto"/>
              </w:rPr>
            </w:pPr>
          </w:p>
        </w:tc>
        <w:tc>
          <w:tcPr>
            <w:tcW w:w="12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546,730</w:t>
            </w:r>
          </w:p>
        </w:tc>
        <w:tc>
          <w:tcPr>
            <w:tcW w:w="2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7" w:right="239" w:bottom="53" w:gutter="0" w:footer="0" w:header="0"/>
        </w:sectPr>
      </w:pPr>
    </w:p>
    <w:bookmarkStart w:id="27" w:name="page28"/>
    <w:bookmarkEnd w:id="27"/>
    <w:p>
      <w:pPr>
        <w:jc w:val="center"/>
        <w:ind w:right="120"/>
        <w:spacing w:after="0"/>
        <w:rPr>
          <w:sz w:val="20"/>
          <w:szCs w:val="20"/>
          <w:color w:val="auto"/>
        </w:rPr>
      </w:pPr>
      <w:r>
        <w:rPr>
          <w:rFonts w:ascii="Arial" w:cs="Arial" w:eastAsia="Arial" w:hAnsi="Arial"/>
          <w:sz w:val="22"/>
          <w:szCs w:val="22"/>
          <w:color w:val="auto"/>
        </w:rPr>
        <w:t>Exhibit 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Exhibit</w:t>
            </w:r>
          </w:p>
        </w:tc>
        <w:tc>
          <w:tcPr>
            <w:tcW w:w="7720" w:type="dxa"/>
            <w:vAlign w:val="bottom"/>
            <w:gridSpan w:val="3"/>
          </w:tcPr>
          <w:p>
            <w:pPr>
              <w:ind w:left="3660"/>
              <w:spacing w:after="0"/>
              <w:rPr>
                <w:sz w:val="20"/>
                <w:szCs w:val="20"/>
                <w:color w:val="auto"/>
              </w:rPr>
            </w:pPr>
            <w:r>
              <w:rPr>
                <w:rFonts w:ascii="Arial" w:cs="Arial" w:eastAsia="Arial" w:hAnsi="Arial"/>
                <w:sz w:val="18"/>
                <w:szCs w:val="18"/>
                <w:color w:val="auto"/>
              </w:rPr>
              <w:t>Description</w:t>
            </w:r>
          </w:p>
        </w:tc>
        <w:tc>
          <w:tcPr>
            <w:tcW w:w="10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w w:val="94"/>
              </w:rPr>
              <w:t>Amended and Second Restated Articles of Incorporation as amended through February 27, 2001. (1)</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w w:val="94"/>
              </w:rPr>
              <w:t>Retirement Agreement dated December 2, 1998 between the Company and Howard M. Hawkins. (3)</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Description of Consulting Arrangement with John S. McKeon. (4)</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Hawkins, Inc. 2004 Omnibus Stock Plan. (5)</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Form of Restricted Stock Agreement under the Company’s 2004 Omnibus Stock Plan. (6)</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w w:val="99"/>
              </w:rPr>
              <w:t>Separation Agreement Dated December 10, 2007 between the Company and Marvin E. Dee. (7)</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w w:val="86"/>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Executive Officer.</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rPr>
              <w:t>Filed Electronically</w:t>
            </w:r>
          </w:p>
        </w:tc>
      </w:tr>
      <w:tr>
        <w:trPr>
          <w:trHeight w:val="222"/>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Financial Officer.</w:t>
            </w:r>
          </w:p>
        </w:tc>
        <w:tc>
          <w:tcPr>
            <w:tcW w:w="2380" w:type="dxa"/>
            <w:vAlign w:val="bottom"/>
            <w:gridSpan w:val="3"/>
          </w:tcPr>
          <w:p>
            <w:pPr>
              <w:ind w:left="520"/>
              <w:spacing w:after="0"/>
              <w:rPr>
                <w:sz w:val="20"/>
                <w:szCs w:val="20"/>
                <w:color w:val="auto"/>
              </w:rPr>
            </w:pPr>
            <w:r>
              <w:rPr>
                <w:rFonts w:ascii="Arial" w:cs="Arial" w:eastAsia="Arial" w:hAnsi="Arial"/>
                <w:sz w:val="18"/>
                <w:szCs w:val="18"/>
                <w:color w:val="auto"/>
              </w:rPr>
              <w:t>Filed Electronically</w:t>
            </w:r>
          </w:p>
        </w:tc>
      </w:tr>
    </w:tbl>
    <w:p>
      <w:pPr>
        <w:spacing w:after="0" w:line="142" w:lineRule="exact"/>
        <w:rPr>
          <w:sz w:val="20"/>
          <w:szCs w:val="20"/>
          <w:color w:val="auto"/>
        </w:rPr>
      </w:pPr>
    </w:p>
    <w:p>
      <w:pPr>
        <w:ind w:left="780" w:hanging="32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 w:lineRule="exact"/>
        <w:rPr>
          <w:rFonts w:ascii="Arial" w:cs="Arial" w:eastAsia="Arial" w:hAnsi="Arial"/>
          <w:sz w:val="18"/>
          <w:szCs w:val="18"/>
          <w:color w:val="auto"/>
        </w:rPr>
      </w:pPr>
    </w:p>
    <w:p>
      <w:pPr>
        <w:ind w:left="780" w:hanging="32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780" w:hanging="32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Annual Report on Form 10-K for the year ended April 3, 2005.</w:t>
      </w:r>
    </w:p>
    <w:p>
      <w:pPr>
        <w:spacing w:after="0" w:line="9" w:lineRule="exact"/>
        <w:rPr>
          <w:rFonts w:ascii="Arial" w:cs="Arial" w:eastAsia="Arial" w:hAnsi="Arial"/>
          <w:sz w:val="18"/>
          <w:szCs w:val="18"/>
          <w:color w:val="auto"/>
        </w:rPr>
      </w:pPr>
    </w:p>
    <w:p>
      <w:pPr>
        <w:ind w:left="780" w:hanging="324"/>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pacing w:after="0" w:line="9" w:lineRule="exact"/>
        <w:rPr>
          <w:rFonts w:ascii="Arial" w:cs="Arial" w:eastAsia="Arial" w:hAnsi="Arial"/>
          <w:sz w:val="18"/>
          <w:szCs w:val="18"/>
          <w:color w:val="auto"/>
        </w:rPr>
      </w:pPr>
    </w:p>
    <w:p>
      <w:pPr>
        <w:ind w:left="780" w:hanging="324"/>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32" w:lineRule="exact"/>
        <w:rPr>
          <w:rFonts w:ascii="Arial" w:cs="Arial" w:eastAsia="Arial" w:hAnsi="Arial"/>
          <w:sz w:val="16"/>
          <w:szCs w:val="16"/>
          <w:color w:val="auto"/>
        </w:rPr>
      </w:pPr>
    </w:p>
    <w:p>
      <w:pPr>
        <w:ind w:left="780" w:hanging="324"/>
        <w:spacing w:after="0" w:line="250"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for the quarterly period ended September 30, 2004 and filed November 9, 2004.</w:t>
      </w:r>
    </w:p>
    <w:p>
      <w:pPr>
        <w:ind w:left="780" w:hanging="324"/>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Exhibit 10 to the Company’s Current Report on Form 8-K dated December 10, 2007 and filed December 14,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214630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440" w:top="361"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23.1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33-41323 on Form S-8 of our reports dated June 12, 2008, relating to the financial statements and financial statement schedule of Hawkins, Inc., and the effectiveness of internal control over financial reporting appearing in this Annual Report on Form 10-K of Hawkins, Inc. for the year ended March 30,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1754505</wp:posOffset>
            </wp:positionV>
            <wp:extent cx="72504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 w:name="page30"/>
    <w:bookmarkEnd w:id="29"/>
    <w:p>
      <w:pPr>
        <w:ind w:left="10060"/>
        <w:spacing w:after="0"/>
        <w:rPr>
          <w:sz w:val="20"/>
          <w:szCs w:val="20"/>
          <w:color w:val="auto"/>
        </w:rPr>
      </w:pPr>
      <w:r>
        <w:rPr>
          <w:rFonts w:ascii="Arial" w:cs="Arial" w:eastAsia="Arial" w:hAnsi="Arial"/>
          <w:sz w:val="22"/>
          <w:szCs w:val="22"/>
          <w:b w:val="1"/>
          <w:bCs w:val="1"/>
          <w:color w:val="auto"/>
        </w:rPr>
        <w:t>EXHIBIT 31.1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225"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140" w:hanging="322"/>
        <w:spacing w:after="0" w:line="332" w:lineRule="auto"/>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40" w:right="20" w:hanging="322"/>
        <w:spacing w:after="0" w:line="332" w:lineRule="auto"/>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2008</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19469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ind w:left="10060"/>
        <w:spacing w:after="0"/>
        <w:rPr>
          <w:sz w:val="20"/>
          <w:szCs w:val="20"/>
          <w:color w:val="auto"/>
        </w:rPr>
      </w:pPr>
      <w:r>
        <w:rPr>
          <w:rFonts w:ascii="Arial" w:cs="Arial" w:eastAsia="Arial" w:hAnsi="Arial"/>
          <w:sz w:val="22"/>
          <w:szCs w:val="22"/>
          <w:b w:val="1"/>
          <w:bCs w:val="1"/>
          <w:color w:val="auto"/>
        </w:rPr>
        <w:t>EXHIBIT 31.2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225"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sz w:val="20"/>
          <w:szCs w:val="20"/>
          <w:color w:val="auto"/>
        </w:rPr>
      </w:pPr>
    </w:p>
    <w:p>
      <w:pPr>
        <w:ind w:left="1140" w:hanging="322"/>
        <w:spacing w:after="0" w:line="332"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40" w:right="20" w:hanging="322"/>
        <w:spacing w:after="0" w:line="33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2008</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19469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2008,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80" w:hanging="253"/>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609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1583055</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2008,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80" w:hanging="253"/>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60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1771650</wp:posOffset>
            </wp:positionV>
            <wp:extent cx="72504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
    <w:nsid w:val="7FDCC233"/>
    <w:multiLevelType w:val="hybridMultilevel"/>
    <w:lvl w:ilvl="0">
      <w:lvlJc w:val="left"/>
      <w:lvlText w:val="(%1)"/>
      <w:numFmt w:val="decimal"/>
      <w:start w:val="2"/>
    </w:lvl>
    <w:lvl w:ilvl="1">
      <w:lvlJc w:val="left"/>
      <w:lvlText w:val="(%2)"/>
      <w:numFmt w:val="upperLetter"/>
      <w:start w:val="2"/>
    </w:lvl>
  </w:abstractNum>
  <w:abstractNum w:abstractNumId="2">
    <w:nsid w:val="1BEFD79F"/>
    <w:multiLevelType w:val="hybridMultilevel"/>
    <w:lvl w:ilvl="0">
      <w:lvlJc w:val="left"/>
      <w:lvlText w:val="%1"/>
      <w:numFmt w:val="lowerRoman"/>
      <w:start w:val="1"/>
    </w:lvl>
    <w:lvl w:ilvl="1">
      <w:lvlJc w:val="left"/>
      <w:lvlText w:val="(%2)"/>
      <w:numFmt w:val="upperLetter"/>
      <w:start w:val="3"/>
    </w:lvl>
  </w:abstractNum>
  <w:abstractNum w:abstractNumId="3">
    <w:nsid w:val="41A7C4C9"/>
    <w:multiLevelType w:val="hybridMultilevel"/>
    <w:lvl w:ilvl="0">
      <w:lvlJc w:val="left"/>
      <w:lvlText w:val="(%1)"/>
      <w:numFmt w:val="lowerRoman"/>
      <w:start w:val="2"/>
    </w:lvl>
    <w:lvl w:ilvl="1">
      <w:lvlJc w:val="left"/>
      <w:lvlText w:val="%2"/>
      <w:numFmt w:val="upperLetter"/>
      <w:start w:val="1"/>
    </w:lvl>
  </w:abstractNum>
  <w:abstractNum w:abstractNumId="4">
    <w:nsid w:val="6B68079A"/>
    <w:multiLevelType w:val="hybridMultilevel"/>
    <w:lvl w:ilvl="0">
      <w:lvlJc w:val="left"/>
      <w:lvlText w:val="%1"/>
      <w:numFmt w:val="lowerRoman"/>
      <w:start w:val="1"/>
    </w:lvl>
    <w:lvl w:ilvl="1">
      <w:lvlJc w:val="left"/>
      <w:lvlText w:val="(%2)"/>
      <w:numFmt w:val="lowerRoman"/>
      <w:start w:val="8"/>
    </w:lvl>
  </w:abstractNum>
  <w:abstractNum w:abstractNumId="5">
    <w:nsid w:val="4E6AFB66"/>
    <w:multiLevelType w:val="hybridMultilevel"/>
    <w:lvl w:ilvl="0">
      <w:lvlJc w:val="left"/>
      <w:lvlText w:val="(%1)"/>
      <w:numFmt w:val="lowerRoman"/>
      <w:start w:val="13"/>
    </w:lvl>
    <w:lvl w:ilvl="1">
      <w:lvlJc w:val="left"/>
      <w:lvlText w:val="%2"/>
      <w:numFmt w:val="lowerRoman"/>
      <w:start w:val="1"/>
    </w:lvl>
  </w:abstractNum>
  <w:abstractNum w:abstractNumId="6">
    <w:nsid w:val="25E45D32"/>
    <w:multiLevelType w:val="hybridMultilevel"/>
    <w:lvl w:ilvl="0">
      <w:lvlJc w:val="left"/>
      <w:lvlText w:val="(%1)"/>
      <w:numFmt w:val="lowerLetter"/>
      <w:start w:val="4"/>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1."/>
      <w:numFmt w:val="decimal"/>
      <w:start w:val="4"/>
    </w:lvl>
  </w:abstractNum>
  <w:abstractNum w:abstractNumId="13">
    <w:nsid w:val="436C6125"/>
    <w:multiLevelType w:val="hybridMultilevel"/>
    <w:lvl w:ilvl="0">
      <w:lvlJc w:val="left"/>
      <w:lvlText w:val="%1."/>
      <w:numFmt w:val="decimal"/>
      <w:start w:val="5"/>
    </w:lvl>
  </w:abstractNum>
  <w:abstractNum w:abstractNumId="14">
    <w:nsid w:val="628C895D"/>
    <w:multiLevelType w:val="hybridMultilevel"/>
    <w:lvl w:ilvl="0">
      <w:lvlJc w:val="left"/>
      <w:lvlText w:val="%1."/>
      <w:numFmt w:val="decimal"/>
      <w:start w:val="6"/>
    </w:lvl>
  </w:abstractNum>
  <w:abstractNum w:abstractNumId="15">
    <w:nsid w:val="333AB105"/>
    <w:multiLevelType w:val="hybridMultilevel"/>
    <w:lvl w:ilvl="0">
      <w:lvlJc w:val="left"/>
      <w:lvlText w:val="%1."/>
      <w:numFmt w:val="decimal"/>
      <w:start w:val="7"/>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0"/>
    </w:lvl>
  </w:abstractNum>
  <w:abstractNum w:abstractNumId="18">
    <w:nsid w:val="2D1D5AE9"/>
    <w:multiLevelType w:val="hybridMultilevel"/>
    <w:lvl w:ilvl="0">
      <w:lvlJc w:val="left"/>
      <w:lvlText w:val="%1."/>
      <w:numFmt w:val="decimal"/>
      <w:start w:val="1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3"/>
    </w:lvl>
  </w:abstractNum>
  <w:abstractNum w:abstractNumId="23">
    <w:nsid w:val="4353D0CD"/>
    <w:multiLevelType w:val="hybridMultilevel"/>
    <w:lvl w:ilvl="0">
      <w:lvlJc w:val="left"/>
      <w:lvlText w:val="%1"/>
      <w:numFmt w:val="decimal"/>
      <w:start w:val="1"/>
    </w:lvl>
    <w:lvl w:ilvl="1">
      <w:lvlJc w:val="left"/>
      <w:lvlText w:val="%2)"/>
      <w:numFmt w:val="lowerLetter"/>
      <w:start w:val="3"/>
    </w:lvl>
  </w:abstractNum>
  <w:abstractNum w:abstractNumId="24">
    <w:nsid w:val="B03E0C6"/>
    <w:multiLevelType w:val="hybridMultilevel"/>
    <w:lvl w:ilvl="0">
      <w:lvlJc w:val="left"/>
      <w:lvlText w:val="%1."/>
      <w:numFmt w:val="decimal"/>
      <w:start w:val="5"/>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2019-12-11T12:43:10Z</dcterms:created>
  <dcterms:modified xsi:type="dcterms:W3CDTF">2019-12-11T12:43:10Z</dcterms:modified>
</cp:coreProperties>
</file>