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-311785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QUARTERLY REPORT PURSUANT TO SECTION 13 OR 15(d) OF THE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29,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48260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rPr>
              <w:t>MINNESOTA</w:t>
            </w:r>
          </w:p>
        </w:tc>
        <w:tc>
          <w:tcPr>
            <w:tcW w:w="3460" w:type="dxa"/>
            <w:vAlign w:val="bottom"/>
          </w:tcPr>
          <w:p>
            <w:pPr>
              <w:jc w:val="center"/>
              <w:ind w:right="1922"/>
              <w:spacing w:after="0"/>
              <w:rPr>
                <w:sz w:val="20"/>
                <w:szCs w:val="20"/>
                <w:color w:val="auto"/>
              </w:rPr>
            </w:pPr>
            <w:r>
              <w:rPr>
                <w:rFonts w:ascii="Arial" w:cs="Arial" w:eastAsia="Arial" w:hAnsi="Arial"/>
                <w:sz w:val="18"/>
                <w:szCs w:val="18"/>
                <w:b w:val="1"/>
                <w:bCs w:val="1"/>
                <w:color w:val="auto"/>
                <w:w w:val="89"/>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6"/>
        </w:trPr>
        <w:tc>
          <w:tcPr>
            <w:tcW w:w="7960" w:type="dxa"/>
            <w:vAlign w:val="bottom"/>
            <w:gridSpan w:val="2"/>
          </w:tcPr>
          <w:p>
            <w:pPr>
              <w:jc w:val="center"/>
              <w:ind w:right="226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94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w w:val="93"/>
              </w:rPr>
              <w:t>incorporation or organization)</w:t>
            </w:r>
          </w:p>
        </w:tc>
        <w:tc>
          <w:tcPr>
            <w:tcW w:w="34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7"/>
              </w:rPr>
              <w:t>2381 ROSEGATE, ROSEVILLE, MINNESOTA 55113</w:t>
            </w:r>
          </w:p>
        </w:tc>
        <w:tc>
          <w:tcPr>
            <w:tcW w:w="346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spacing w:after="0"/>
              <w:rPr>
                <w:sz w:val="16"/>
                <w:szCs w:val="16"/>
                <w:color w:val="auto"/>
              </w:rPr>
            </w:pPr>
          </w:p>
        </w:tc>
      </w:tr>
      <w:tr>
        <w:trPr>
          <w:trHeight w:val="444"/>
        </w:trPr>
        <w:tc>
          <w:tcPr>
            <w:tcW w:w="7960" w:type="dxa"/>
            <w:vAlign w:val="bottom"/>
            <w:gridSpan w:val="2"/>
          </w:tcPr>
          <w:p>
            <w:pPr>
              <w:jc w:val="center"/>
              <w:ind w:left="3399"/>
              <w:spacing w:after="0"/>
              <w:rPr>
                <w:sz w:val="20"/>
                <w:szCs w:val="20"/>
                <w:color w:val="auto"/>
              </w:rPr>
            </w:pPr>
            <w:r>
              <w:rPr>
                <w:rFonts w:ascii="Arial" w:cs="Arial" w:eastAsia="Arial" w:hAnsi="Arial"/>
                <w:sz w:val="18"/>
                <w:szCs w:val="18"/>
                <w:b w:val="1"/>
                <w:bCs w:val="1"/>
                <w:color w:val="auto"/>
                <w:w w:val="90"/>
              </w:rPr>
              <w:t>(612) 331-6910</w:t>
            </w:r>
          </w:p>
        </w:tc>
        <w:tc>
          <w:tcPr>
            <w:tcW w:w="3460" w:type="dxa"/>
            <w:vAlign w:val="bottom"/>
          </w:tcPr>
          <w:p>
            <w:pPr>
              <w:spacing w:after="0"/>
              <w:rPr>
                <w:sz w:val="24"/>
                <w:szCs w:val="24"/>
                <w:color w:val="auto"/>
              </w:rPr>
            </w:pPr>
          </w:p>
        </w:tc>
      </w:tr>
      <w:tr>
        <w:trPr>
          <w:trHeight w:val="224"/>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tcPr>
          <w:p>
            <w:pPr>
              <w:spacing w:after="0"/>
              <w:rPr>
                <w:sz w:val="19"/>
                <w:szCs w:val="19"/>
                <w:color w:val="auto"/>
              </w:rPr>
            </w:pPr>
          </w:p>
        </w:tc>
      </w:tr>
    </w:tbl>
    <w:p>
      <w:pPr>
        <w:spacing w:after="0" w:line="28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1030" w:right="239" w:bottom="1440" w:gutter="0" w:footer="0" w:header="0"/>
        </w:sectPr>
      </w:pPr>
    </w:p>
    <w:p>
      <w:pPr>
        <w:spacing w:after="0" w:line="3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740" w:space="540"/>
            <w:col w:w="4620" w:space="720"/>
            <w:col w:w="2060" w:space="720"/>
            <w:col w:w="1020"/>
          </w:cols>
          <w:pgMar w:left="240" w:top="1030"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640" w:space="640"/>
            <w:col w:w="160" w:space="80"/>
            <w:col w:w="4380" w:space="720"/>
            <w:col w:w="2080" w:space="700"/>
            <w:col w:w="1020"/>
          </w:cols>
          <w:pgMar w:left="240" w:top="1030" w:right="2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56" w:lineRule="exact"/>
        <w:rPr>
          <w:sz w:val="24"/>
          <w:szCs w:val="24"/>
          <w:color w:val="auto"/>
        </w:rPr>
      </w:pPr>
    </w:p>
    <w:tbl>
      <w:tblPr>
        <w:tblLayout w:type="fixed"/>
        <w:tblInd w:w="100" w:type="dxa"/>
        <w:tblCellMar>
          <w:top w:w="0" w:type="dxa"/>
          <w:left w:w="0" w:type="dxa"/>
          <w:bottom w:w="0" w:type="dxa"/>
          <w:right w:w="0" w:type="dxa"/>
        </w:tblCellMar>
      </w:tblPr>
      <w:tr>
        <w:trPr>
          <w:trHeight w:val="188"/>
        </w:trPr>
        <w:tc>
          <w:tcPr>
            <w:tcW w:w="56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CLASS</w:t>
            </w:r>
          </w:p>
        </w:tc>
        <w:tc>
          <w:tcPr>
            <w:tcW w:w="300" w:type="dxa"/>
            <w:vAlign w:val="bottom"/>
          </w:tcPr>
          <w:p>
            <w:pPr>
              <w:spacing w:after="0"/>
              <w:rPr>
                <w:sz w:val="16"/>
                <w:szCs w:val="16"/>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Shares Outstanding at October 26, 2013</w:t>
            </w:r>
          </w:p>
        </w:tc>
        <w:tc>
          <w:tcPr>
            <w:tcW w:w="540" w:type="dxa"/>
            <w:vAlign w:val="bottom"/>
          </w:tcPr>
          <w:p>
            <w:pPr>
              <w:spacing w:after="0"/>
              <w:rPr>
                <w:sz w:val="16"/>
                <w:szCs w:val="16"/>
                <w:color w:val="auto"/>
              </w:rPr>
            </w:pPr>
          </w:p>
        </w:tc>
      </w:tr>
      <w:tr>
        <w:trPr>
          <w:trHeight w:val="243"/>
        </w:trPr>
        <w:tc>
          <w:tcPr>
            <w:tcW w:w="560" w:type="dxa"/>
            <w:vAlign w:val="bottom"/>
          </w:tcPr>
          <w:p>
            <w:pPr>
              <w:spacing w:after="0"/>
              <w:rPr>
                <w:sz w:val="21"/>
                <w:szCs w:val="21"/>
                <w:color w:val="auto"/>
              </w:rPr>
            </w:pPr>
          </w:p>
        </w:tc>
        <w:tc>
          <w:tcPr>
            <w:tcW w:w="52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Common Stock, par value $.05 per share</w:t>
            </w:r>
          </w:p>
        </w:tc>
        <w:tc>
          <w:tcPr>
            <w:tcW w:w="4860" w:type="dxa"/>
            <w:vAlign w:val="bottom"/>
          </w:tcPr>
          <w:p>
            <w:pPr>
              <w:jc w:val="right"/>
              <w:ind w:right="1939"/>
              <w:spacing w:after="0"/>
              <w:rPr>
                <w:sz w:val="20"/>
                <w:szCs w:val="20"/>
                <w:color w:val="auto"/>
              </w:rPr>
            </w:pPr>
            <w:r>
              <w:rPr>
                <w:rFonts w:ascii="Arial" w:cs="Arial" w:eastAsia="Arial" w:hAnsi="Arial"/>
                <w:sz w:val="18"/>
                <w:szCs w:val="18"/>
                <w:color w:val="auto"/>
              </w:rPr>
              <w:t>10,606,042</w:t>
            </w:r>
          </w:p>
        </w:tc>
        <w:tc>
          <w:tcPr>
            <w:tcW w:w="540" w:type="dxa"/>
            <w:vAlign w:val="bottom"/>
          </w:tcPr>
          <w:p>
            <w:pPr>
              <w:spacing w:after="0"/>
              <w:rPr>
                <w:sz w:val="21"/>
                <w:szCs w:val="21"/>
                <w:color w:val="auto"/>
              </w:rPr>
            </w:pPr>
          </w:p>
        </w:tc>
      </w:tr>
      <w:tr>
        <w:trPr>
          <w:trHeight w:val="432"/>
        </w:trPr>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122"/>
        </w:trPr>
        <w:tc>
          <w:tcPr>
            <w:tcW w:w="560" w:type="dxa"/>
            <w:vAlign w:val="bottom"/>
            <w:tcBorders>
              <w:bottom w:val="single" w:sz="8" w:color="auto"/>
            </w:tcBorders>
          </w:tcPr>
          <w:p>
            <w:pPr>
              <w:spacing w:after="0"/>
              <w:rPr>
                <w:sz w:val="10"/>
                <w:szCs w:val="10"/>
                <w:color w:val="auto"/>
              </w:rPr>
            </w:pPr>
          </w:p>
        </w:tc>
        <w:tc>
          <w:tcPr>
            <w:tcW w:w="49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30"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8900" w:type="dxa"/>
            <w:vAlign w:val="bottom"/>
            <w:gridSpan w:val="18"/>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13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90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 September 29, 2013 and March 31, 2013</w:t>
              </w:r>
            </w:hyperlink>
          </w:p>
        </w:tc>
        <w:tc>
          <w:tcPr>
            <w:tcW w:w="108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 Three and Six Months Ended September 29, 2013 and</w:t>
              </w:r>
            </w:hyperlink>
          </w:p>
        </w:tc>
        <w:tc>
          <w:tcPr>
            <w:tcW w:w="108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September 30, 2012</w:t>
              </w:r>
            </w:hyperlink>
          </w:p>
        </w:tc>
        <w:tc>
          <w:tcPr>
            <w:tcW w:w="6040" w:type="dxa"/>
            <w:vAlign w:val="bottom"/>
            <w:tcBorders>
              <w:top w:val="single" w:sz="8" w:color="0000FF"/>
            </w:tcBorders>
            <w:gridSpan w:val="10"/>
          </w:tcPr>
          <w:p>
            <w:pPr>
              <w:spacing w:after="0"/>
              <w:rPr>
                <w:sz w:val="17"/>
                <w:szCs w:val="17"/>
                <w:color w:val="auto"/>
              </w:rPr>
            </w:pPr>
          </w:p>
        </w:tc>
        <w:tc>
          <w:tcPr>
            <w:tcW w:w="14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9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Comprehensive Income – Three and Six Months Ended September 29,</w:t>
              </w:r>
            </w:hyperlink>
          </w:p>
        </w:tc>
        <w:tc>
          <w:tcPr>
            <w:tcW w:w="940" w:type="dxa"/>
            <w:vAlign w:val="bottom"/>
            <w:gridSpan w:val="2"/>
          </w:tcPr>
          <w:p>
            <w:pPr>
              <w:spacing w:after="0"/>
              <w:rPr>
                <w:sz w:val="24"/>
                <w:szCs w:val="24"/>
                <w:color w:val="auto"/>
              </w:rPr>
            </w:pPr>
          </w:p>
        </w:tc>
        <w:tc>
          <w:tcPr>
            <w:tcW w:w="9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900" w:type="dxa"/>
            <w:vAlign w:val="bottom"/>
            <w:gridSpan w:val="18"/>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2013 and September 30, 2012</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000FF"/>
                <w:w w:val="97"/>
              </w:rPr>
            </w:pPr>
            <w:hyperlink w:anchor="page5">
              <w:r>
                <w:rPr>
                  <w:rFonts w:ascii="Arial" w:cs="Arial" w:eastAsia="Arial" w:hAnsi="Arial"/>
                  <w:sz w:val="18"/>
                  <w:szCs w:val="18"/>
                  <w:color w:val="0000FF"/>
                  <w:w w:val="97"/>
                </w:rPr>
                <w:t>Condensed Consolidated Statements of Cash Flows – Six Months Ended September 29, 2013 and September 30,</w:t>
              </w:r>
            </w:hyperlink>
          </w:p>
        </w:tc>
        <w:tc>
          <w:tcPr>
            <w:tcW w:w="108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2012</w:t>
              </w:r>
            </w:hyperlink>
          </w:p>
        </w:tc>
        <w:tc>
          <w:tcPr>
            <w:tcW w:w="2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7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08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3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FF"/>
                <w:w w:val="90"/>
              </w:rPr>
            </w:pPr>
            <w:hyperlink w:anchor="page11">
              <w:r>
                <w:rPr>
                  <w:rFonts w:ascii="Arial" w:cs="Arial" w:eastAsia="Arial" w:hAnsi="Arial"/>
                  <w:sz w:val="18"/>
                  <w:szCs w:val="18"/>
                  <w:color w:val="0000FF"/>
                  <w:w w:val="90"/>
                </w:rPr>
                <w:t>Management’s Discussion and Analysis of Financial Condition and Results of Operations</w:t>
              </w:r>
            </w:hyperlink>
          </w:p>
        </w:tc>
        <w:tc>
          <w:tcPr>
            <w:tcW w:w="2440" w:type="dxa"/>
            <w:vAlign w:val="bottom"/>
            <w:gridSpan w:val="4"/>
          </w:tcPr>
          <w:p>
            <w:pPr>
              <w:spacing w:after="0"/>
              <w:rPr>
                <w:sz w:val="24"/>
                <w:szCs w:val="24"/>
                <w:color w:val="auto"/>
              </w:rPr>
            </w:pPr>
          </w:p>
        </w:tc>
        <w:tc>
          <w:tcPr>
            <w:tcW w:w="1080" w:type="dxa"/>
            <w:vAlign w:val="bottom"/>
            <w:gridSpan w:val="3"/>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12</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3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4"/>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Quantitative and Qualitative Disclosures about Market Risk</w:t>
              </w:r>
            </w:hyperlink>
          </w:p>
        </w:tc>
        <w:tc>
          <w:tcPr>
            <w:tcW w:w="2440" w:type="dxa"/>
            <w:vAlign w:val="bottom"/>
            <w:gridSpan w:val="4"/>
          </w:tcPr>
          <w:p>
            <w:pPr>
              <w:spacing w:after="0"/>
              <w:rPr>
                <w:sz w:val="24"/>
                <w:szCs w:val="24"/>
                <w:color w:val="auto"/>
              </w:rPr>
            </w:pPr>
          </w:p>
        </w:tc>
        <w:tc>
          <w:tcPr>
            <w:tcW w:w="1080" w:type="dxa"/>
            <w:vAlign w:val="bottom"/>
            <w:gridSpan w:val="3"/>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3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00" w:type="dxa"/>
            <w:vAlign w:val="bottom"/>
            <w:gridSpan w:val="12"/>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Controls and Procedures</w:t>
              </w:r>
            </w:hyperlink>
          </w:p>
        </w:tc>
        <w:tc>
          <w:tcPr>
            <w:tcW w:w="4600" w:type="dxa"/>
            <w:vAlign w:val="bottom"/>
            <w:gridSpan w:val="6"/>
          </w:tcPr>
          <w:p>
            <w:pPr>
              <w:spacing w:after="0"/>
              <w:rPr>
                <w:sz w:val="24"/>
                <w:szCs w:val="24"/>
                <w:color w:val="auto"/>
              </w:rPr>
            </w:pPr>
          </w:p>
        </w:tc>
        <w:tc>
          <w:tcPr>
            <w:tcW w:w="1080" w:type="dxa"/>
            <w:vAlign w:val="bottom"/>
            <w:gridSpan w:val="3"/>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8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16">
              <w:r>
                <w:rPr>
                  <w:rFonts w:ascii="Arial" w:cs="Arial" w:eastAsia="Arial" w:hAnsi="Arial"/>
                  <w:sz w:val="18"/>
                  <w:szCs w:val="18"/>
                  <w:b w:val="1"/>
                  <w:bCs w:val="1"/>
                  <w:color w:val="0000FF"/>
                </w:rPr>
                <w:t>OTHER INFORMATION</w:t>
              </w:r>
            </w:hyperlink>
          </w:p>
        </w:tc>
        <w:tc>
          <w:tcPr>
            <w:tcW w:w="6880" w:type="dxa"/>
            <w:vAlign w:val="bottom"/>
            <w:gridSpan w:val="11"/>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3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900" w:type="dxa"/>
            <w:vAlign w:val="bottom"/>
            <w:gridSpan w:val="18"/>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Legal Proceedings</w:t>
              </w:r>
            </w:hyperlink>
          </w:p>
        </w:tc>
        <w:tc>
          <w:tcPr>
            <w:tcW w:w="108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58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3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FF"/>
                <w:w w:val="87"/>
              </w:rPr>
            </w:pPr>
            <w:hyperlink w:anchor="page17">
              <w:r>
                <w:rPr>
                  <w:rFonts w:ascii="Arial" w:cs="Arial" w:eastAsia="Arial" w:hAnsi="Arial"/>
                  <w:sz w:val="18"/>
                  <w:szCs w:val="18"/>
                  <w:color w:val="0000FF"/>
                  <w:w w:val="87"/>
                </w:rPr>
                <w:t>Risk Factors</w:t>
              </w:r>
            </w:hyperlink>
          </w:p>
        </w:tc>
        <w:tc>
          <w:tcPr>
            <w:tcW w:w="420" w:type="dxa"/>
            <w:vAlign w:val="bottom"/>
          </w:tcPr>
          <w:p>
            <w:pPr>
              <w:spacing w:after="0"/>
              <w:rPr>
                <w:sz w:val="24"/>
                <w:szCs w:val="24"/>
                <w:color w:val="auto"/>
              </w:rPr>
            </w:pPr>
          </w:p>
        </w:tc>
        <w:tc>
          <w:tcPr>
            <w:tcW w:w="7580" w:type="dxa"/>
            <w:vAlign w:val="bottom"/>
            <w:gridSpan w:val="14"/>
          </w:tcPr>
          <w:p>
            <w:pPr>
              <w:spacing w:after="0"/>
              <w:rPr>
                <w:sz w:val="24"/>
                <w:szCs w:val="24"/>
                <w:color w:val="auto"/>
              </w:rPr>
            </w:pPr>
          </w:p>
        </w:tc>
        <w:tc>
          <w:tcPr>
            <w:tcW w:w="108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3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91"/>
              </w:rPr>
            </w:pPr>
            <w:hyperlink w:anchor="page17">
              <w:r>
                <w:rPr>
                  <w:rFonts w:ascii="Arial" w:cs="Arial" w:eastAsia="Arial" w:hAnsi="Arial"/>
                  <w:sz w:val="18"/>
                  <w:szCs w:val="18"/>
                  <w:color w:val="0000FF"/>
                  <w:w w:val="91"/>
                </w:rPr>
                <w:t>Exhibits</w:t>
              </w:r>
            </w:hyperlink>
          </w:p>
        </w:tc>
        <w:tc>
          <w:tcPr>
            <w:tcW w:w="300" w:type="dxa"/>
            <w:vAlign w:val="bottom"/>
          </w:tcPr>
          <w:p>
            <w:pPr>
              <w:spacing w:after="0"/>
              <w:rPr>
                <w:sz w:val="24"/>
                <w:szCs w:val="24"/>
                <w:color w:val="auto"/>
              </w:rPr>
            </w:pPr>
          </w:p>
        </w:tc>
        <w:tc>
          <w:tcPr>
            <w:tcW w:w="8000" w:type="dxa"/>
            <w:vAlign w:val="bottom"/>
            <w:gridSpan w:val="15"/>
          </w:tcPr>
          <w:p>
            <w:pPr>
              <w:spacing w:after="0"/>
              <w:rPr>
                <w:sz w:val="24"/>
                <w:szCs w:val="24"/>
                <w:color w:val="auto"/>
              </w:rPr>
            </w:pPr>
          </w:p>
        </w:tc>
        <w:tc>
          <w:tcPr>
            <w:tcW w:w="108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18</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760" w:type="dxa"/>
            <w:vAlign w:val="bottom"/>
          </w:tcPr>
          <w:p>
            <w:pPr>
              <w:spacing w:after="0"/>
              <w:rPr>
                <w:rFonts w:ascii="Arial" w:cs="Arial" w:eastAsia="Arial" w:hAnsi="Arial"/>
                <w:sz w:val="18"/>
                <w:szCs w:val="18"/>
                <w:color w:val="0000FF"/>
                <w:w w:val="85"/>
              </w:rPr>
            </w:pPr>
            <w:hyperlink w:anchor="page18">
              <w:r>
                <w:rPr>
                  <w:rFonts w:ascii="Arial" w:cs="Arial" w:eastAsia="Arial" w:hAnsi="Arial"/>
                  <w:sz w:val="18"/>
                  <w:szCs w:val="18"/>
                  <w:color w:val="0000FF"/>
                  <w:w w:val="85"/>
                </w:rPr>
                <w:t>Signatures</w:t>
              </w:r>
            </w:hyperlink>
          </w:p>
        </w:tc>
        <w:tc>
          <w:tcPr>
            <w:tcW w:w="6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19</w:t>
              </w:r>
            </w:hyperlink>
          </w:p>
        </w:tc>
      </w:tr>
      <w:tr>
        <w:trPr>
          <w:trHeight w:val="20"/>
        </w:trPr>
        <w:tc>
          <w:tcPr>
            <w:tcW w:w="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380" w:type="dxa"/>
            <w:vAlign w:val="bottom"/>
            <w:gridSpan w:val="3"/>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Exhibit Index</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gridSpan w:val="3"/>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20</w:t>
              </w:r>
            </w:hyperlink>
          </w:p>
        </w:tc>
      </w:tr>
      <w:tr>
        <w:trPr>
          <w:trHeight w:val="507"/>
        </w:trPr>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040" w:type="dxa"/>
            <w:vAlign w:val="bottom"/>
            <w:gridSpan w:val="13"/>
          </w:tcPr>
          <w:p>
            <w:pPr>
              <w:ind w:left="424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29,</w:t>
            </w:r>
          </w:p>
        </w:tc>
        <w:tc>
          <w:tcPr>
            <w:tcW w:w="240" w:type="dxa"/>
            <w:vAlign w:val="bottom"/>
          </w:tcPr>
          <w:p>
            <w:pPr>
              <w:spacing w:after="0"/>
              <w:rPr>
                <w:sz w:val="14"/>
                <w:szCs w:val="14"/>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29,111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28,715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available-for-sale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Trade receivables — less allowance for doubtful accounts: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$418 as of September 29, 2013 and $469 as of March 31, 2013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35,920</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31,626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28,208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113,988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111,081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156,228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153,055</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(62,081)</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90,141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90,974</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Intangible assets — less accumulated amortization:</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$2,704 as of September 29, 2013 and $2,398 as of March 31, 2013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10,601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24,712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20,093</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228,841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222,148</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17,979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18,516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Accrued payroll and employee benefits</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Income tax payable</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35,663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35,125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WITHDRAWAL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51,681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51,976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authorized: 30,000,000 shares of $0.05 par value; 10,547,882 and 10,495,427 shares issued</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outstanding for September 29, 2013 and March 31, 2013,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49,307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48,779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127,475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120,974</w:t>
            </w:r>
          </w:p>
        </w:tc>
        <w:tc>
          <w:tcPr>
            <w:tcW w:w="0" w:type="dxa"/>
            <w:vAlign w:val="bottom"/>
          </w:tcPr>
          <w:p>
            <w:pPr>
              <w:spacing w:after="0"/>
              <w:rPr>
                <w:sz w:val="1"/>
                <w:szCs w:val="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177,160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170,172</w:t>
            </w:r>
          </w:p>
        </w:tc>
        <w:tc>
          <w:tcPr>
            <w:tcW w:w="0" w:type="dxa"/>
            <w:vAlign w:val="bottom"/>
          </w:tcPr>
          <w:p>
            <w:pPr>
              <w:spacing w:after="0"/>
              <w:rPr>
                <w:sz w:val="1"/>
                <w:szCs w:val="1"/>
                <w:color w:val="auto"/>
              </w:rPr>
            </w:pP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228,841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222,148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580"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580" w:right="2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20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181,343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177,259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(67,964)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(147,542)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(142,756)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34,503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(15,682)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18,821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income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(7,290)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11,613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10,545,719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10,458,922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10,533,951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10,444,898</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shares outstanding - diluted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10,588,747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10,519,400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10,582,318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10,513,213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3"/>
                <w:szCs w:val="13"/>
                <w:color w:val="auto"/>
              </w:rPr>
            </w:pPr>
          </w:p>
        </w:tc>
        <w:tc>
          <w:tcPr>
            <w:tcW w:w="120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11,613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Unrealized gain (loss) on post-retirement liability</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78</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5,194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7,312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10,276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11,697</w:t>
            </w:r>
          </w:p>
        </w:tc>
      </w:tr>
      <w:tr>
        <w:trPr>
          <w:trHeight w:val="27"/>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29,</w:t>
            </w: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8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10,319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11,613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Reconciliation to cash flows: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6,748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Loss from property disposals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accounts providing (using) cash:</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Trade receivables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37"/>
        </w:trPr>
        <w:tc>
          <w:tcPr>
            <w:tcW w:w="8240" w:type="dxa"/>
            <w:vAlign w:val="bottom"/>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14,796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23,459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(11,883)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Sale and maturities of investments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9,245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4,855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property disposals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(19,955)</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New shares issued</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surrendered for payroll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the exercise of stock options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share-based compensation</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7"/>
        </w:trPr>
        <w:tc>
          <w:tcPr>
            <w:tcW w:w="8240" w:type="dxa"/>
            <w:vAlign w:val="bottom"/>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28,715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28,566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29,707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Noncash investing activities - Capital expenditures in accounts payable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consolidated financial statements and footnotes included in our Annual Report on Form 10-K for the fiscal year ended March 31, 2013,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2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accounting policies we follow are set forth in “Item 8. Financial Statements and Supplementary Data, Note 1 – Nature of Business and Significant Accounting Policies” to our consolidated financial statements in our Annual Report on Form 10-K for the fiscal year ended March 31, 2013 filed with the SEC on May 30, 2013. There has been no significant change in our accounting policies since the end of fiscal 2013.</w:t>
      </w:r>
    </w:p>
    <w:p>
      <w:pPr>
        <w:spacing w:after="0" w:line="1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results of operations for the six month period ended September 29, 2013 are not necessarily indicative of the results that may be expected for the full year.</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References to fiscal 2013 refer to the fiscal year ended March 31, 2013 and references to fiscal 2014 refer to the fiscal year ending March 30, 2014.</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common shares outstanding—basic</w:t>
      </w:r>
    </w:p>
    <w:p>
      <w:pPr>
        <w:spacing w:after="0" w:line="77"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Dilutive impact of stock options, performance units, and restricted stock</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common shares outstanding—diluted</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320" w:type="dxa"/>
            <w:vAlign w:val="bottom"/>
            <w:gridSpan w:val="4"/>
          </w:tcPr>
          <w:p>
            <w:pPr>
              <w:ind w:left="800"/>
              <w:spacing w:after="0"/>
              <w:rPr>
                <w:sz w:val="20"/>
                <w:szCs w:val="20"/>
                <w:color w:val="auto"/>
              </w:rPr>
            </w:pPr>
            <w:r>
              <w:rPr>
                <w:rFonts w:ascii="Arial" w:cs="Arial" w:eastAsia="Arial" w:hAnsi="Arial"/>
                <w:sz w:val="18"/>
                <w:szCs w:val="18"/>
                <w:b w:val="1"/>
                <w:bCs w:val="1"/>
                <w:color w:val="auto"/>
              </w:rPr>
              <w:t>Three Months Ended</w:t>
            </w:r>
          </w:p>
        </w:tc>
        <w:tc>
          <w:tcPr>
            <w:tcW w:w="30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17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1740" w:type="dxa"/>
            <w:vAlign w:val="bottom"/>
            <w:gridSpan w:val="2"/>
          </w:tcPr>
          <w:p>
            <w:pPr>
              <w:ind w:left="240"/>
              <w:spacing w:after="0"/>
              <w:rPr>
                <w:sz w:val="20"/>
                <w:szCs w:val="20"/>
                <w:color w:val="auto"/>
              </w:rPr>
            </w:pPr>
            <w:r>
              <w:rPr>
                <w:rFonts w:ascii="Arial" w:cs="Arial" w:eastAsia="Arial" w:hAnsi="Arial"/>
                <w:sz w:val="18"/>
                <w:szCs w:val="18"/>
                <w:b w:val="1"/>
                <w:bCs w:val="1"/>
                <w:color w:val="auto"/>
              </w:rPr>
              <w:t>September 29,</w:t>
            </w: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w:t>
            </w:r>
          </w:p>
        </w:tc>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29,</w:t>
            </w: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16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620" w:type="dxa"/>
            <w:vAlign w:val="bottom"/>
          </w:tcPr>
          <w:p>
            <w:pPr>
              <w:jc w:val="right"/>
              <w:ind w:right="30"/>
              <w:spacing w:after="0"/>
              <w:rPr>
                <w:sz w:val="20"/>
                <w:szCs w:val="20"/>
                <w:color w:val="auto"/>
              </w:rPr>
            </w:pPr>
            <w:r>
              <w:rPr>
                <w:rFonts w:ascii="Arial" w:cs="Arial" w:eastAsia="Arial" w:hAnsi="Arial"/>
                <w:sz w:val="18"/>
                <w:szCs w:val="18"/>
                <w:color w:val="auto"/>
              </w:rPr>
              <w:t>10,545,719</w:t>
            </w:r>
          </w:p>
        </w:tc>
        <w:tc>
          <w:tcPr>
            <w:tcW w:w="1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10,458,922</w:t>
            </w: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10,533,951</w:t>
            </w: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10,444,898</w:t>
            </w:r>
          </w:p>
        </w:tc>
      </w:tr>
      <w:tr>
        <w:trPr>
          <w:trHeight w:val="486"/>
        </w:trPr>
        <w:tc>
          <w:tcPr>
            <w:tcW w:w="1620" w:type="dxa"/>
            <w:vAlign w:val="bottom"/>
          </w:tcPr>
          <w:p>
            <w:pPr>
              <w:jc w:val="right"/>
              <w:ind w:right="30"/>
              <w:spacing w:after="0"/>
              <w:rPr>
                <w:sz w:val="20"/>
                <w:szCs w:val="20"/>
                <w:color w:val="auto"/>
              </w:rPr>
            </w:pPr>
            <w:r>
              <w:rPr>
                <w:rFonts w:ascii="Arial" w:cs="Arial" w:eastAsia="Arial" w:hAnsi="Arial"/>
                <w:sz w:val="18"/>
                <w:szCs w:val="18"/>
                <w:color w:val="auto"/>
              </w:rPr>
              <w:t>43,028</w:t>
            </w:r>
          </w:p>
        </w:tc>
        <w:tc>
          <w:tcPr>
            <w:tcW w:w="1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60,478</w:t>
            </w:r>
          </w:p>
        </w:tc>
        <w:tc>
          <w:tcPr>
            <w:tcW w:w="1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48,367</w:t>
            </w:r>
          </w:p>
        </w:tc>
        <w:tc>
          <w:tcPr>
            <w:tcW w:w="1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68,315</w:t>
            </w:r>
          </w:p>
        </w:tc>
      </w:tr>
      <w:tr>
        <w:trPr>
          <w:trHeight w:val="27"/>
        </w:trPr>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620" w:type="dxa"/>
            <w:vAlign w:val="bottom"/>
          </w:tcPr>
          <w:p>
            <w:pPr>
              <w:jc w:val="right"/>
              <w:ind w:right="30"/>
              <w:spacing w:after="0"/>
              <w:rPr>
                <w:sz w:val="20"/>
                <w:szCs w:val="20"/>
                <w:color w:val="auto"/>
              </w:rPr>
            </w:pPr>
            <w:r>
              <w:rPr>
                <w:rFonts w:ascii="Arial" w:cs="Arial" w:eastAsia="Arial" w:hAnsi="Arial"/>
                <w:sz w:val="18"/>
                <w:szCs w:val="18"/>
                <w:color w:val="auto"/>
              </w:rPr>
              <w:t>10,588,747</w:t>
            </w:r>
          </w:p>
        </w:tc>
        <w:tc>
          <w:tcPr>
            <w:tcW w:w="1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10,519,400</w:t>
            </w: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10,582,318</w:t>
            </w: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10,513,213</w:t>
            </w:r>
          </w:p>
        </w:tc>
      </w:tr>
      <w:tr>
        <w:trPr>
          <w:trHeight w:val="27"/>
        </w:trPr>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-694055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-205105</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820" w:space="220"/>
            <w:col w:w="6380"/>
          </w:cols>
          <w:pgMar w:left="240" w:top="580" w:right="239" w:bottom="1440" w:gutter="0" w:footer="0" w:header="0"/>
          <w:type w:val="continuous"/>
        </w:sectPr>
      </w:pPr>
    </w:p>
    <w:p>
      <w:pPr>
        <w:ind w:right="460"/>
        <w:spacing w:after="0" w:line="277" w:lineRule="auto"/>
        <w:rPr>
          <w:sz w:val="20"/>
          <w:szCs w:val="20"/>
          <w:color w:val="auto"/>
        </w:rPr>
      </w:pPr>
      <w:r>
        <w:rPr>
          <w:rFonts w:ascii="Arial" w:cs="Arial" w:eastAsia="Arial" w:hAnsi="Arial"/>
          <w:sz w:val="18"/>
          <w:szCs w:val="18"/>
          <w:color w:val="auto"/>
        </w:rPr>
        <w:t>For the three and six months ended September 29, 2013 and September 30, 2012, there were no shares or stock options excluded from the calculation of weighted-average common shares for diluted EPS.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3 – Cash and Cash Equivalents and Investments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fair value on a recurring basis, and indicates the fair value hierarchy of the valuation techniques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29,</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9"/>
                <w:szCs w:val="19"/>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29,111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29,111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3,707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28,715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28,715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5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21,222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21,222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Our financial assets that are measured at fair value on a recurring basis are certificates of deposit (“CD’s”) and municipal bonds, with original maturities ranging from three months to two years that fall within valuation technique Level 2. The CD’s and municipal bonds are classified as investments in current assets and noncurrent assets on the condensed consolidated balance sheets. As of September 29, 2013, the combined CD’s and municipal bonds in current assets had a fair value of $15.1 million and in noncurrent assets, the combined CD’s and municipal bonds had a fair value of $10.6 million.</w:t>
      </w:r>
    </w:p>
    <w:p>
      <w:pPr>
        <w:spacing w:after="0" w:line="10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carrying value of cash and cash equivalents accounts approximates fair value, as original maturities are three months or less. We did not have any financial liability instruments subject to recurring fair value measurements as of September 29,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September 29, 2013 and March 31, 2013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29,</w:t>
            </w:r>
          </w:p>
        </w:tc>
        <w:tc>
          <w:tcPr>
            <w:tcW w:w="24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21"/>
        </w:trPr>
        <w:tc>
          <w:tcPr>
            <w:tcW w:w="80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9"/>
                <w:szCs w:val="19"/>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35,281</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LIFO reserve</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(7,073)</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$34.5 million at September 29, 2013 and $30.3 million at March 31, 2013. The remainder of the inventory was valued and accounted for under the FIFO method.</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LIFO reserve decreased $0.4 million during the three months ended September 29, 2013, and increased $0.1 million during the three months ended September 30, 2012. During the six months ended September 29, 2013 the LIFO reserve decreased $0.1 million, and for the six months ended September 30, 2012 the LIFO reserve increased $0.2 million. The valuation of LIFO inventory for interim periods is based on our estimates of year-end inventory levels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5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carrying amount of goodwill as of September 29, 2013 and March 31, 2013 was $6.5 million.</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consist primarily of customer lists, trademarks, trade secrets and non-compete agreements classified as finite life and trade</w:t>
      </w:r>
      <w:r>
        <w:rPr>
          <w:rFonts w:ascii="Arial" w:cs="Arial" w:eastAsia="Arial" w:hAnsi="Arial"/>
          <w:sz w:val="18"/>
          <w:szCs w:val="18"/>
          <w:i w:val="1"/>
          <w:iCs w:val="1"/>
          <w:color w:val="auto"/>
        </w:rPr>
        <w:t xml:space="preserve"> </w:t>
      </w:r>
      <w:r>
        <w:rPr>
          <w:rFonts w:ascii="Arial" w:cs="Arial" w:eastAsia="Arial" w:hAnsi="Arial"/>
          <w:sz w:val="18"/>
          <w:szCs w:val="18"/>
          <w:color w:val="auto"/>
        </w:rPr>
        <w:t>names classified as indefinite life, related to business acquisitions. A summary of our intangible assets as of September 29, 2013 and March 31, 2013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29, 2013</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March 31, 2013</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8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3"/>
                <w:szCs w:val="13"/>
                <w:color w:val="auto"/>
              </w:rPr>
            </w:pPr>
          </w:p>
        </w:tc>
        <w:tc>
          <w:tcPr>
            <w:tcW w:w="122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3"/>
                <w:szCs w:val="13"/>
                <w:color w:val="auto"/>
              </w:rPr>
            </w:pPr>
          </w:p>
        </w:tc>
        <w:tc>
          <w:tcPr>
            <w:tcW w:w="7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158"/>
        </w:trPr>
        <w:tc>
          <w:tcPr>
            <w:tcW w:w="38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122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5,508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4,389</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5,508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(981)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Trademark</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(274)</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Trade secrets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962</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(640)</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Carrier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6,145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8,849</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(2,398)</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43"/>
        </w:trPr>
        <w:tc>
          <w:tcPr>
            <w:tcW w:w="3820" w:type="dxa"/>
            <w:vAlign w:val="bottom"/>
            <w:gridSpan w:val="3"/>
          </w:tcPr>
          <w:p>
            <w:pPr>
              <w:ind w:left="4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1,227</w:t>
            </w:r>
          </w:p>
        </w:tc>
        <w:tc>
          <w:tcPr>
            <w:tcW w:w="26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7,372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(2,398)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preparation of our condensed consolidated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condensed consolidated balance sheet. These assets and liabilities are analyzed regularly and management assesses the likelihood that deferred tax assets will be recovered from future taxable income. We record any interest and penalties related to income taxes as income tax expense in the condensed consolidated statements of income.</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Changes in recognition or measurement are reflected in the period in which the change in judgment occurs.</w:t>
      </w:r>
    </w:p>
    <w:p>
      <w:pPr>
        <w:spacing w:after="0" w:line="11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file income tax returns in the U.S. federal jurisdiction and numerous state and local jurisdictions. The tax years beginning with our fiscal year ended March 29, 2009 remain open to examination by the Internal Revenue Service, and with few exceptions, state and local income tax jurisdictions.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Accumulated Other Comprehensive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on our balance sheet, net of tax, were as follows:</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29,</w:t>
            </w:r>
          </w:p>
        </w:tc>
        <w:tc>
          <w:tcPr>
            <w:tcW w:w="26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r>
      <w:tr>
        <w:trPr>
          <w:trHeight w:val="221"/>
        </w:trPr>
        <w:tc>
          <w:tcPr>
            <w:tcW w:w="75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9"/>
                <w:szCs w:val="19"/>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7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Unrealized gain (loss) on:</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80" w:type="dxa"/>
            <w:vAlign w:val="bottom"/>
            <w:gridSpan w:val="2"/>
          </w:tcPr>
          <w:p>
            <w:pPr>
              <w:ind w:left="340"/>
              <w:spacing w:after="0"/>
              <w:rPr>
                <w:sz w:val="20"/>
                <w:szCs w:val="20"/>
                <w:color w:val="auto"/>
              </w:rPr>
            </w:pPr>
            <w:r>
              <w:rPr>
                <w:rFonts w:ascii="Arial" w:cs="Arial" w:eastAsia="Arial" w:hAnsi="Arial"/>
                <w:sz w:val="18"/>
                <w:szCs w:val="18"/>
                <w:color w:val="auto"/>
              </w:rPr>
              <w:t>Available-for-sale investments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Post-retirement plan liability</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7"/>
        </w:trPr>
        <w:tc>
          <w:tcPr>
            <w:tcW w:w="7520" w:type="dxa"/>
            <w:vAlign w:val="bottom"/>
            <w:gridSpan w:val="3"/>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Stock Option Awards. </w:t>
      </w:r>
      <w:r>
        <w:rPr>
          <w:rFonts w:ascii="Arial" w:cs="Arial" w:eastAsia="Arial" w:hAnsi="Arial"/>
          <w:sz w:val="17"/>
          <w:szCs w:val="17"/>
          <w:color w:val="auto"/>
        </w:rPr>
        <w:t>Although no stock options have been granted since the fiscal year ended March 28, 2010, our Board of Directors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approved a long-term incentive equity compensation arrangement for our executive officers that provided for the grant of non-qualified stock options that vested at the end of a three-year period. As of September 29, 2013, we had 9,333 stock options outstanding and exercisable at a weighted average exercise price of $19.90. No compensation expense was recorded related to stock options for the three and six months ended September 29, 2013. Compensation expense for the three and six month periods ended September 30, 2012 related to stock options was nominal.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ind w:right="60"/>
        <w:spacing w:after="0" w:line="272" w:lineRule="auto"/>
        <w:rPr>
          <w:sz w:val="20"/>
          <w:szCs w:val="20"/>
          <w:color w:val="auto"/>
        </w:rPr>
      </w:pPr>
      <w:r>
        <w:rPr>
          <w:rFonts w:ascii="Arial" w:cs="Arial" w:eastAsia="Arial" w:hAnsi="Arial"/>
          <w:sz w:val="17"/>
          <w:szCs w:val="17"/>
          <w:i w:val="1"/>
          <w:iCs w:val="1"/>
          <w:color w:val="auto"/>
        </w:rPr>
        <w:t xml:space="preserve">Performance-Based Restricted Stock Units. </w:t>
      </w:r>
      <w:r>
        <w:rPr>
          <w:rFonts w:ascii="Arial" w:cs="Arial" w:eastAsia="Arial" w:hAnsi="Arial"/>
          <w:sz w:val="17"/>
          <w:szCs w:val="17"/>
          <w:color w:val="auto"/>
        </w:rPr>
        <w:t>The Board approved a performance-based equity compensation arrangement for our executive officers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quarters of each of fiscal 2014 and 2013.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39,833 shares in the aggregate for fiscal 2014. The restricted shares issued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six months ended September 29, 2013:</w:t>
      </w:r>
    </w:p>
    <w:p>
      <w:pPr>
        <w:spacing w:after="0" w:line="15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4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28,648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360" w:type="dxa"/>
            <w:vAlign w:val="bottom"/>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recorded compensation expense of $0.2 million and $0.3 million related to performance share units and restricted stock for the three and six months ended September 29, 2013. We recorded compensation expense of $0.3 million and $0.6 million related to performance share units and restricted stock for the three and six months ended September 30, 2012. Substantially all of the compensation expense was recorded in selling, general and administrative expenses in the condensed consolidated statements of income.</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As part of their retainer, each non-employee director receives an annual grant of restricted stock for their Board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awards are expensed over the requisite vesting period, which is one year from the date of issuance, based on the market value on the date of grant. As of September 29, 2013, there were 6,055 shares of restricted stock with a weighted averaged grant date fair value of $40.42 outstanding under this program. Compensation expense for the three and six months ended September 29, 2013 and September 30, 2012 related to restricted stock awards to the Board was $0.1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Employee Pension Plans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Multiemployer pension plan</w:t>
      </w:r>
      <w:r>
        <w:rPr>
          <w:rFonts w:ascii="Arial" w:cs="Arial" w:eastAsia="Arial" w:hAnsi="Arial"/>
          <w:sz w:val="17"/>
          <w:szCs w:val="17"/>
          <w:color w:val="auto"/>
        </w:rPr>
        <w:t>. In fiscal 2013, we concluded negotiations with two collective bargaining units to discontinue our participation in the Central</w:t>
      </w:r>
      <w:r>
        <w:rPr>
          <w:rFonts w:ascii="Arial" w:cs="Arial" w:eastAsia="Arial" w:hAnsi="Arial"/>
          <w:sz w:val="17"/>
          <w:szCs w:val="17"/>
          <w:i w:val="1"/>
          <w:iCs w:val="1"/>
          <w:color w:val="auto"/>
        </w:rPr>
        <w:t xml:space="preserve"> </w:t>
      </w:r>
      <w:r>
        <w:rPr>
          <w:rFonts w:ascii="Arial" w:cs="Arial" w:eastAsia="Arial" w:hAnsi="Arial"/>
          <w:sz w:val="17"/>
          <w:szCs w:val="17"/>
          <w:color w:val="auto"/>
        </w:rPr>
        <w:t>States, Southeast and Southwest Areas Pension Fund (“CSS” or “the plan”), a collectively bargained multiemployer pension plan. As a result, we recorded a pre-tax charge of $7.2 million (approximately $4.5 million after tax, or $0.43 per share, fully diluted) in the third quarter of fiscal 2013. This charge represents the discounted value of our withdrawal payment obligation and was recorded as a charge to cost of sales in our Industrial segment.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 of our share of the unfunded vested benefit liability will be made over 20 years and is subject to a cap. At the end of the 20-year period we will have no further liability, even if our share of the unfunded vested benefit liability has not yet been paid in full. The aggregate cash payments to be made will total approximately $9.3 million, or $467,000 per year, with the first payment due on October 1,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March 1, 2013, we established defined-contribution retirement benefits to our union employees that are similar to those benefits currently offered to our non-union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Litigation, Commitments and Contingencies</w:t>
      </w:r>
    </w:p>
    <w:p>
      <w:pPr>
        <w:spacing w:after="0" w:line="225"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8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the first quarter of fiscal 2013, we entered into a settlement agreement with ICL Performance Products LP (“ICL”), a chemical supplier to us, pursuant to which we mutually resolved the previously disclosed litigation and all disputes among us. Our obligations under the settlement agreement resulted in a $3.2 million charge to pretax income recorded in cost of sales in our Industrial segment (approximately $2.0 million or $0.19 per share, fully diluted, after tax) in the first quarter of fiscal 2013.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two reportable segments: Industrial and Water Treatment. The accounting policies of the segments are the same as those described in the summary of significant accounting policies as disclosed in our fiscal 2013 Annual Report on Form 10-K.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No single customer's revenues amounted to 10% or more of our total revenue. Sales are primarily within the United States and all assets are located within the United States.</w:t>
      </w:r>
    </w:p>
    <w:p>
      <w:pPr>
        <w:spacing w:after="0" w:line="31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Water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1"/>
        </w:trPr>
        <w:tc>
          <w:tcPr>
            <w:tcW w:w="61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Three months ended September 29, 2013:</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56,683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29,916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86,599</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16,570</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8,293</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8,277</w:t>
            </w:r>
          </w:p>
        </w:tc>
      </w:tr>
      <w:tr>
        <w:trPr>
          <w:trHeight w:val="243"/>
        </w:trPr>
        <w:tc>
          <w:tcPr>
            <w:tcW w:w="6140" w:type="dxa"/>
            <w:vAlign w:val="bottom"/>
            <w:gridSpan w:val="3"/>
          </w:tcPr>
          <w:p>
            <w:pPr>
              <w:ind w:left="20"/>
              <w:spacing w:after="0"/>
              <w:rPr>
                <w:sz w:val="20"/>
                <w:szCs w:val="20"/>
                <w:color w:val="auto"/>
              </w:rPr>
            </w:pPr>
            <w:r>
              <w:rPr>
                <w:rFonts w:ascii="Arial" w:cs="Arial" w:eastAsia="Arial" w:hAnsi="Arial"/>
                <w:sz w:val="18"/>
                <w:szCs w:val="18"/>
                <w:color w:val="auto"/>
              </w:rPr>
              <w:t>Three months ended September 30, 2012:</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87,160</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19,196</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7,455</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11,741</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Six months ended September 29, 2013:</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123,714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57,629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181,343</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33,801</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17,263</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16,538</w:t>
            </w:r>
          </w:p>
        </w:tc>
      </w:tr>
      <w:tr>
        <w:trPr>
          <w:trHeight w:val="243"/>
        </w:trPr>
        <w:tc>
          <w:tcPr>
            <w:tcW w:w="6140" w:type="dxa"/>
            <w:vAlign w:val="bottom"/>
            <w:gridSpan w:val="3"/>
          </w:tcPr>
          <w:p>
            <w:pPr>
              <w:ind w:left="20"/>
              <w:spacing w:after="0"/>
              <w:rPr>
                <w:sz w:val="20"/>
                <w:szCs w:val="20"/>
                <w:color w:val="auto"/>
              </w:rPr>
            </w:pPr>
            <w:r>
              <w:rPr>
                <w:rFonts w:ascii="Arial" w:cs="Arial" w:eastAsia="Arial" w:hAnsi="Arial"/>
                <w:sz w:val="18"/>
                <w:szCs w:val="18"/>
                <w:color w:val="auto"/>
              </w:rPr>
              <w:t>Six months ended September 30, 2012:</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177,259</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17,365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17,138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34,503</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15,682</w:t>
            </w:r>
          </w:p>
        </w:tc>
      </w:tr>
      <w:tr>
        <w:trPr>
          <w:trHeight w:val="243"/>
        </w:trPr>
        <w:tc>
          <w:tcPr>
            <w:tcW w:w="20" w:type="dxa"/>
            <w:vAlign w:val="bottom"/>
          </w:tcPr>
          <w:p>
            <w:pPr>
              <w:spacing w:after="0"/>
              <w:rPr>
                <w:sz w:val="21"/>
                <w:szCs w:val="21"/>
                <w:color w:val="auto"/>
              </w:rPr>
            </w:pPr>
          </w:p>
        </w:tc>
        <w:tc>
          <w:tcPr>
            <w:tcW w:w="6120" w:type="dxa"/>
            <w:vAlign w:val="bottom"/>
            <w:gridSpan w:val="2"/>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7,835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10,986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18,821</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Gross profit for our Industrial segment for the six months ended September 30, 2012 was negatively impacted by a $3.2 million (pre-tax) charge in the first quarter of fiscal 2013 related to the legal settlement discussed in Note 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On October 1, 2013, we acquired substantially all of the assets of Advance Chemical Solutions, Inc. (“ACS”), under the terms of an asset purchase agreement with ACS and its shareholders. We paid $2.5 million in cash at closing, and may be obligated to pay an additional $0.5 million in the aggregate to ACS over the next three years. The amount of such payments will be based on the achievement of certain financial performance targets for each of the next three years.</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ACS, with revenues of approximately $4 million for the 12 months ended September 30, 2013, is located near Tulsa, Oklahoma, and will operate as part of our Water Treatment Group. The results of its operations will be included in our Water Treatment Segment.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23" w:right="239" w:bottom="1440" w:gutter="0" w:footer="0" w:header="0"/>
        </w:sectPr>
      </w:pPr>
    </w:p>
    <w:bookmarkStart w:id="11" w:name="page12"/>
    <w:bookmarkEnd w:id="11"/>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the three and six months ended September 29, 2013 as compared to September 30, 2012. This discussion should be read in conjunction with the Condensed Consolidated Financial Statements and Notes to Condensed Consolidated Financial Statements included in this Form 10-Q and Item 8 of our Annual Report on Form 10-K for the fiscal year ended March 31, 2013 (“fiscal 2013”). References to fiscal 2014 refer to the fiscal year ending March 30,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derive substantially all of our revenues from the sale of bulk and specialty chemicals to our customers in a wide variety of industries. We began our operations primarily as a distributor of bulk chemicals with a strong customer focus. Over the years we have maintained our strong customer focus and have expanded our business by increasing our sales of value-added specialty chemical products, including repackaging, blending and manufacturing certain products.</w:t>
      </w:r>
    </w:p>
    <w:p>
      <w:pPr>
        <w:spacing w:after="0" w:line="2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continued to invest in growing our business. During fiscal 2013, we completed construction of a new Industrial manufacturing facility in Rosemount, Minnesota. The site provides capacity for future business growth and lessens our dependence on our flood-prone sites on the Mississippi River. While we have transferred some blending and manufacturing activity to the Rosemount site, we do not intend to close any sites we currently operate as a result of this transfer of activity. In the first half of fiscal 2014, we incurred incremental costs related to this new facility of approximately $1.0 million, which have been recorded in cost of sales in our Industrial segment. We anticipate full-year incremental costs of approximately $1.3 million in fiscal 2014 to operate this facility for the entire year as we began to incur start-up costs during the second half of fiscal 2013.</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2013, we moved into a new corporate headquarters located in Roseville, Minnesota. The move was necessary because we had outgrown our former corporate headquarters that had been our home for over 60 years. As a result of this move, we incurred incremental costs during the first half of fiscal 2014 of approximately $0.5 million, recorded in selling, general and administrative expenses and allocated among both our Water Treatment and Industrial segments during the first half of fiscal 2014. We expect to incur incremental costs of approximately $1.1 million in fiscal 2014 to lease and operate this facility for the entire year.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quarter of fiscal 2013, we entered into a settlement agreement with a chemical supplier to us, pursuant to which we mutually resolved the previously disclosed litigation and all disputes among us. The settlement agreement provided for a cash payment by us to the supplier and provided that both parties enter into new contracts for the supply by the supplier of certain chemicals to us. Our obligations under the settlement agreement resulted in a $3.2 million charge to pre-tax income recorded in cost of sales in our Industrial segment (approximately $2.0 million after tax or $0.19 per share, fully diluted) in the first quarter of fiscal 2013.</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second quarter of fiscal 2014, we vacated the leased facility used to serve our bulk pharmaceutical customers and transferred production of certain products to our other Industrial production facilities while discontinuing production of the remaining product lines. As a result, we recorded a pre-tax charge of approximately $0.8 million in cost of sales in our Industrial segment (approximately $0.5 million after tax) primarily related to accelerated depreciation on leasehold improvements and manufacturing equipment related to this facility in the first half of fiscal 2014.</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use the last in, first out (“LIFO”) method for valuing substantially all of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bulk chemical raw material prices. We recorded a $0.4 million decrease in our LIFO reserve for the three months ended September 29, 2013 and a $0.1 million decrease in our LIFO reserve for the six months ended September 29, 2013, both of which increased our gross profit in those periods by those amounts. We recorded a $0.1 million increase in our LIFO reserve for the three months ended September 30, 2012 and a $0.2 million increase in our LIFO reserve for the six months ended September 30, 2012, both of which decreased our gross profit for the respective periods by those amounts.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360" w:type="dxa"/>
            <w:vAlign w:val="bottom"/>
            <w:gridSpan w:val="4"/>
          </w:tcPr>
          <w:p>
            <w:pPr>
              <w:ind w:left="860"/>
              <w:spacing w:after="0"/>
              <w:rPr>
                <w:sz w:val="20"/>
                <w:szCs w:val="20"/>
                <w:color w:val="auto"/>
              </w:rPr>
            </w:pPr>
            <w:r>
              <w:rPr>
                <w:rFonts w:ascii="Arial" w:cs="Arial" w:eastAsia="Arial" w:hAnsi="Arial"/>
                <w:sz w:val="18"/>
                <w:szCs w:val="18"/>
                <w:b w:val="1"/>
                <w:bCs w:val="1"/>
                <w:color w:val="auto"/>
              </w:rPr>
              <w:t>Three months ended</w:t>
            </w:r>
          </w:p>
        </w:tc>
        <w:tc>
          <w:tcPr>
            <w:tcW w:w="324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8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September 29, 2013</w:t>
            </w: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September 30, 2012</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w w:val="90"/>
              </w:rPr>
              <w:t>September 29, 2013</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w w:val="92"/>
              </w:rPr>
              <w:t>September 30, 2012</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100.0 %</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(81.4)%</w:t>
            </w:r>
          </w:p>
        </w:tc>
        <w:tc>
          <w:tcPr>
            <w:tcW w:w="162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18.6 %</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(9.5)%</w:t>
            </w:r>
          </w:p>
        </w:tc>
        <w:tc>
          <w:tcPr>
            <w:tcW w:w="16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9.1 %</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(expense) income</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1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9.1 %</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w:t>
            </w:r>
          </w:p>
        </w:tc>
        <w:tc>
          <w:tcPr>
            <w:tcW w:w="1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5.7 %</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1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5.7 %</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94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September 29, 2013 Compared to the Three Months Ended September 30, 2012 </w:t>
      </w:r>
      <w:r>
        <w:rPr>
          <w:rFonts w:ascii="Arial" w:cs="Arial" w:eastAsia="Arial" w:hAnsi="Arial"/>
          <w:sz w:val="18"/>
          <w:szCs w:val="18"/>
          <w:i w:val="1"/>
          <w:iCs w:val="1"/>
          <w:color w:val="auto"/>
        </w:rPr>
        <w:t>Sales</w:t>
      </w:r>
    </w:p>
    <w:p>
      <w:pPr>
        <w:spacing w:after="0" w:line="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Sales decreased $0.6 million, or 0.6%, to $86.6 million for the three months ended September 29, 2013, as compared to $87.2 million for the same period of the prior year. Sales of bulk chemicals accounted for approximately 24% of sales dollars during the second quarter of both fiscal 2014 and fiscal 2013, despite an increase in the volumes of bulk and commodity products sold, which carry lower per unit selling prices.</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$0.5 million, or 0.9%, to $56.7 million for the three months ended September 29, 2013,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$57.2 million for the same period of the prior year, despite an increase in the volumes of bulk and commodity products sold, which carry lower per unit selling prices. In addition, we were unable to pass along cost increases in certain cases due to heightened competitive pressures, which negatively impacted our sales growth in this quarter.</w:t>
      </w:r>
    </w:p>
    <w:p>
      <w:pPr>
        <w:spacing w:after="0" w:line="13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for the second quarter of fiscal 2014 were $29.9 million, unchanged from the same period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Favorable weather conditions late in the quarter and sales growth in its newer branches offset the negative impact of less favorable weather conditions for the majority of the quarter.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Gross profit decreased $2.6 million to $16.6 million, or 19.1% of sales, for the three months ended September 29, 2013, as compared to $19.2 million, or 22.0% of sales, for the same period of the prior year. Gross profit in the Industrial segment declined $2.8 million, while gross profit in the Water Treatment segment increased $0.2 million as discussed below. The LIFO method of valuing inventory increased gross profit by $0.4 million for the current quarter, while it decreased gross profit by $0.1 million for the same period of the prior year.</w:t>
      </w:r>
    </w:p>
    <w:p>
      <w:pPr>
        <w:spacing w:after="0" w:line="13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decreased $2.8 million to $7.3 million, or 12.8% of sales, for the three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29, 2013, as compared to $10.1 million, or 17.6% of sales, for the same period of the prior year. Gross profit was negatively impacted by the incremental costs to operate our new manufacturing facility ($0.4 million) as well as the costs incurred to exit the leased facility used to serve our bulk pharmaceutical customers ($0.4 million). Gross profit was also negatively impacted by a shift in product mix to lower-margin bulk and commodity products and, in certain cases, our inability to pass along cost increases due to heightened competitive pressures. The LIFO method of valuing inventory increased gross profit in this segment by $0.4 million for the current quarter, while it decreased gross profit in this segment by $0.1 million for the same period of the prior year.</w:t>
      </w:r>
    </w:p>
    <w:p>
      <w:pPr>
        <w:spacing w:after="0" w:line="11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was $9.3 million, or 31.0% of sales, for the three months ended September 29, 2013,</w:t>
      </w:r>
      <w:r>
        <w:rPr>
          <w:rFonts w:ascii="Arial" w:cs="Arial" w:eastAsia="Arial" w:hAnsi="Arial"/>
          <w:sz w:val="18"/>
          <w:szCs w:val="18"/>
          <w:i w:val="1"/>
          <w:iCs w:val="1"/>
          <w:color w:val="auto"/>
        </w:rPr>
        <w:t xml:space="preserve"> </w:t>
      </w:r>
      <w:r>
        <w:rPr>
          <w:rFonts w:ascii="Arial" w:cs="Arial" w:eastAsia="Arial" w:hAnsi="Arial"/>
          <w:sz w:val="18"/>
          <w:szCs w:val="18"/>
          <w:color w:val="auto"/>
        </w:rPr>
        <w:t>and $9.1 million, or 30.4% of sales, for the same period in the prior year. Favorable weather conditions later in the quarter, along with growth from its newer branches, more than offset the negative impact of less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27" w:right="239" w:bottom="1440" w:gutter="0" w:footer="0" w:header="0"/>
        </w:sectPr>
      </w:pPr>
    </w:p>
    <w:bookmarkStart w:id="13" w:name="page14"/>
    <w:bookmarkEnd w:id="13"/>
    <w:p>
      <w:pPr>
        <w:ind w:right="220"/>
        <w:spacing w:after="0" w:line="277" w:lineRule="auto"/>
        <w:rPr>
          <w:sz w:val="20"/>
          <w:szCs w:val="20"/>
          <w:color w:val="auto"/>
        </w:rPr>
      </w:pPr>
      <w:r>
        <w:rPr>
          <w:rFonts w:ascii="Arial" w:cs="Arial" w:eastAsia="Arial" w:hAnsi="Arial"/>
          <w:sz w:val="18"/>
          <w:szCs w:val="18"/>
          <w:color w:val="auto"/>
        </w:rPr>
        <w:t>favorable weather conditions for the majority of the quarter. The LIFO Method of valuing inventory nominally impacted gross profit for the current quarter and the same period of the prior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Selling, general and administrative expenses were $8.3 million, or 9.6% of sales, for the three months ended September 29, 2013, as compared to $7.5 million, or 8.6% of sales, for the same period of the prior year. The increase in expenses was driven by the $0.3 million of costs related to our new headquarters facility, as well as additional sales staffing costs in both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income was $8.3 million for the three months ended September 29, 2013 and $11.7 million for the same period of the prior year. Operating income for the Industrial segment decreased $3.3 million and operating income for the Water Treatment segment decreased $0.2 million, primarily as a result of the lower gross profit in our Industrial segment and higher selling, general and administrative expenses incurred within and allocated to both segments discussed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effective income tax rate was 37.0% for the three months ended September 29, 2013 and 38.6% for the same period of the prior year. The effective tax rate is impacted by projected levels of taxable income, permanent items, and state taxes.</w:t>
      </w:r>
    </w:p>
    <w:p>
      <w:pPr>
        <w:spacing w:after="0" w:line="116" w:lineRule="exact"/>
        <w:rPr>
          <w:sz w:val="20"/>
          <w:szCs w:val="20"/>
          <w:color w:val="auto"/>
        </w:rPr>
      </w:pPr>
    </w:p>
    <w:p>
      <w:pPr>
        <w:ind w:right="4440"/>
        <w:spacing w:after="0" w:line="438" w:lineRule="auto"/>
        <w:rPr>
          <w:sz w:val="20"/>
          <w:szCs w:val="20"/>
          <w:color w:val="auto"/>
        </w:rPr>
      </w:pPr>
      <w:r>
        <w:rPr>
          <w:rFonts w:ascii="Arial" w:cs="Arial" w:eastAsia="Arial" w:hAnsi="Arial"/>
          <w:sz w:val="18"/>
          <w:szCs w:val="18"/>
          <w:b w:val="1"/>
          <w:bCs w:val="1"/>
          <w:i w:val="1"/>
          <w:iCs w:val="1"/>
          <w:color w:val="auto"/>
        </w:rPr>
        <w:t xml:space="preserve">Six months ended September 29, 2013 Compared to the Six months ended September 30, 2012 </w:t>
      </w:r>
      <w:r>
        <w:rPr>
          <w:rFonts w:ascii="Arial" w:cs="Arial" w:eastAsia="Arial" w:hAnsi="Arial"/>
          <w:sz w:val="18"/>
          <w:szCs w:val="18"/>
          <w:i w:val="1"/>
          <w:iCs w:val="1"/>
          <w:color w:val="auto"/>
        </w:rPr>
        <w:t>Sales</w:t>
      </w:r>
    </w:p>
    <w:p>
      <w:pPr>
        <w:spacing w:after="0" w:line="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Sales increased $4.1 million, or 2.3%, to $181.3 million for the six months ended September 29, 2013, as compared to $177.3 million for the same period of the prior year. Sales of bulk chemicals were approximately 24% of sales dollars during the six month period ended September 29, 2013, compared to 23% during the same period of the prior year.</w:t>
      </w:r>
    </w:p>
    <w:p>
      <w:pPr>
        <w:spacing w:after="0" w:line="12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$4.3 million, or 3.6%, to $123.7 million for the six months ended September 29, 2013,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$119.4 million for the same period of the prior year. The increase in sales was due to increased sales volumes, primarily in our bulk and commodity products which carry lower per-unit selling prices and margins. In addition, we were unable to pass along cost increases in certain cases due to heightened competitive pressures, which negatively impacted our sales growth in this six month period.</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decreased $0.3 million to $57.6 million for the six months ended September 29, 2013,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$57.9 million for the same period of the prior year. Growth in its newer branches, along with favorable weather conditions late in the second quarter, partially offset the negative impact of less favorable weather conditions for the majority of the six month period of this fiscal year as compared to the same period of the prior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Gross profit decreased $0.7 million to $33.8 million, or 18.6% of sales, for the six months ended September 29, 2013, as compared to $34.5 million, or 19.5% of sales, for the same period of the prior year. Gross profit in the Industrial segment decreased $0.9 million, while gross profit in the Water Treatment segment increased $0.2 million. The prior year's gross profit was adversely impacted by the $3.2 million charge resulting from the litigation settlement in the first quarter of fiscal 2013. The settlement charge constituted 1.8% of total sales for the six month period. The LIFO method of valuing inventory increased gross profit by $0.1 million for the six months ended September 29, 2013, while it decreased gross profit by $0.2 million for the same period of the prior year.</w:t>
      </w:r>
    </w:p>
    <w:p>
      <w:pPr>
        <w:spacing w:after="0" w:line="10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decreased $0.9 million to $16.5 million, or 13.3% of sales, for the six months ended September 29,</w:t>
      </w:r>
      <w:r>
        <w:rPr>
          <w:rFonts w:ascii="Arial" w:cs="Arial" w:eastAsia="Arial" w:hAnsi="Arial"/>
          <w:sz w:val="16"/>
          <w:szCs w:val="16"/>
          <w:i w:val="1"/>
          <w:iCs w:val="1"/>
          <w:color w:val="auto"/>
        </w:rPr>
        <w:t xml:space="preserve"> </w:t>
      </w:r>
      <w:r>
        <w:rPr>
          <w:rFonts w:ascii="Arial" w:cs="Arial" w:eastAsia="Arial" w:hAnsi="Arial"/>
          <w:sz w:val="16"/>
          <w:szCs w:val="16"/>
          <w:color w:val="auto"/>
        </w:rPr>
        <w:t>2013, as compared to $17.4 million, or 14.5% of sales, for the same period of the prior year. Gross profit was negatively impacted by the incremental costs to operate our new manufacturing facility ($1.0 million) as well as the costs incurred to exit the leased facility used to serve our bulk pharmaceutical customers ($0.8 million). Despite higher overall sales volumes, gross profit was also negatively impacted by a product mix shift to lower-margin bulk and commodity products and, in certain cases, our inability to pass along cost increases due to heightened competitive pressures. The prior year's gross profit was adversely impacted by the $3.2 million charge resulting from the litigation settlement in the first quarter of fiscal 2013. The settlement charge constituted 2.7% of Industrial segment sales for the six month period. The LIFO method of valuing inventory increased gross profit in this segment by $0.1 million for the six months ended September 29, 2013, while it decreased gross profit in this segment by $0.1 million for the same period of the prior year.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46" w:right="259" w:bottom="1440" w:gutter="0" w:footer="0" w:header="0"/>
        </w:sectPr>
      </w:pPr>
    </w:p>
    <w:bookmarkStart w:id="14" w:name="page15"/>
    <w:bookmarkEnd w:id="14"/>
    <w:p>
      <w:pPr>
        <w:ind w:right="20"/>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was $17.3 million, or 30.0% of sales, for the six months ended September 29, 2013,</w:t>
      </w:r>
      <w:r>
        <w:rPr>
          <w:rFonts w:ascii="Arial" w:cs="Arial" w:eastAsia="Arial" w:hAnsi="Arial"/>
          <w:sz w:val="18"/>
          <w:szCs w:val="18"/>
          <w:i w:val="1"/>
          <w:iCs w:val="1"/>
          <w:color w:val="auto"/>
        </w:rPr>
        <w:t xml:space="preserve"> </w:t>
      </w:r>
      <w:r>
        <w:rPr>
          <w:rFonts w:ascii="Arial" w:cs="Arial" w:eastAsia="Arial" w:hAnsi="Arial"/>
          <w:sz w:val="18"/>
          <w:szCs w:val="18"/>
          <w:color w:val="auto"/>
        </w:rPr>
        <w:t>and $17.1 million, or 29.6% of sales, for the same period in the prior year. Favorable weather conditions later in the second quarter and growth from its newer branches more than offset the negative impact of less favorable weather conditions for the majority of the six month period when compared to a year ago. The LIFO Method of valuing inventory had a nominal impact on gross profit for the six months ended September 29, 2013 and for the same period of the prior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Selling, general and administrative expenses were $17.3 million, or 9.5% of sales, for the six months ended September 29, 2013, as compared to $15.7 million, or 8.8% of sales, for the same period of the prior year. The increase in expenses was driven by $0.5 million of costs related to our new headquarters facility, as well as additional sales staffing costs in both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income was $16.5 million for the six months ended September 29, 2013 and $18.8 million for the same period of the prior year. Operating income for the Industrial segment decreased $1.6 million and operating income for the Water Treatment segment decreased $0.6 million, primarily as a result of lower gross profit from the Industrial segment and higher selling, general and administrative expenses incurred within and allocated to both segments as discussed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effective income tax rate was 37.5% for the six months ended September 29, 2013 and 38.6% for the same period of the prior year. The effective tax rate is impacted by projected levels of taxable income, permanent items, and state taxes.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Cash provided by operating activities for the six months ended September 29, 2013 was $14.8 million compared to $23.5 million for the same period of the prior year. The decrease in cash provided by operating activities was due to an increase in cash used to fund working capital, primarily relating to the timing of inventory purchases and the payment of trade payables as well as the timing of income tax payments.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 Additionally, due to the seasonality of the water treatment business, our accounts receivable balance generally increases during the period of April through September.</w:t>
      </w:r>
    </w:p>
    <w:p>
      <w:pPr>
        <w:spacing w:after="0" w:line="12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Cash and investments available-for-sale of $54.8 million at September 29, 2013 increased by $4.9 million as compared with the $49.9 million available as of March 31, 2013, primarily due to cash flows generated from operations, partially offset by capital expenditures and dividends paid.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We expect cash balances and our cash flows from operations will be sufficient to fund our cash requirements in fiscal 2014.</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Capital expenditures were $6.5 million for the six months ended September 29, 2013, as compared to $11.9 million in the same period of the prior fiscal year. Included in capital expenditures for the first six months of fiscal 2014 was an aggregate $2.3 million related to our new headquarters facility ($1.5 million) and our new manufacturing facility ($0.8 million), compared to capital expenditures of $7.6 million related to the same projects during the first half of fiscal 2013. Other capital spending was related to regulatory, safety, and facility improvements and replacement trucks for the Water Treatment segment.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significant accounting policies are set forth in Note 1 to our consolidated financial statements in our Annual Report on Form 10-K for the fiscal year ended March 31, 2013. The accounting policies used in preparing our interim fiscal 2014 condensed consolidated financial statements are the same as those described in our Annual Report.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March 31, 2013.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At September 29, 2013, our investment portfolio included $25.7 million of certificates of deposit and municipal bonds classified as fixed income securities and cash and cash equivalents of $29.1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 Consequently, we would not expect to recognize an adverse impact on net income or cash flows during the holding period. We adjust the carrying value of our investments if impairment occurs that is other than temporary.</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in the future as our pricing must be competitive.</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second quarter of fiscal 2014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March 31, 2013.</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or repurchase any shares of our common stock during the second quarter of fiscal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580"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ITEM 6.</w:t>
            </w:r>
          </w:p>
        </w:tc>
        <w:tc>
          <w:tcPr>
            <w:tcW w:w="8720" w:type="dxa"/>
            <w:vAlign w:val="bottom"/>
            <w:gridSpan w:val="3"/>
          </w:tcPr>
          <w:p>
            <w:pPr>
              <w:ind w:left="260"/>
              <w:spacing w:after="0"/>
              <w:rPr>
                <w:sz w:val="20"/>
                <w:szCs w:val="20"/>
                <w:color w:val="auto"/>
              </w:rPr>
            </w:pPr>
            <w:r>
              <w:rPr>
                <w:rFonts w:ascii="Arial" w:cs="Arial" w:eastAsia="Arial" w:hAnsi="Arial"/>
                <w:sz w:val="18"/>
                <w:szCs w:val="18"/>
                <w:color w:val="auto"/>
              </w:rPr>
              <w:t>EXHIBITS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720" w:type="dxa"/>
            <w:vAlign w:val="bottom"/>
            <w:gridSpan w:val="2"/>
          </w:tcPr>
          <w:p>
            <w:pPr>
              <w:ind w:left="500"/>
              <w:spacing w:after="0"/>
              <w:rPr>
                <w:sz w:val="20"/>
                <w:szCs w:val="20"/>
                <w:color w:val="auto"/>
              </w:rPr>
            </w:pPr>
            <w:r>
              <w:rPr>
                <w:rFonts w:ascii="Arial" w:cs="Arial" w:eastAsia="Arial" w:hAnsi="Arial"/>
                <w:sz w:val="18"/>
                <w:szCs w:val="18"/>
                <w:color w:val="auto"/>
              </w:rPr>
              <w:t>Exhibit Index</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Exhibit</w:t>
            </w:r>
          </w:p>
        </w:tc>
        <w:tc>
          <w:tcPr>
            <w:tcW w:w="400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1980" w:type="dxa"/>
            <w:vAlign w:val="bottom"/>
          </w:tcPr>
          <w:p>
            <w:pPr>
              <w:jc w:val="center"/>
              <w:spacing w:after="0"/>
              <w:rPr>
                <w:sz w:val="20"/>
                <w:szCs w:val="20"/>
                <w:color w:val="auto"/>
              </w:rPr>
            </w:pPr>
            <w:r>
              <w:rPr>
                <w:rFonts w:ascii="Arial" w:cs="Arial" w:eastAsia="Arial" w:hAnsi="Arial"/>
                <w:sz w:val="14"/>
                <w:szCs w:val="14"/>
                <w:color w:val="auto"/>
                <w:w w:val="98"/>
              </w:rPr>
              <w:t>Method of Filing</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3.1</w:t>
            </w:r>
          </w:p>
        </w:tc>
        <w:tc>
          <w:tcPr>
            <w:tcW w:w="8720" w:type="dxa"/>
            <w:vAlign w:val="bottom"/>
            <w:gridSpan w:val="3"/>
            <w:vMerge w:val="restart"/>
          </w:tcPr>
          <w:p>
            <w:pPr>
              <w:ind w:left="80"/>
              <w:spacing w:after="0"/>
              <w:rPr>
                <w:sz w:val="20"/>
                <w:szCs w:val="20"/>
                <w:color w:val="auto"/>
              </w:rPr>
            </w:pPr>
            <w:r>
              <w:rPr>
                <w:rFonts w:ascii="Arial" w:cs="Arial" w:eastAsia="Arial" w:hAnsi="Arial"/>
                <w:sz w:val="18"/>
                <w:szCs w:val="18"/>
                <w:color w:val="auto"/>
              </w:rPr>
              <w:t>Amended and Restated Articles of Incorporation. (1)</w:t>
            </w: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40" w:type="dxa"/>
            <w:vAlign w:val="bottom"/>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720" w:type="dxa"/>
            <w:vAlign w:val="bottom"/>
            <w:gridSpan w:val="3"/>
            <w:vMerge w:val="continue"/>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Amended and Restated By-Laws. (2)</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31.1</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31.2</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32.1</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Section 1350 Certification by Chief Executive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32.2</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Section 1350 Certification by Chief Financial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56"/>
        </w:trPr>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101</w:t>
            </w:r>
          </w:p>
        </w:tc>
        <w:tc>
          <w:tcPr>
            <w:tcW w:w="8720" w:type="dxa"/>
            <w:vAlign w:val="bottom"/>
            <w:gridSpan w:val="3"/>
          </w:tcPr>
          <w:p>
            <w:pPr>
              <w:ind w:left="80"/>
              <w:spacing w:after="0"/>
              <w:rPr>
                <w:sz w:val="20"/>
                <w:szCs w:val="20"/>
                <w:color w:val="auto"/>
              </w:rPr>
            </w:pPr>
            <w:r>
              <w:rPr>
                <w:rFonts w:ascii="Arial" w:cs="Arial" w:eastAsia="Arial" w:hAnsi="Arial"/>
                <w:sz w:val="18"/>
                <w:szCs w:val="18"/>
                <w:color w:val="auto"/>
                <w:w w:val="94"/>
              </w:rPr>
              <w:t>Financial statements from the Quarterly Report on Form 10-Q of Hawkins, Inc. for the period ended September 29,</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20" w:type="dxa"/>
            <w:vAlign w:val="bottom"/>
            <w:gridSpan w:val="3"/>
          </w:tcPr>
          <w:p>
            <w:pPr>
              <w:ind w:left="80"/>
              <w:spacing w:after="0"/>
              <w:rPr>
                <w:sz w:val="20"/>
                <w:szCs w:val="20"/>
                <w:color w:val="auto"/>
              </w:rPr>
            </w:pPr>
            <w:r>
              <w:rPr>
                <w:rFonts w:ascii="Arial" w:cs="Arial" w:eastAsia="Arial" w:hAnsi="Arial"/>
                <w:sz w:val="18"/>
                <w:szCs w:val="18"/>
                <w:color w:val="auto"/>
                <w:w w:val="94"/>
              </w:rPr>
              <w:t>2013 filed with the SEC on October 30, 2013, formatted in Extensible Business Reporting Language (XBRL); (i) the</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20" w:type="dxa"/>
            <w:vAlign w:val="bottom"/>
            <w:gridSpan w:val="3"/>
          </w:tcPr>
          <w:p>
            <w:pPr>
              <w:ind w:left="80"/>
              <w:spacing w:after="0"/>
              <w:rPr>
                <w:sz w:val="20"/>
                <w:szCs w:val="20"/>
                <w:color w:val="auto"/>
              </w:rPr>
            </w:pPr>
            <w:r>
              <w:rPr>
                <w:rFonts w:ascii="Arial" w:cs="Arial" w:eastAsia="Arial" w:hAnsi="Arial"/>
                <w:sz w:val="18"/>
                <w:szCs w:val="18"/>
                <w:color w:val="auto"/>
              </w:rPr>
              <w:t>Condensed Consolidated Balance Sheets at September 29, 2013 and March 31, 2013, (ii) the Condensed</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720" w:type="dxa"/>
            <w:vAlign w:val="bottom"/>
            <w:gridSpan w:val="3"/>
          </w:tcPr>
          <w:p>
            <w:pPr>
              <w:ind w:left="80"/>
              <w:spacing w:after="0"/>
              <w:rPr>
                <w:sz w:val="20"/>
                <w:szCs w:val="20"/>
                <w:color w:val="auto"/>
              </w:rPr>
            </w:pPr>
            <w:r>
              <w:rPr>
                <w:rFonts w:ascii="Arial" w:cs="Arial" w:eastAsia="Arial" w:hAnsi="Arial"/>
                <w:sz w:val="18"/>
                <w:szCs w:val="18"/>
                <w:color w:val="auto"/>
                <w:w w:val="95"/>
              </w:rPr>
              <w:t>Consolidated Statements of Income for the Three and Six Months Ended September 29, 2013 and September 30,</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00" w:right="2200"/>
        <w:spacing w:after="0" w:line="254" w:lineRule="auto"/>
        <w:rPr>
          <w:sz w:val="20"/>
          <w:szCs w:val="20"/>
          <w:color w:val="auto"/>
        </w:rPr>
      </w:pPr>
      <w:r>
        <w:rPr>
          <w:rFonts w:ascii="Arial" w:cs="Arial" w:eastAsia="Arial" w:hAnsi="Arial"/>
          <w:sz w:val="18"/>
          <w:szCs w:val="18"/>
          <w:color w:val="auto"/>
        </w:rPr>
        <w:t>2012, (iii) the Condensed Consolidated Statements of Comprehensive Income for the Three and Six Months Ended September 29, 2013 and September 30, 2012, (iv) the Condensed Consolidated Statements of Cash Flows for the Six Months Ended September 29, 2013 and September 30, 2012, and (v) Notes to Condensed Consolidated Financial Statements.</w:t>
      </w:r>
    </w:p>
    <w:p>
      <w:pPr>
        <w:spacing w:after="0" w:line="190" w:lineRule="exact"/>
        <w:rPr>
          <w:sz w:val="20"/>
          <w:szCs w:val="20"/>
          <w:color w:val="auto"/>
        </w:rPr>
      </w:pPr>
    </w:p>
    <w:p>
      <w:pPr>
        <w:ind w:left="540" w:hanging="316"/>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Quarterly Report on Form 10-Q for the period ended June 30, 2010, filed on July 29, 2010.</w:t>
      </w:r>
    </w:p>
    <w:p>
      <w:pPr>
        <w:spacing w:after="0" w:line="46" w:lineRule="exact"/>
        <w:rPr>
          <w:rFonts w:ascii="Arial" w:cs="Arial" w:eastAsia="Arial" w:hAnsi="Arial"/>
          <w:sz w:val="16"/>
          <w:szCs w:val="16"/>
          <w:color w:val="auto"/>
        </w:rPr>
      </w:pPr>
    </w:p>
    <w:p>
      <w:pPr>
        <w:ind w:left="540" w:hanging="316"/>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Current Report on Form 8-K dated October 28, 2009 and filed November 3, 2009.</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(On behalf of the Registrant and as principal financial</w:t>
      </w:r>
    </w:p>
    <w:p>
      <w:pPr>
        <w:spacing w:after="0" w:line="35"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30, 2013</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240" w:top="580" w:right="379" w:bottom="1440" w:gutter="0" w:footer="0" w:header="0"/>
        </w:sectPr>
      </w:pPr>
    </w:p>
    <w:bookmarkStart w:id="19" w:name="page20"/>
    <w:bookmarkEnd w:id="19"/>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7" w:lineRule="exact"/>
        <w:rPr>
          <w:sz w:val="20"/>
          <w:szCs w:val="20"/>
          <w:color w:val="auto"/>
        </w:rPr>
      </w:pPr>
    </w:p>
    <w:p>
      <w:pPr>
        <w:spacing w:after="0"/>
        <w:tabs>
          <w:tab w:leader="none" w:pos="430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46"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w:t>
      </w:r>
    </w:p>
    <w:p>
      <w:pPr>
        <w:spacing w:after="0" w:line="77"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Chief Executive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Chief Financial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by Chief Executive Officer.</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by Chief Financial Officer.</w:t>
      </w:r>
    </w:p>
    <w:p>
      <w:pPr>
        <w:spacing w:after="0" w:line="63" w:lineRule="exact"/>
        <w:rPr>
          <w:sz w:val="20"/>
          <w:szCs w:val="20"/>
          <w:color w:val="auto"/>
        </w:rPr>
      </w:pPr>
    </w:p>
    <w:p>
      <w:pPr>
        <w:ind w:left="700" w:hanging="541"/>
        <w:spacing w:after="0" w:line="271" w:lineRule="auto"/>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Financial statements from the Quarterly Report on Form 10-Q of Hawkins, Inc. for the period ended September 29, 2013 filed with the SEC on October 30, 2013, formatted in Extensible Business Reporting Language (XBRL); (i) the Condensed Consolidated Balance Sheets at September 29, 2013 and March 31, 2013, (ii) the Condensed Consolidated Statements of Income for the Three and Six Months Ended September 29, 2013 and September 30, 2012, (iii) the Condensed Consolidated Statements of Comprehensive Income for the Three and Six Months Ended September 29, 2013 and September 30, 2012, (iv) the Condensed Consolidated Statements of Cash Flows for the Six Months Ended September 29, 2013 and September 30, 2012, and (v) Notes to Condensed Consolidated Financial Statements.</w:t>
      </w:r>
    </w:p>
    <w:p>
      <w:pPr>
        <w:spacing w:after="0" w:line="23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20955</wp:posOffset>
            </wp:positionV>
            <wp:extent cx="15862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9" w:lineRule="exact"/>
        <w:rPr>
          <w:sz w:val="20"/>
          <w:szCs w:val="20"/>
          <w:color w:val="auto"/>
        </w:rPr>
      </w:pPr>
    </w:p>
    <w:p>
      <w:pPr>
        <w:jc w:val="center"/>
        <w:spacing w:after="0" w:line="362" w:lineRule="auto"/>
        <w:rPr>
          <w:sz w:val="20"/>
          <w:szCs w:val="20"/>
          <w:color w:val="auto"/>
        </w:rPr>
      </w:pPr>
      <w:r>
        <w:rPr>
          <w:rFonts w:ascii="Arial" w:cs="Arial" w:eastAsia="Arial" w:hAnsi="Arial"/>
          <w:sz w:val="16"/>
          <w:szCs w:val="16"/>
          <w:color w:val="auto"/>
        </w:rPr>
        <w:t>Incorporated by Reference Incorporated by Reference Filed Electronically Filed Electronically Filed Electronically Filed Electronically Filed Electronically</w:t>
      </w:r>
    </w:p>
    <w:p>
      <w:pPr>
        <w:sectPr>
          <w:pgSz w:w="11900" w:h="16838" w:orient="portrait"/>
          <w:cols w:equalWidth="0" w:num="2">
            <w:col w:w="8580" w:space="480"/>
            <w:col w:w="1920"/>
          </w:cols>
          <w:pgMar w:left="400" w:top="580" w:right="5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2013</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2013</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29, 2013,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30, 2013</w:t>
      </w:r>
    </w:p>
    <w:p>
      <w:pPr>
        <w:sectPr>
          <w:pgSz w:w="11900" w:h="16838" w:orient="portrait"/>
          <w:cols w:equalWidth="0" w:num="1">
            <w:col w:w="11420"/>
          </w:cols>
          <w:pgMar w:left="240" w:top="5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29, 2013,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30, 2013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0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2019-12-05T11:00:33Z</dcterms:created>
  <dcterms:modified xsi:type="dcterms:W3CDTF">2019-12-05T11:00:33Z</dcterms:modified>
</cp:coreProperties>
</file>